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B5FCA" w14:textId="25FCDA30" w:rsidR="00EB09A5" w:rsidRDefault="00EB09A5" w:rsidP="2145493A">
      <w:pPr>
        <w:pStyle w:val="Title"/>
        <w:spacing w:line="360" w:lineRule="auto"/>
        <w:rPr>
          <w:rFonts w:asciiTheme="minorHAnsi" w:eastAsiaTheme="minorEastAsia" w:hAnsiTheme="minorHAnsi" w:cstheme="minorBidi"/>
          <w:spacing w:val="0"/>
          <w:kern w:val="2"/>
          <w:sz w:val="22"/>
          <w:szCs w:val="22"/>
        </w:rPr>
      </w:pPr>
    </w:p>
    <w:sdt>
      <w:sdtPr>
        <w:rPr>
          <w:rFonts w:asciiTheme="minorHAnsi" w:eastAsiaTheme="minorEastAsia" w:hAnsiTheme="minorHAnsi" w:cstheme="minorBidi"/>
          <w:spacing w:val="0"/>
          <w:kern w:val="2"/>
          <w:sz w:val="22"/>
          <w:szCs w:val="22"/>
        </w:rPr>
        <w:id w:val="-1394497458"/>
        <w:docPartObj>
          <w:docPartGallery w:val="Table of Contents"/>
          <w:docPartUnique/>
        </w:docPartObj>
      </w:sdtPr>
      <w:sdtEndPr>
        <w:rPr>
          <w:b/>
          <w:bCs/>
          <w:noProof/>
        </w:rPr>
      </w:sdtEndPr>
      <w:sdtContent>
        <w:p w14:paraId="319EE519" w14:textId="4CFEB9D1" w:rsidR="00B356C6" w:rsidRDefault="00B356C6" w:rsidP="2145493A">
          <w:pPr>
            <w:pStyle w:val="Title"/>
            <w:spacing w:line="360" w:lineRule="auto"/>
            <w:rPr>
              <w:rFonts w:eastAsiaTheme="minorEastAsia"/>
            </w:rPr>
          </w:pPr>
          <w:r w:rsidRPr="2145493A">
            <w:rPr>
              <w:rFonts w:eastAsiaTheme="minorEastAsia"/>
            </w:rPr>
            <w:t>Evidence Summary Report</w:t>
          </w:r>
        </w:p>
        <w:p w14:paraId="37C7BEAF" w14:textId="77777777" w:rsidR="00B356C6" w:rsidRDefault="00B356C6" w:rsidP="2145493A">
          <w:pPr>
            <w:spacing w:line="360" w:lineRule="auto"/>
          </w:pPr>
        </w:p>
        <w:p w14:paraId="2FD0DA8B" w14:textId="77777777" w:rsidR="00B356C6" w:rsidRDefault="00B356C6" w:rsidP="2145493A">
          <w:pPr>
            <w:spacing w:line="360" w:lineRule="auto"/>
          </w:pPr>
        </w:p>
        <w:p w14:paraId="55E68E22" w14:textId="77777777" w:rsidR="00B356C6" w:rsidRDefault="00B356C6" w:rsidP="2145493A">
          <w:pPr>
            <w:spacing w:line="360" w:lineRule="auto"/>
          </w:pPr>
        </w:p>
        <w:p w14:paraId="04EB07CF" w14:textId="54248B54" w:rsidR="00B356C6" w:rsidRDefault="00B356C6" w:rsidP="2145493A">
          <w:pPr>
            <w:pStyle w:val="Subtitle"/>
            <w:spacing w:line="360" w:lineRule="auto"/>
          </w:pPr>
          <w:r>
            <w:t xml:space="preserve">Summary of the evidence used to inform development of </w:t>
          </w:r>
          <w:r w:rsidR="00B23FD7">
            <w:t>S</w:t>
          </w:r>
          <w:r w:rsidR="008F51EF">
            <w:t>odium</w:t>
          </w:r>
          <w:r w:rsidR="00B23FD7">
            <w:t xml:space="preserve"> </w:t>
          </w:r>
          <w:r w:rsidR="008F51EF">
            <w:t>Nutrient Reference Values</w:t>
          </w:r>
          <w:r>
            <w:t xml:space="preserve"> for Australia and New Zealand</w:t>
          </w:r>
        </w:p>
        <w:p w14:paraId="24E9E94C" w14:textId="77777777" w:rsidR="00C6544D" w:rsidRDefault="00C6544D" w:rsidP="2145493A">
          <w:pPr>
            <w:spacing w:line="360" w:lineRule="auto"/>
            <w:sectPr w:rsidR="00C6544D" w:rsidSect="00024D61">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6" w:h="16838"/>
              <w:pgMar w:top="1440" w:right="1440" w:bottom="1134" w:left="1440" w:header="708" w:footer="708" w:gutter="0"/>
              <w:cols w:space="708"/>
              <w:docGrid w:linePitch="360"/>
            </w:sectPr>
          </w:pPr>
        </w:p>
        <w:p w14:paraId="47974792" w14:textId="77777777" w:rsidR="00B356C6" w:rsidRDefault="00B356C6" w:rsidP="2145493A">
          <w:pPr>
            <w:spacing w:line="360" w:lineRule="auto"/>
          </w:pPr>
        </w:p>
        <w:p w14:paraId="11A18ECC" w14:textId="09FE23F9" w:rsidR="00B356C6" w:rsidRDefault="00B356C6" w:rsidP="2145493A">
          <w:pPr>
            <w:spacing w:line="360" w:lineRule="auto"/>
          </w:pPr>
        </w:p>
        <w:p w14:paraId="6328A1CB" w14:textId="77777777" w:rsidR="009A6227" w:rsidRDefault="009A6227">
          <w:pPr>
            <w:rPr>
              <w:b/>
              <w:bCs/>
            </w:rPr>
          </w:pPr>
          <w:r>
            <w:rPr>
              <w:b/>
              <w:bCs/>
            </w:rPr>
            <w:br w:type="page"/>
          </w:r>
        </w:p>
        <w:p w14:paraId="68B4B0FF" w14:textId="5C430B40" w:rsidR="00ED39E6" w:rsidRDefault="00ED39E6" w:rsidP="2145493A">
          <w:pPr>
            <w:pStyle w:val="TOCHeading"/>
            <w:spacing w:line="360" w:lineRule="auto"/>
          </w:pPr>
          <w:r>
            <w:lastRenderedPageBreak/>
            <w:t>Contents</w:t>
          </w:r>
        </w:p>
        <w:p w14:paraId="21AB75C0" w14:textId="79F0ADA5" w:rsidR="002B71FC" w:rsidRDefault="00ED39E6">
          <w:pPr>
            <w:pStyle w:val="TOC1"/>
            <w:tabs>
              <w:tab w:val="right" w:leader="dot" w:pos="9016"/>
            </w:tabs>
            <w:rPr>
              <w:rFonts w:eastAsiaTheme="minorEastAsia"/>
              <w:noProof/>
              <w:sz w:val="24"/>
              <w:szCs w:val="24"/>
              <w:lang w:eastAsia="en-AU"/>
            </w:rPr>
          </w:pPr>
          <w:r w:rsidRPr="2145493A">
            <w:fldChar w:fldCharType="begin"/>
          </w:r>
          <w:r>
            <w:instrText xml:space="preserve"> TOC \o "1-3" \h \z \u </w:instrText>
          </w:r>
          <w:r w:rsidRPr="2145493A">
            <w:fldChar w:fldCharType="separate"/>
          </w:r>
          <w:hyperlink w:anchor="_Toc234960802" w:history="1">
            <w:r w:rsidR="002B71FC" w:rsidRPr="003E6280">
              <w:rPr>
                <w:rStyle w:val="Hyperlink"/>
                <w:b/>
                <w:bCs/>
                <w:noProof/>
              </w:rPr>
              <w:t>Purpose and scope</w:t>
            </w:r>
            <w:r w:rsidR="002B71FC">
              <w:rPr>
                <w:noProof/>
                <w:webHidden/>
              </w:rPr>
              <w:tab/>
            </w:r>
            <w:r w:rsidR="002B71FC">
              <w:rPr>
                <w:noProof/>
                <w:webHidden/>
              </w:rPr>
              <w:fldChar w:fldCharType="begin"/>
            </w:r>
            <w:r w:rsidR="002B71FC">
              <w:rPr>
                <w:noProof/>
                <w:webHidden/>
              </w:rPr>
              <w:instrText xml:space="preserve"> PAGEREF _Toc234960802 \h </w:instrText>
            </w:r>
            <w:r w:rsidR="002B71FC">
              <w:rPr>
                <w:noProof/>
                <w:webHidden/>
              </w:rPr>
            </w:r>
            <w:r w:rsidR="002B71FC">
              <w:rPr>
                <w:noProof/>
                <w:webHidden/>
              </w:rPr>
              <w:fldChar w:fldCharType="separate"/>
            </w:r>
            <w:r w:rsidR="002B71FC">
              <w:rPr>
                <w:noProof/>
                <w:webHidden/>
              </w:rPr>
              <w:t>6</w:t>
            </w:r>
            <w:r w:rsidR="002B71FC">
              <w:rPr>
                <w:noProof/>
                <w:webHidden/>
              </w:rPr>
              <w:fldChar w:fldCharType="end"/>
            </w:r>
          </w:hyperlink>
        </w:p>
        <w:p w14:paraId="49D118CC" w14:textId="10507892" w:rsidR="002B71FC" w:rsidRDefault="002B71FC">
          <w:pPr>
            <w:pStyle w:val="TOC1"/>
            <w:tabs>
              <w:tab w:val="right" w:leader="dot" w:pos="9016"/>
            </w:tabs>
            <w:rPr>
              <w:rFonts w:eastAsiaTheme="minorEastAsia"/>
              <w:noProof/>
              <w:sz w:val="24"/>
              <w:szCs w:val="24"/>
              <w:lang w:eastAsia="en-AU"/>
            </w:rPr>
          </w:pPr>
          <w:hyperlink w:anchor="_Toc234960803" w:history="1">
            <w:r w:rsidRPr="003E6280">
              <w:rPr>
                <w:rStyle w:val="Hyperlink"/>
                <w:b/>
                <w:bCs/>
                <w:noProof/>
              </w:rPr>
              <w:t>Rationale for prioritising this update</w:t>
            </w:r>
            <w:r>
              <w:rPr>
                <w:noProof/>
                <w:webHidden/>
              </w:rPr>
              <w:tab/>
            </w:r>
            <w:r>
              <w:rPr>
                <w:noProof/>
                <w:webHidden/>
              </w:rPr>
              <w:fldChar w:fldCharType="begin"/>
            </w:r>
            <w:r>
              <w:rPr>
                <w:noProof/>
                <w:webHidden/>
              </w:rPr>
              <w:instrText xml:space="preserve"> PAGEREF _Toc234960803 \h </w:instrText>
            </w:r>
            <w:r>
              <w:rPr>
                <w:noProof/>
                <w:webHidden/>
              </w:rPr>
            </w:r>
            <w:r>
              <w:rPr>
                <w:noProof/>
                <w:webHidden/>
              </w:rPr>
              <w:fldChar w:fldCharType="separate"/>
            </w:r>
            <w:r>
              <w:rPr>
                <w:noProof/>
                <w:webHidden/>
              </w:rPr>
              <w:t>6</w:t>
            </w:r>
            <w:r>
              <w:rPr>
                <w:noProof/>
                <w:webHidden/>
              </w:rPr>
              <w:fldChar w:fldCharType="end"/>
            </w:r>
          </w:hyperlink>
        </w:p>
        <w:p w14:paraId="75B11FF9" w14:textId="59ADA745" w:rsidR="002B71FC" w:rsidRDefault="002B71FC">
          <w:pPr>
            <w:pStyle w:val="TOC1"/>
            <w:tabs>
              <w:tab w:val="right" w:leader="dot" w:pos="9016"/>
            </w:tabs>
            <w:rPr>
              <w:rFonts w:eastAsiaTheme="minorEastAsia"/>
              <w:noProof/>
              <w:sz w:val="24"/>
              <w:szCs w:val="24"/>
              <w:lang w:eastAsia="en-AU"/>
            </w:rPr>
          </w:pPr>
          <w:hyperlink w:anchor="_Toc234960804" w:history="1">
            <w:r w:rsidRPr="003E6280">
              <w:rPr>
                <w:rStyle w:val="Hyperlink"/>
                <w:b/>
                <w:bCs/>
                <w:noProof/>
              </w:rPr>
              <w:t>Methods summary</w:t>
            </w:r>
            <w:r>
              <w:rPr>
                <w:noProof/>
                <w:webHidden/>
              </w:rPr>
              <w:tab/>
            </w:r>
            <w:r>
              <w:rPr>
                <w:noProof/>
                <w:webHidden/>
              </w:rPr>
              <w:fldChar w:fldCharType="begin"/>
            </w:r>
            <w:r>
              <w:rPr>
                <w:noProof/>
                <w:webHidden/>
              </w:rPr>
              <w:instrText xml:space="preserve"> PAGEREF _Toc234960804 \h </w:instrText>
            </w:r>
            <w:r>
              <w:rPr>
                <w:noProof/>
                <w:webHidden/>
              </w:rPr>
            </w:r>
            <w:r>
              <w:rPr>
                <w:noProof/>
                <w:webHidden/>
              </w:rPr>
              <w:fldChar w:fldCharType="separate"/>
            </w:r>
            <w:r>
              <w:rPr>
                <w:noProof/>
                <w:webHidden/>
              </w:rPr>
              <w:t>7</w:t>
            </w:r>
            <w:r>
              <w:rPr>
                <w:noProof/>
                <w:webHidden/>
              </w:rPr>
              <w:fldChar w:fldCharType="end"/>
            </w:r>
          </w:hyperlink>
        </w:p>
        <w:p w14:paraId="272499CE" w14:textId="1AC0E08F" w:rsidR="002B71FC" w:rsidRDefault="002B71FC">
          <w:pPr>
            <w:pStyle w:val="TOC1"/>
            <w:tabs>
              <w:tab w:val="right" w:leader="dot" w:pos="9016"/>
            </w:tabs>
            <w:rPr>
              <w:rFonts w:eastAsiaTheme="minorEastAsia"/>
              <w:noProof/>
              <w:sz w:val="24"/>
              <w:szCs w:val="24"/>
              <w:lang w:eastAsia="en-AU"/>
            </w:rPr>
          </w:pPr>
          <w:hyperlink w:anchor="_Toc234960805" w:history="1">
            <w:r w:rsidRPr="003E6280">
              <w:rPr>
                <w:rStyle w:val="Hyperlink"/>
                <w:b/>
                <w:bCs/>
                <w:noProof/>
              </w:rPr>
              <w:t>Governance</w:t>
            </w:r>
            <w:r>
              <w:rPr>
                <w:noProof/>
                <w:webHidden/>
              </w:rPr>
              <w:tab/>
            </w:r>
            <w:r>
              <w:rPr>
                <w:noProof/>
                <w:webHidden/>
              </w:rPr>
              <w:fldChar w:fldCharType="begin"/>
            </w:r>
            <w:r>
              <w:rPr>
                <w:noProof/>
                <w:webHidden/>
              </w:rPr>
              <w:instrText xml:space="preserve"> PAGEREF _Toc234960805 \h </w:instrText>
            </w:r>
            <w:r>
              <w:rPr>
                <w:noProof/>
                <w:webHidden/>
              </w:rPr>
            </w:r>
            <w:r>
              <w:rPr>
                <w:noProof/>
                <w:webHidden/>
              </w:rPr>
              <w:fldChar w:fldCharType="separate"/>
            </w:r>
            <w:r>
              <w:rPr>
                <w:noProof/>
                <w:webHidden/>
              </w:rPr>
              <w:t>8</w:t>
            </w:r>
            <w:r>
              <w:rPr>
                <w:noProof/>
                <w:webHidden/>
              </w:rPr>
              <w:fldChar w:fldCharType="end"/>
            </w:r>
          </w:hyperlink>
        </w:p>
        <w:p w14:paraId="422D4189" w14:textId="10276E07" w:rsidR="002B71FC" w:rsidRDefault="002B71FC">
          <w:pPr>
            <w:pStyle w:val="TOC1"/>
            <w:tabs>
              <w:tab w:val="right" w:leader="dot" w:pos="9016"/>
            </w:tabs>
            <w:rPr>
              <w:rFonts w:eastAsiaTheme="minorEastAsia"/>
              <w:noProof/>
              <w:sz w:val="24"/>
              <w:szCs w:val="24"/>
              <w:lang w:eastAsia="en-AU"/>
            </w:rPr>
          </w:pPr>
          <w:hyperlink w:anchor="_Toc234960806" w:history="1">
            <w:r w:rsidRPr="003E6280">
              <w:rPr>
                <w:rStyle w:val="Hyperlink"/>
                <w:b/>
                <w:bCs/>
                <w:noProof/>
              </w:rPr>
              <w:t>Sodium background</w:t>
            </w:r>
            <w:r>
              <w:rPr>
                <w:noProof/>
                <w:webHidden/>
              </w:rPr>
              <w:tab/>
            </w:r>
            <w:r>
              <w:rPr>
                <w:noProof/>
                <w:webHidden/>
              </w:rPr>
              <w:fldChar w:fldCharType="begin"/>
            </w:r>
            <w:r>
              <w:rPr>
                <w:noProof/>
                <w:webHidden/>
              </w:rPr>
              <w:instrText xml:space="preserve"> PAGEREF _Toc234960806 \h </w:instrText>
            </w:r>
            <w:r>
              <w:rPr>
                <w:noProof/>
                <w:webHidden/>
              </w:rPr>
            </w:r>
            <w:r>
              <w:rPr>
                <w:noProof/>
                <w:webHidden/>
              </w:rPr>
              <w:fldChar w:fldCharType="separate"/>
            </w:r>
            <w:r>
              <w:rPr>
                <w:noProof/>
                <w:webHidden/>
              </w:rPr>
              <w:t>9</w:t>
            </w:r>
            <w:r>
              <w:rPr>
                <w:noProof/>
                <w:webHidden/>
              </w:rPr>
              <w:fldChar w:fldCharType="end"/>
            </w:r>
          </w:hyperlink>
        </w:p>
        <w:p w14:paraId="5D380C78" w14:textId="59AE8D58" w:rsidR="002B71FC" w:rsidRDefault="002B71FC">
          <w:pPr>
            <w:pStyle w:val="TOC2"/>
            <w:tabs>
              <w:tab w:val="right" w:leader="dot" w:pos="9016"/>
            </w:tabs>
            <w:rPr>
              <w:rFonts w:eastAsiaTheme="minorEastAsia"/>
              <w:noProof/>
              <w:sz w:val="24"/>
              <w:szCs w:val="24"/>
              <w:lang w:eastAsia="en-AU"/>
            </w:rPr>
          </w:pPr>
          <w:hyperlink w:anchor="_Toc234960807" w:history="1">
            <w:r w:rsidRPr="003E6280">
              <w:rPr>
                <w:rStyle w:val="Hyperlink"/>
                <w:b/>
                <w:bCs/>
                <w:noProof/>
              </w:rPr>
              <w:t>Function, physiology and metabolism</w:t>
            </w:r>
            <w:r>
              <w:rPr>
                <w:noProof/>
                <w:webHidden/>
              </w:rPr>
              <w:tab/>
            </w:r>
            <w:r>
              <w:rPr>
                <w:noProof/>
                <w:webHidden/>
              </w:rPr>
              <w:fldChar w:fldCharType="begin"/>
            </w:r>
            <w:r>
              <w:rPr>
                <w:noProof/>
                <w:webHidden/>
              </w:rPr>
              <w:instrText xml:space="preserve"> PAGEREF _Toc234960807 \h </w:instrText>
            </w:r>
            <w:r>
              <w:rPr>
                <w:noProof/>
                <w:webHidden/>
              </w:rPr>
            </w:r>
            <w:r>
              <w:rPr>
                <w:noProof/>
                <w:webHidden/>
              </w:rPr>
              <w:fldChar w:fldCharType="separate"/>
            </w:r>
            <w:r>
              <w:rPr>
                <w:noProof/>
                <w:webHidden/>
              </w:rPr>
              <w:t>9</w:t>
            </w:r>
            <w:r>
              <w:rPr>
                <w:noProof/>
                <w:webHidden/>
              </w:rPr>
              <w:fldChar w:fldCharType="end"/>
            </w:r>
          </w:hyperlink>
        </w:p>
        <w:p w14:paraId="4A43406B" w14:textId="4FBA673A" w:rsidR="002B71FC" w:rsidRDefault="002B71FC">
          <w:pPr>
            <w:pStyle w:val="TOC2"/>
            <w:tabs>
              <w:tab w:val="right" w:leader="dot" w:pos="9016"/>
            </w:tabs>
            <w:rPr>
              <w:rFonts w:eastAsiaTheme="minorEastAsia"/>
              <w:noProof/>
              <w:sz w:val="24"/>
              <w:szCs w:val="24"/>
              <w:lang w:eastAsia="en-AU"/>
            </w:rPr>
          </w:pPr>
          <w:hyperlink w:anchor="_Toc234960808" w:history="1">
            <w:r w:rsidRPr="003E6280">
              <w:rPr>
                <w:rStyle w:val="Hyperlink"/>
                <w:b/>
                <w:bCs/>
                <w:noProof/>
              </w:rPr>
              <w:t>Dietary sources of sodium</w:t>
            </w:r>
            <w:r>
              <w:rPr>
                <w:noProof/>
                <w:webHidden/>
              </w:rPr>
              <w:tab/>
            </w:r>
            <w:r>
              <w:rPr>
                <w:noProof/>
                <w:webHidden/>
              </w:rPr>
              <w:fldChar w:fldCharType="begin"/>
            </w:r>
            <w:r>
              <w:rPr>
                <w:noProof/>
                <w:webHidden/>
              </w:rPr>
              <w:instrText xml:space="preserve"> PAGEREF _Toc234960808 \h </w:instrText>
            </w:r>
            <w:r>
              <w:rPr>
                <w:noProof/>
                <w:webHidden/>
              </w:rPr>
            </w:r>
            <w:r>
              <w:rPr>
                <w:noProof/>
                <w:webHidden/>
              </w:rPr>
              <w:fldChar w:fldCharType="separate"/>
            </w:r>
            <w:r>
              <w:rPr>
                <w:noProof/>
                <w:webHidden/>
              </w:rPr>
              <w:t>9</w:t>
            </w:r>
            <w:r>
              <w:rPr>
                <w:noProof/>
                <w:webHidden/>
              </w:rPr>
              <w:fldChar w:fldCharType="end"/>
            </w:r>
          </w:hyperlink>
        </w:p>
        <w:p w14:paraId="110B2722" w14:textId="372F22EF" w:rsidR="002B71FC" w:rsidRDefault="002B71FC">
          <w:pPr>
            <w:pStyle w:val="TOC2"/>
            <w:tabs>
              <w:tab w:val="right" w:leader="dot" w:pos="9016"/>
            </w:tabs>
            <w:rPr>
              <w:rFonts w:eastAsiaTheme="minorEastAsia"/>
              <w:noProof/>
              <w:sz w:val="24"/>
              <w:szCs w:val="24"/>
              <w:lang w:eastAsia="en-AU"/>
            </w:rPr>
          </w:pPr>
          <w:hyperlink w:anchor="_Toc234960809" w:history="1">
            <w:r w:rsidRPr="003E6280">
              <w:rPr>
                <w:rStyle w:val="Hyperlink"/>
                <w:b/>
                <w:bCs/>
                <w:noProof/>
              </w:rPr>
              <w:t>Bioavailability and other factors</w:t>
            </w:r>
            <w:r>
              <w:rPr>
                <w:noProof/>
                <w:webHidden/>
              </w:rPr>
              <w:tab/>
            </w:r>
            <w:r>
              <w:rPr>
                <w:noProof/>
                <w:webHidden/>
              </w:rPr>
              <w:fldChar w:fldCharType="begin"/>
            </w:r>
            <w:r>
              <w:rPr>
                <w:noProof/>
                <w:webHidden/>
              </w:rPr>
              <w:instrText xml:space="preserve"> PAGEREF _Toc234960809 \h </w:instrText>
            </w:r>
            <w:r>
              <w:rPr>
                <w:noProof/>
                <w:webHidden/>
              </w:rPr>
            </w:r>
            <w:r>
              <w:rPr>
                <w:noProof/>
                <w:webHidden/>
              </w:rPr>
              <w:fldChar w:fldCharType="separate"/>
            </w:r>
            <w:r>
              <w:rPr>
                <w:noProof/>
                <w:webHidden/>
              </w:rPr>
              <w:t>10</w:t>
            </w:r>
            <w:r>
              <w:rPr>
                <w:noProof/>
                <w:webHidden/>
              </w:rPr>
              <w:fldChar w:fldCharType="end"/>
            </w:r>
          </w:hyperlink>
        </w:p>
        <w:p w14:paraId="73E90A28" w14:textId="3398FA84" w:rsidR="002B71FC" w:rsidRDefault="002B71FC">
          <w:pPr>
            <w:pStyle w:val="TOC2"/>
            <w:tabs>
              <w:tab w:val="right" w:leader="dot" w:pos="9016"/>
            </w:tabs>
            <w:rPr>
              <w:rFonts w:eastAsiaTheme="minorEastAsia"/>
              <w:noProof/>
              <w:sz w:val="24"/>
              <w:szCs w:val="24"/>
              <w:lang w:eastAsia="en-AU"/>
            </w:rPr>
          </w:pPr>
          <w:hyperlink w:anchor="_Toc234960810" w:history="1">
            <w:r w:rsidRPr="003E6280">
              <w:rPr>
                <w:rStyle w:val="Hyperlink"/>
                <w:b/>
                <w:bCs/>
                <w:noProof/>
              </w:rPr>
              <w:t>Measurement of sodium intake</w:t>
            </w:r>
            <w:r>
              <w:rPr>
                <w:noProof/>
                <w:webHidden/>
              </w:rPr>
              <w:tab/>
            </w:r>
            <w:r>
              <w:rPr>
                <w:noProof/>
                <w:webHidden/>
              </w:rPr>
              <w:fldChar w:fldCharType="begin"/>
            </w:r>
            <w:r>
              <w:rPr>
                <w:noProof/>
                <w:webHidden/>
              </w:rPr>
              <w:instrText xml:space="preserve"> PAGEREF _Toc234960810 \h </w:instrText>
            </w:r>
            <w:r>
              <w:rPr>
                <w:noProof/>
                <w:webHidden/>
              </w:rPr>
            </w:r>
            <w:r>
              <w:rPr>
                <w:noProof/>
                <w:webHidden/>
              </w:rPr>
              <w:fldChar w:fldCharType="separate"/>
            </w:r>
            <w:r>
              <w:rPr>
                <w:noProof/>
                <w:webHidden/>
              </w:rPr>
              <w:t>10</w:t>
            </w:r>
            <w:r>
              <w:rPr>
                <w:noProof/>
                <w:webHidden/>
              </w:rPr>
              <w:fldChar w:fldCharType="end"/>
            </w:r>
          </w:hyperlink>
        </w:p>
        <w:p w14:paraId="4E379352" w14:textId="47100AA0" w:rsidR="002B71FC" w:rsidRDefault="002B71FC">
          <w:pPr>
            <w:pStyle w:val="TOC3"/>
            <w:tabs>
              <w:tab w:val="right" w:leader="dot" w:pos="9016"/>
            </w:tabs>
            <w:rPr>
              <w:rFonts w:eastAsiaTheme="minorEastAsia"/>
              <w:noProof/>
              <w:sz w:val="24"/>
              <w:szCs w:val="24"/>
              <w:lang w:eastAsia="en-AU"/>
            </w:rPr>
          </w:pPr>
          <w:hyperlink w:anchor="_Toc234960811" w:history="1">
            <w:r w:rsidRPr="003E6280">
              <w:rPr>
                <w:rStyle w:val="Hyperlink"/>
                <w:noProof/>
              </w:rPr>
              <w:t>Biomarkers of sodium intake</w:t>
            </w:r>
            <w:r>
              <w:rPr>
                <w:noProof/>
                <w:webHidden/>
              </w:rPr>
              <w:tab/>
            </w:r>
            <w:r>
              <w:rPr>
                <w:noProof/>
                <w:webHidden/>
              </w:rPr>
              <w:fldChar w:fldCharType="begin"/>
            </w:r>
            <w:r>
              <w:rPr>
                <w:noProof/>
                <w:webHidden/>
              </w:rPr>
              <w:instrText xml:space="preserve"> PAGEREF _Toc234960811 \h </w:instrText>
            </w:r>
            <w:r>
              <w:rPr>
                <w:noProof/>
                <w:webHidden/>
              </w:rPr>
            </w:r>
            <w:r>
              <w:rPr>
                <w:noProof/>
                <w:webHidden/>
              </w:rPr>
              <w:fldChar w:fldCharType="separate"/>
            </w:r>
            <w:r>
              <w:rPr>
                <w:noProof/>
                <w:webHidden/>
              </w:rPr>
              <w:t>10</w:t>
            </w:r>
            <w:r>
              <w:rPr>
                <w:noProof/>
                <w:webHidden/>
              </w:rPr>
              <w:fldChar w:fldCharType="end"/>
            </w:r>
          </w:hyperlink>
        </w:p>
        <w:p w14:paraId="451B951E" w14:textId="08B30CD6" w:rsidR="002B71FC" w:rsidRDefault="002B71FC">
          <w:pPr>
            <w:pStyle w:val="TOC3"/>
            <w:tabs>
              <w:tab w:val="right" w:leader="dot" w:pos="9016"/>
            </w:tabs>
            <w:rPr>
              <w:rFonts w:eastAsiaTheme="minorEastAsia"/>
              <w:noProof/>
              <w:sz w:val="24"/>
              <w:szCs w:val="24"/>
              <w:lang w:eastAsia="en-AU"/>
            </w:rPr>
          </w:pPr>
          <w:hyperlink w:anchor="_Toc234960812" w:history="1">
            <w:r w:rsidRPr="003E6280">
              <w:rPr>
                <w:rStyle w:val="Hyperlink"/>
                <w:noProof/>
              </w:rPr>
              <w:t>Dietary assessment methods</w:t>
            </w:r>
            <w:r>
              <w:rPr>
                <w:noProof/>
                <w:webHidden/>
              </w:rPr>
              <w:tab/>
            </w:r>
            <w:r>
              <w:rPr>
                <w:noProof/>
                <w:webHidden/>
              </w:rPr>
              <w:fldChar w:fldCharType="begin"/>
            </w:r>
            <w:r>
              <w:rPr>
                <w:noProof/>
                <w:webHidden/>
              </w:rPr>
              <w:instrText xml:space="preserve"> PAGEREF _Toc234960812 \h </w:instrText>
            </w:r>
            <w:r>
              <w:rPr>
                <w:noProof/>
                <w:webHidden/>
              </w:rPr>
            </w:r>
            <w:r>
              <w:rPr>
                <w:noProof/>
                <w:webHidden/>
              </w:rPr>
              <w:fldChar w:fldCharType="separate"/>
            </w:r>
            <w:r>
              <w:rPr>
                <w:noProof/>
                <w:webHidden/>
              </w:rPr>
              <w:t>10</w:t>
            </w:r>
            <w:r>
              <w:rPr>
                <w:noProof/>
                <w:webHidden/>
              </w:rPr>
              <w:fldChar w:fldCharType="end"/>
            </w:r>
          </w:hyperlink>
        </w:p>
        <w:p w14:paraId="4E34820E" w14:textId="1840B06F" w:rsidR="002B71FC" w:rsidRDefault="002B71FC">
          <w:pPr>
            <w:pStyle w:val="TOC2"/>
            <w:tabs>
              <w:tab w:val="right" w:leader="dot" w:pos="9016"/>
            </w:tabs>
            <w:rPr>
              <w:rFonts w:eastAsiaTheme="minorEastAsia"/>
              <w:noProof/>
              <w:sz w:val="24"/>
              <w:szCs w:val="24"/>
              <w:lang w:eastAsia="en-AU"/>
            </w:rPr>
          </w:pPr>
          <w:hyperlink w:anchor="_Toc234960813" w:history="1">
            <w:r w:rsidRPr="003E6280">
              <w:rPr>
                <w:rStyle w:val="Hyperlink"/>
                <w:b/>
                <w:bCs/>
                <w:noProof/>
              </w:rPr>
              <w:t>Health effects of insufficiency or excess</w:t>
            </w:r>
            <w:r>
              <w:rPr>
                <w:noProof/>
                <w:webHidden/>
              </w:rPr>
              <w:tab/>
            </w:r>
            <w:r>
              <w:rPr>
                <w:noProof/>
                <w:webHidden/>
              </w:rPr>
              <w:fldChar w:fldCharType="begin"/>
            </w:r>
            <w:r>
              <w:rPr>
                <w:noProof/>
                <w:webHidden/>
              </w:rPr>
              <w:instrText xml:space="preserve"> PAGEREF _Toc234960813 \h </w:instrText>
            </w:r>
            <w:r>
              <w:rPr>
                <w:noProof/>
                <w:webHidden/>
              </w:rPr>
            </w:r>
            <w:r>
              <w:rPr>
                <w:noProof/>
                <w:webHidden/>
              </w:rPr>
              <w:fldChar w:fldCharType="separate"/>
            </w:r>
            <w:r>
              <w:rPr>
                <w:noProof/>
                <w:webHidden/>
              </w:rPr>
              <w:t>10</w:t>
            </w:r>
            <w:r>
              <w:rPr>
                <w:noProof/>
                <w:webHidden/>
              </w:rPr>
              <w:fldChar w:fldCharType="end"/>
            </w:r>
          </w:hyperlink>
        </w:p>
        <w:p w14:paraId="4F6E2AFA" w14:textId="6B3FE5BF" w:rsidR="002B71FC" w:rsidRDefault="002B71FC">
          <w:pPr>
            <w:pStyle w:val="TOC3"/>
            <w:tabs>
              <w:tab w:val="right" w:leader="dot" w:pos="9016"/>
            </w:tabs>
            <w:rPr>
              <w:rFonts w:eastAsiaTheme="minorEastAsia"/>
              <w:noProof/>
              <w:sz w:val="24"/>
              <w:szCs w:val="24"/>
              <w:lang w:eastAsia="en-AU"/>
            </w:rPr>
          </w:pPr>
          <w:hyperlink w:anchor="_Toc234960814" w:history="1">
            <w:r w:rsidRPr="003E6280">
              <w:rPr>
                <w:rStyle w:val="Hyperlink"/>
                <w:noProof/>
              </w:rPr>
              <w:t>Insufficiency</w:t>
            </w:r>
            <w:r>
              <w:rPr>
                <w:noProof/>
                <w:webHidden/>
              </w:rPr>
              <w:tab/>
            </w:r>
            <w:r>
              <w:rPr>
                <w:noProof/>
                <w:webHidden/>
              </w:rPr>
              <w:fldChar w:fldCharType="begin"/>
            </w:r>
            <w:r>
              <w:rPr>
                <w:noProof/>
                <w:webHidden/>
              </w:rPr>
              <w:instrText xml:space="preserve"> PAGEREF _Toc234960814 \h </w:instrText>
            </w:r>
            <w:r>
              <w:rPr>
                <w:noProof/>
                <w:webHidden/>
              </w:rPr>
            </w:r>
            <w:r>
              <w:rPr>
                <w:noProof/>
                <w:webHidden/>
              </w:rPr>
              <w:fldChar w:fldCharType="separate"/>
            </w:r>
            <w:r>
              <w:rPr>
                <w:noProof/>
                <w:webHidden/>
              </w:rPr>
              <w:t>10</w:t>
            </w:r>
            <w:r>
              <w:rPr>
                <w:noProof/>
                <w:webHidden/>
              </w:rPr>
              <w:fldChar w:fldCharType="end"/>
            </w:r>
          </w:hyperlink>
        </w:p>
        <w:p w14:paraId="50739522" w14:textId="61ED100D" w:rsidR="002B71FC" w:rsidRDefault="002B71FC">
          <w:pPr>
            <w:pStyle w:val="TOC3"/>
            <w:tabs>
              <w:tab w:val="right" w:leader="dot" w:pos="9016"/>
            </w:tabs>
            <w:rPr>
              <w:rFonts w:eastAsiaTheme="minorEastAsia"/>
              <w:noProof/>
              <w:sz w:val="24"/>
              <w:szCs w:val="24"/>
              <w:lang w:eastAsia="en-AU"/>
            </w:rPr>
          </w:pPr>
          <w:hyperlink w:anchor="_Toc234960815" w:history="1">
            <w:r w:rsidRPr="003E6280">
              <w:rPr>
                <w:rStyle w:val="Hyperlink"/>
                <w:noProof/>
              </w:rPr>
              <w:t>Excess</w:t>
            </w:r>
            <w:r>
              <w:rPr>
                <w:noProof/>
                <w:webHidden/>
              </w:rPr>
              <w:tab/>
            </w:r>
            <w:r>
              <w:rPr>
                <w:noProof/>
                <w:webHidden/>
              </w:rPr>
              <w:fldChar w:fldCharType="begin"/>
            </w:r>
            <w:r>
              <w:rPr>
                <w:noProof/>
                <w:webHidden/>
              </w:rPr>
              <w:instrText xml:space="preserve"> PAGEREF _Toc234960815 \h </w:instrText>
            </w:r>
            <w:r>
              <w:rPr>
                <w:noProof/>
                <w:webHidden/>
              </w:rPr>
            </w:r>
            <w:r>
              <w:rPr>
                <w:noProof/>
                <w:webHidden/>
              </w:rPr>
              <w:fldChar w:fldCharType="separate"/>
            </w:r>
            <w:r>
              <w:rPr>
                <w:noProof/>
                <w:webHidden/>
              </w:rPr>
              <w:t>11</w:t>
            </w:r>
            <w:r>
              <w:rPr>
                <w:noProof/>
                <w:webHidden/>
              </w:rPr>
              <w:fldChar w:fldCharType="end"/>
            </w:r>
          </w:hyperlink>
        </w:p>
        <w:p w14:paraId="7D2D0ACC" w14:textId="7BB31B59" w:rsidR="002B71FC" w:rsidRDefault="002B71FC">
          <w:pPr>
            <w:pStyle w:val="TOC2"/>
            <w:tabs>
              <w:tab w:val="right" w:leader="dot" w:pos="9016"/>
            </w:tabs>
            <w:rPr>
              <w:rFonts w:eastAsiaTheme="minorEastAsia"/>
              <w:noProof/>
              <w:sz w:val="24"/>
              <w:szCs w:val="24"/>
              <w:lang w:eastAsia="en-AU"/>
            </w:rPr>
          </w:pPr>
          <w:hyperlink w:anchor="_Toc234960816" w:history="1">
            <w:r w:rsidRPr="003E6280">
              <w:rPr>
                <w:rStyle w:val="Hyperlink"/>
                <w:b/>
                <w:bCs/>
                <w:noProof/>
              </w:rPr>
              <w:t>Sensitive or at-risk groups</w:t>
            </w:r>
            <w:r>
              <w:rPr>
                <w:noProof/>
                <w:webHidden/>
              </w:rPr>
              <w:tab/>
            </w:r>
            <w:r>
              <w:rPr>
                <w:noProof/>
                <w:webHidden/>
              </w:rPr>
              <w:fldChar w:fldCharType="begin"/>
            </w:r>
            <w:r>
              <w:rPr>
                <w:noProof/>
                <w:webHidden/>
              </w:rPr>
              <w:instrText xml:space="preserve"> PAGEREF _Toc234960816 \h </w:instrText>
            </w:r>
            <w:r>
              <w:rPr>
                <w:noProof/>
                <w:webHidden/>
              </w:rPr>
            </w:r>
            <w:r>
              <w:rPr>
                <w:noProof/>
                <w:webHidden/>
              </w:rPr>
              <w:fldChar w:fldCharType="separate"/>
            </w:r>
            <w:r>
              <w:rPr>
                <w:noProof/>
                <w:webHidden/>
              </w:rPr>
              <w:t>11</w:t>
            </w:r>
            <w:r>
              <w:rPr>
                <w:noProof/>
                <w:webHidden/>
              </w:rPr>
              <w:fldChar w:fldCharType="end"/>
            </w:r>
          </w:hyperlink>
        </w:p>
        <w:p w14:paraId="44041EF5" w14:textId="5D1C9DE5" w:rsidR="002B71FC" w:rsidRDefault="002B71FC">
          <w:pPr>
            <w:pStyle w:val="TOC2"/>
            <w:tabs>
              <w:tab w:val="right" w:leader="dot" w:pos="9016"/>
            </w:tabs>
            <w:rPr>
              <w:rFonts w:eastAsiaTheme="minorEastAsia"/>
              <w:noProof/>
              <w:sz w:val="24"/>
              <w:szCs w:val="24"/>
              <w:lang w:eastAsia="en-AU"/>
            </w:rPr>
          </w:pPr>
          <w:hyperlink w:anchor="_Toc234960817" w:history="1">
            <w:r w:rsidRPr="003E6280">
              <w:rPr>
                <w:rStyle w:val="Hyperlink"/>
                <w:b/>
                <w:bCs/>
                <w:noProof/>
              </w:rPr>
              <w:t>Interactions with other nutrients</w:t>
            </w:r>
            <w:r>
              <w:rPr>
                <w:noProof/>
                <w:webHidden/>
              </w:rPr>
              <w:tab/>
            </w:r>
            <w:r>
              <w:rPr>
                <w:noProof/>
                <w:webHidden/>
              </w:rPr>
              <w:fldChar w:fldCharType="begin"/>
            </w:r>
            <w:r>
              <w:rPr>
                <w:noProof/>
                <w:webHidden/>
              </w:rPr>
              <w:instrText xml:space="preserve"> PAGEREF _Toc234960817 \h </w:instrText>
            </w:r>
            <w:r>
              <w:rPr>
                <w:noProof/>
                <w:webHidden/>
              </w:rPr>
            </w:r>
            <w:r>
              <w:rPr>
                <w:noProof/>
                <w:webHidden/>
              </w:rPr>
              <w:fldChar w:fldCharType="separate"/>
            </w:r>
            <w:r>
              <w:rPr>
                <w:noProof/>
                <w:webHidden/>
              </w:rPr>
              <w:t>12</w:t>
            </w:r>
            <w:r>
              <w:rPr>
                <w:noProof/>
                <w:webHidden/>
              </w:rPr>
              <w:fldChar w:fldCharType="end"/>
            </w:r>
          </w:hyperlink>
        </w:p>
        <w:p w14:paraId="6D2477BD" w14:textId="5D3762F1" w:rsidR="002B71FC" w:rsidRDefault="002B71FC">
          <w:pPr>
            <w:pStyle w:val="TOC1"/>
            <w:tabs>
              <w:tab w:val="right" w:leader="dot" w:pos="9016"/>
            </w:tabs>
            <w:rPr>
              <w:rFonts w:eastAsiaTheme="minorEastAsia"/>
              <w:noProof/>
              <w:sz w:val="24"/>
              <w:szCs w:val="24"/>
              <w:lang w:eastAsia="en-AU"/>
            </w:rPr>
          </w:pPr>
          <w:hyperlink w:anchor="_Toc234960818" w:history="1">
            <w:r w:rsidRPr="003E6280">
              <w:rPr>
                <w:rStyle w:val="Hyperlink"/>
                <w:b/>
                <w:bCs/>
                <w:noProof/>
              </w:rPr>
              <w:t>Current recommendations and international comparisons</w:t>
            </w:r>
            <w:r>
              <w:rPr>
                <w:noProof/>
                <w:webHidden/>
              </w:rPr>
              <w:tab/>
            </w:r>
            <w:r>
              <w:rPr>
                <w:noProof/>
                <w:webHidden/>
              </w:rPr>
              <w:fldChar w:fldCharType="begin"/>
            </w:r>
            <w:r>
              <w:rPr>
                <w:noProof/>
                <w:webHidden/>
              </w:rPr>
              <w:instrText xml:space="preserve"> PAGEREF _Toc234960818 \h </w:instrText>
            </w:r>
            <w:r>
              <w:rPr>
                <w:noProof/>
                <w:webHidden/>
              </w:rPr>
            </w:r>
            <w:r>
              <w:rPr>
                <w:noProof/>
                <w:webHidden/>
              </w:rPr>
              <w:fldChar w:fldCharType="separate"/>
            </w:r>
            <w:r>
              <w:rPr>
                <w:noProof/>
                <w:webHidden/>
              </w:rPr>
              <w:t>13</w:t>
            </w:r>
            <w:r>
              <w:rPr>
                <w:noProof/>
                <w:webHidden/>
              </w:rPr>
              <w:fldChar w:fldCharType="end"/>
            </w:r>
          </w:hyperlink>
        </w:p>
        <w:p w14:paraId="2B128C97" w14:textId="7695AAC2" w:rsidR="002B71FC" w:rsidRDefault="002B71FC">
          <w:pPr>
            <w:pStyle w:val="TOC2"/>
            <w:tabs>
              <w:tab w:val="right" w:leader="dot" w:pos="9016"/>
            </w:tabs>
            <w:rPr>
              <w:rFonts w:eastAsiaTheme="minorEastAsia"/>
              <w:noProof/>
              <w:sz w:val="24"/>
              <w:szCs w:val="24"/>
              <w:lang w:eastAsia="en-AU"/>
            </w:rPr>
          </w:pPr>
          <w:hyperlink w:anchor="_Toc234960819" w:history="1">
            <w:r w:rsidRPr="003E6280">
              <w:rPr>
                <w:rStyle w:val="Hyperlink"/>
                <w:b/>
                <w:bCs/>
                <w:noProof/>
              </w:rPr>
              <w:t>Nutritional requirements – Adequate Intake</w:t>
            </w:r>
            <w:r>
              <w:rPr>
                <w:noProof/>
                <w:webHidden/>
              </w:rPr>
              <w:tab/>
            </w:r>
            <w:r>
              <w:rPr>
                <w:noProof/>
                <w:webHidden/>
              </w:rPr>
              <w:fldChar w:fldCharType="begin"/>
            </w:r>
            <w:r>
              <w:rPr>
                <w:noProof/>
                <w:webHidden/>
              </w:rPr>
              <w:instrText xml:space="preserve"> PAGEREF _Toc234960819 \h </w:instrText>
            </w:r>
            <w:r>
              <w:rPr>
                <w:noProof/>
                <w:webHidden/>
              </w:rPr>
            </w:r>
            <w:r>
              <w:rPr>
                <w:noProof/>
                <w:webHidden/>
              </w:rPr>
              <w:fldChar w:fldCharType="separate"/>
            </w:r>
            <w:r>
              <w:rPr>
                <w:noProof/>
                <w:webHidden/>
              </w:rPr>
              <w:t>13</w:t>
            </w:r>
            <w:r>
              <w:rPr>
                <w:noProof/>
                <w:webHidden/>
              </w:rPr>
              <w:fldChar w:fldCharType="end"/>
            </w:r>
          </w:hyperlink>
        </w:p>
        <w:p w14:paraId="01A84B4F" w14:textId="27AA0E56" w:rsidR="002B71FC" w:rsidRDefault="002B71FC">
          <w:pPr>
            <w:pStyle w:val="TOC3"/>
            <w:tabs>
              <w:tab w:val="right" w:leader="dot" w:pos="9016"/>
            </w:tabs>
            <w:rPr>
              <w:rFonts w:eastAsiaTheme="minorEastAsia"/>
              <w:noProof/>
              <w:sz w:val="24"/>
              <w:szCs w:val="24"/>
              <w:lang w:eastAsia="en-AU"/>
            </w:rPr>
          </w:pPr>
          <w:hyperlink w:anchor="_Toc234960820" w:history="1">
            <w:r w:rsidRPr="003E6280">
              <w:rPr>
                <w:rStyle w:val="Hyperlink"/>
                <w:noProof/>
              </w:rPr>
              <w:t>Australian and New Zealand NRVs</w:t>
            </w:r>
            <w:r>
              <w:rPr>
                <w:noProof/>
                <w:webHidden/>
              </w:rPr>
              <w:tab/>
            </w:r>
            <w:r>
              <w:rPr>
                <w:noProof/>
                <w:webHidden/>
              </w:rPr>
              <w:fldChar w:fldCharType="begin"/>
            </w:r>
            <w:r>
              <w:rPr>
                <w:noProof/>
                <w:webHidden/>
              </w:rPr>
              <w:instrText xml:space="preserve"> PAGEREF _Toc234960820 \h </w:instrText>
            </w:r>
            <w:r>
              <w:rPr>
                <w:noProof/>
                <w:webHidden/>
              </w:rPr>
            </w:r>
            <w:r>
              <w:rPr>
                <w:noProof/>
                <w:webHidden/>
              </w:rPr>
              <w:fldChar w:fldCharType="separate"/>
            </w:r>
            <w:r>
              <w:rPr>
                <w:noProof/>
                <w:webHidden/>
              </w:rPr>
              <w:t>13</w:t>
            </w:r>
            <w:r>
              <w:rPr>
                <w:noProof/>
                <w:webHidden/>
              </w:rPr>
              <w:fldChar w:fldCharType="end"/>
            </w:r>
          </w:hyperlink>
        </w:p>
        <w:p w14:paraId="305DCFFF" w14:textId="66EB4E77" w:rsidR="002B71FC" w:rsidRDefault="002B71FC">
          <w:pPr>
            <w:pStyle w:val="TOC3"/>
            <w:tabs>
              <w:tab w:val="right" w:leader="dot" w:pos="9016"/>
            </w:tabs>
            <w:rPr>
              <w:rFonts w:eastAsiaTheme="minorEastAsia"/>
              <w:noProof/>
              <w:sz w:val="24"/>
              <w:szCs w:val="24"/>
              <w:lang w:eastAsia="en-AU"/>
            </w:rPr>
          </w:pPr>
          <w:hyperlink w:anchor="_Toc234960821" w:history="1">
            <w:r w:rsidRPr="003E6280">
              <w:rPr>
                <w:rStyle w:val="Hyperlink"/>
                <w:noProof/>
              </w:rPr>
              <w:t>International Comparisons</w:t>
            </w:r>
            <w:r>
              <w:rPr>
                <w:noProof/>
                <w:webHidden/>
              </w:rPr>
              <w:tab/>
            </w:r>
            <w:r>
              <w:rPr>
                <w:noProof/>
                <w:webHidden/>
              </w:rPr>
              <w:fldChar w:fldCharType="begin"/>
            </w:r>
            <w:r>
              <w:rPr>
                <w:noProof/>
                <w:webHidden/>
              </w:rPr>
              <w:instrText xml:space="preserve"> PAGEREF _Toc234960821 \h </w:instrText>
            </w:r>
            <w:r>
              <w:rPr>
                <w:noProof/>
                <w:webHidden/>
              </w:rPr>
            </w:r>
            <w:r>
              <w:rPr>
                <w:noProof/>
                <w:webHidden/>
              </w:rPr>
              <w:fldChar w:fldCharType="separate"/>
            </w:r>
            <w:r>
              <w:rPr>
                <w:noProof/>
                <w:webHidden/>
              </w:rPr>
              <w:t>14</w:t>
            </w:r>
            <w:r>
              <w:rPr>
                <w:noProof/>
                <w:webHidden/>
              </w:rPr>
              <w:fldChar w:fldCharType="end"/>
            </w:r>
          </w:hyperlink>
        </w:p>
        <w:p w14:paraId="1A012941" w14:textId="3EE999AA" w:rsidR="002B71FC" w:rsidRDefault="002B71FC">
          <w:pPr>
            <w:pStyle w:val="TOC2"/>
            <w:tabs>
              <w:tab w:val="right" w:leader="dot" w:pos="9016"/>
            </w:tabs>
            <w:rPr>
              <w:rFonts w:eastAsiaTheme="minorEastAsia"/>
              <w:noProof/>
              <w:sz w:val="24"/>
              <w:szCs w:val="24"/>
              <w:lang w:eastAsia="en-AU"/>
            </w:rPr>
          </w:pPr>
          <w:hyperlink w:anchor="_Toc234960822" w:history="1">
            <w:r w:rsidRPr="003E6280">
              <w:rPr>
                <w:rStyle w:val="Hyperlink"/>
                <w:b/>
                <w:bCs/>
                <w:noProof/>
              </w:rPr>
              <w:t>Chronic disease prevention</w:t>
            </w:r>
            <w:r>
              <w:rPr>
                <w:noProof/>
                <w:webHidden/>
              </w:rPr>
              <w:tab/>
            </w:r>
            <w:r>
              <w:rPr>
                <w:noProof/>
                <w:webHidden/>
              </w:rPr>
              <w:fldChar w:fldCharType="begin"/>
            </w:r>
            <w:r>
              <w:rPr>
                <w:noProof/>
                <w:webHidden/>
              </w:rPr>
              <w:instrText xml:space="preserve"> PAGEREF _Toc234960822 \h </w:instrText>
            </w:r>
            <w:r>
              <w:rPr>
                <w:noProof/>
                <w:webHidden/>
              </w:rPr>
            </w:r>
            <w:r>
              <w:rPr>
                <w:noProof/>
                <w:webHidden/>
              </w:rPr>
              <w:fldChar w:fldCharType="separate"/>
            </w:r>
            <w:r>
              <w:rPr>
                <w:noProof/>
                <w:webHidden/>
              </w:rPr>
              <w:t>16</w:t>
            </w:r>
            <w:r>
              <w:rPr>
                <w:noProof/>
                <w:webHidden/>
              </w:rPr>
              <w:fldChar w:fldCharType="end"/>
            </w:r>
          </w:hyperlink>
        </w:p>
        <w:p w14:paraId="399869C2" w14:textId="2B610003" w:rsidR="002B71FC" w:rsidRDefault="002B71FC">
          <w:pPr>
            <w:pStyle w:val="TOC3"/>
            <w:tabs>
              <w:tab w:val="right" w:leader="dot" w:pos="9016"/>
            </w:tabs>
            <w:rPr>
              <w:rFonts w:eastAsiaTheme="minorEastAsia"/>
              <w:noProof/>
              <w:sz w:val="24"/>
              <w:szCs w:val="24"/>
              <w:lang w:eastAsia="en-AU"/>
            </w:rPr>
          </w:pPr>
          <w:hyperlink w:anchor="_Toc234960823" w:history="1">
            <w:r w:rsidRPr="003E6280">
              <w:rPr>
                <w:rStyle w:val="Hyperlink"/>
                <w:noProof/>
              </w:rPr>
              <w:t>Australian and New Zealand NRVs</w:t>
            </w:r>
            <w:r>
              <w:rPr>
                <w:noProof/>
                <w:webHidden/>
              </w:rPr>
              <w:tab/>
            </w:r>
            <w:r>
              <w:rPr>
                <w:noProof/>
                <w:webHidden/>
              </w:rPr>
              <w:fldChar w:fldCharType="begin"/>
            </w:r>
            <w:r>
              <w:rPr>
                <w:noProof/>
                <w:webHidden/>
              </w:rPr>
              <w:instrText xml:space="preserve"> PAGEREF _Toc234960823 \h </w:instrText>
            </w:r>
            <w:r>
              <w:rPr>
                <w:noProof/>
                <w:webHidden/>
              </w:rPr>
            </w:r>
            <w:r>
              <w:rPr>
                <w:noProof/>
                <w:webHidden/>
              </w:rPr>
              <w:fldChar w:fldCharType="separate"/>
            </w:r>
            <w:r>
              <w:rPr>
                <w:noProof/>
                <w:webHidden/>
              </w:rPr>
              <w:t>16</w:t>
            </w:r>
            <w:r>
              <w:rPr>
                <w:noProof/>
                <w:webHidden/>
              </w:rPr>
              <w:fldChar w:fldCharType="end"/>
            </w:r>
          </w:hyperlink>
        </w:p>
        <w:p w14:paraId="271E1015" w14:textId="144DD9F2" w:rsidR="002B71FC" w:rsidRDefault="002B71FC">
          <w:pPr>
            <w:pStyle w:val="TOC3"/>
            <w:tabs>
              <w:tab w:val="right" w:leader="dot" w:pos="9016"/>
            </w:tabs>
            <w:rPr>
              <w:rFonts w:eastAsiaTheme="minorEastAsia"/>
              <w:noProof/>
              <w:sz w:val="24"/>
              <w:szCs w:val="24"/>
              <w:lang w:eastAsia="en-AU"/>
            </w:rPr>
          </w:pPr>
          <w:hyperlink w:anchor="_Toc234960824" w:history="1">
            <w:r w:rsidRPr="003E6280">
              <w:rPr>
                <w:rStyle w:val="Hyperlink"/>
                <w:noProof/>
              </w:rPr>
              <w:t>International Comparisons</w:t>
            </w:r>
            <w:r>
              <w:rPr>
                <w:noProof/>
                <w:webHidden/>
              </w:rPr>
              <w:tab/>
            </w:r>
            <w:r>
              <w:rPr>
                <w:noProof/>
                <w:webHidden/>
              </w:rPr>
              <w:fldChar w:fldCharType="begin"/>
            </w:r>
            <w:r>
              <w:rPr>
                <w:noProof/>
                <w:webHidden/>
              </w:rPr>
              <w:instrText xml:space="preserve"> PAGEREF _Toc234960824 \h </w:instrText>
            </w:r>
            <w:r>
              <w:rPr>
                <w:noProof/>
                <w:webHidden/>
              </w:rPr>
            </w:r>
            <w:r>
              <w:rPr>
                <w:noProof/>
                <w:webHidden/>
              </w:rPr>
              <w:fldChar w:fldCharType="separate"/>
            </w:r>
            <w:r>
              <w:rPr>
                <w:noProof/>
                <w:webHidden/>
              </w:rPr>
              <w:t>16</w:t>
            </w:r>
            <w:r>
              <w:rPr>
                <w:noProof/>
                <w:webHidden/>
              </w:rPr>
              <w:fldChar w:fldCharType="end"/>
            </w:r>
          </w:hyperlink>
        </w:p>
        <w:p w14:paraId="475BB445" w14:textId="14B8496A" w:rsidR="002B71FC" w:rsidRDefault="002B71FC">
          <w:pPr>
            <w:pStyle w:val="TOC2"/>
            <w:tabs>
              <w:tab w:val="right" w:leader="dot" w:pos="9016"/>
            </w:tabs>
            <w:rPr>
              <w:rFonts w:eastAsiaTheme="minorEastAsia"/>
              <w:noProof/>
              <w:sz w:val="24"/>
              <w:szCs w:val="24"/>
              <w:lang w:eastAsia="en-AU"/>
            </w:rPr>
          </w:pPr>
          <w:hyperlink w:anchor="_Toc234960825" w:history="1">
            <w:r w:rsidRPr="003E6280">
              <w:rPr>
                <w:rStyle w:val="Hyperlink"/>
                <w:b/>
                <w:bCs/>
                <w:noProof/>
              </w:rPr>
              <w:t>Upper Levels</w:t>
            </w:r>
            <w:r>
              <w:rPr>
                <w:noProof/>
                <w:webHidden/>
              </w:rPr>
              <w:tab/>
            </w:r>
            <w:r>
              <w:rPr>
                <w:noProof/>
                <w:webHidden/>
              </w:rPr>
              <w:fldChar w:fldCharType="begin"/>
            </w:r>
            <w:r>
              <w:rPr>
                <w:noProof/>
                <w:webHidden/>
              </w:rPr>
              <w:instrText xml:space="preserve"> PAGEREF _Toc234960825 \h </w:instrText>
            </w:r>
            <w:r>
              <w:rPr>
                <w:noProof/>
                <w:webHidden/>
              </w:rPr>
            </w:r>
            <w:r>
              <w:rPr>
                <w:noProof/>
                <w:webHidden/>
              </w:rPr>
              <w:fldChar w:fldCharType="separate"/>
            </w:r>
            <w:r>
              <w:rPr>
                <w:noProof/>
                <w:webHidden/>
              </w:rPr>
              <w:t>19</w:t>
            </w:r>
            <w:r>
              <w:rPr>
                <w:noProof/>
                <w:webHidden/>
              </w:rPr>
              <w:fldChar w:fldCharType="end"/>
            </w:r>
          </w:hyperlink>
        </w:p>
        <w:p w14:paraId="241F8F37" w14:textId="7BD04CA6" w:rsidR="002B71FC" w:rsidRDefault="002B71FC">
          <w:pPr>
            <w:pStyle w:val="TOC3"/>
            <w:tabs>
              <w:tab w:val="right" w:leader="dot" w:pos="9016"/>
            </w:tabs>
            <w:rPr>
              <w:rFonts w:eastAsiaTheme="minorEastAsia"/>
              <w:noProof/>
              <w:sz w:val="24"/>
              <w:szCs w:val="24"/>
              <w:lang w:eastAsia="en-AU"/>
            </w:rPr>
          </w:pPr>
          <w:hyperlink w:anchor="_Toc234960826" w:history="1">
            <w:r w:rsidRPr="003E6280">
              <w:rPr>
                <w:rStyle w:val="Hyperlink"/>
                <w:noProof/>
              </w:rPr>
              <w:t>Australian and New Zealand NRVs</w:t>
            </w:r>
            <w:r>
              <w:rPr>
                <w:noProof/>
                <w:webHidden/>
              </w:rPr>
              <w:tab/>
            </w:r>
            <w:r>
              <w:rPr>
                <w:noProof/>
                <w:webHidden/>
              </w:rPr>
              <w:fldChar w:fldCharType="begin"/>
            </w:r>
            <w:r>
              <w:rPr>
                <w:noProof/>
                <w:webHidden/>
              </w:rPr>
              <w:instrText xml:space="preserve"> PAGEREF _Toc234960826 \h </w:instrText>
            </w:r>
            <w:r>
              <w:rPr>
                <w:noProof/>
                <w:webHidden/>
              </w:rPr>
            </w:r>
            <w:r>
              <w:rPr>
                <w:noProof/>
                <w:webHidden/>
              </w:rPr>
              <w:fldChar w:fldCharType="separate"/>
            </w:r>
            <w:r>
              <w:rPr>
                <w:noProof/>
                <w:webHidden/>
              </w:rPr>
              <w:t>19</w:t>
            </w:r>
            <w:r>
              <w:rPr>
                <w:noProof/>
                <w:webHidden/>
              </w:rPr>
              <w:fldChar w:fldCharType="end"/>
            </w:r>
          </w:hyperlink>
        </w:p>
        <w:p w14:paraId="69C5E3C8" w14:textId="46EA7A15" w:rsidR="002B71FC" w:rsidRDefault="002B71FC">
          <w:pPr>
            <w:pStyle w:val="TOC3"/>
            <w:tabs>
              <w:tab w:val="right" w:leader="dot" w:pos="9016"/>
            </w:tabs>
            <w:rPr>
              <w:rFonts w:eastAsiaTheme="minorEastAsia"/>
              <w:noProof/>
              <w:sz w:val="24"/>
              <w:szCs w:val="24"/>
              <w:lang w:eastAsia="en-AU"/>
            </w:rPr>
          </w:pPr>
          <w:hyperlink w:anchor="_Toc234960827" w:history="1">
            <w:r w:rsidRPr="003E6280">
              <w:rPr>
                <w:rStyle w:val="Hyperlink"/>
                <w:noProof/>
              </w:rPr>
              <w:t>International Comparisons</w:t>
            </w:r>
            <w:r>
              <w:rPr>
                <w:noProof/>
                <w:webHidden/>
              </w:rPr>
              <w:tab/>
            </w:r>
            <w:r>
              <w:rPr>
                <w:noProof/>
                <w:webHidden/>
              </w:rPr>
              <w:fldChar w:fldCharType="begin"/>
            </w:r>
            <w:r>
              <w:rPr>
                <w:noProof/>
                <w:webHidden/>
              </w:rPr>
              <w:instrText xml:space="preserve"> PAGEREF _Toc234960827 \h </w:instrText>
            </w:r>
            <w:r>
              <w:rPr>
                <w:noProof/>
                <w:webHidden/>
              </w:rPr>
            </w:r>
            <w:r>
              <w:rPr>
                <w:noProof/>
                <w:webHidden/>
              </w:rPr>
              <w:fldChar w:fldCharType="separate"/>
            </w:r>
            <w:r>
              <w:rPr>
                <w:noProof/>
                <w:webHidden/>
              </w:rPr>
              <w:t>19</w:t>
            </w:r>
            <w:r>
              <w:rPr>
                <w:noProof/>
                <w:webHidden/>
              </w:rPr>
              <w:fldChar w:fldCharType="end"/>
            </w:r>
          </w:hyperlink>
        </w:p>
        <w:p w14:paraId="67C04F56" w14:textId="1E0E7B97" w:rsidR="002B71FC" w:rsidRDefault="002B71FC">
          <w:pPr>
            <w:pStyle w:val="TOC1"/>
            <w:tabs>
              <w:tab w:val="right" w:leader="dot" w:pos="9016"/>
            </w:tabs>
            <w:rPr>
              <w:rFonts w:eastAsiaTheme="minorEastAsia"/>
              <w:noProof/>
              <w:sz w:val="24"/>
              <w:szCs w:val="24"/>
              <w:lang w:eastAsia="en-AU"/>
            </w:rPr>
          </w:pPr>
          <w:hyperlink w:anchor="_Toc234960828" w:history="1">
            <w:r w:rsidRPr="003E6280">
              <w:rPr>
                <w:rStyle w:val="Hyperlink"/>
                <w:b/>
                <w:bCs/>
                <w:noProof/>
              </w:rPr>
              <w:t>Australian and New Zealand nutrition context</w:t>
            </w:r>
            <w:r>
              <w:rPr>
                <w:noProof/>
                <w:webHidden/>
              </w:rPr>
              <w:tab/>
            </w:r>
            <w:r>
              <w:rPr>
                <w:noProof/>
                <w:webHidden/>
              </w:rPr>
              <w:fldChar w:fldCharType="begin"/>
            </w:r>
            <w:r>
              <w:rPr>
                <w:noProof/>
                <w:webHidden/>
              </w:rPr>
              <w:instrText xml:space="preserve"> PAGEREF _Toc234960828 \h </w:instrText>
            </w:r>
            <w:r>
              <w:rPr>
                <w:noProof/>
                <w:webHidden/>
              </w:rPr>
            </w:r>
            <w:r>
              <w:rPr>
                <w:noProof/>
                <w:webHidden/>
              </w:rPr>
              <w:fldChar w:fldCharType="separate"/>
            </w:r>
            <w:r>
              <w:rPr>
                <w:noProof/>
                <w:webHidden/>
              </w:rPr>
              <w:t>21</w:t>
            </w:r>
            <w:r>
              <w:rPr>
                <w:noProof/>
                <w:webHidden/>
              </w:rPr>
              <w:fldChar w:fldCharType="end"/>
            </w:r>
          </w:hyperlink>
        </w:p>
        <w:p w14:paraId="57B094B8" w14:textId="4432E9F3" w:rsidR="002B71FC" w:rsidRDefault="002B71FC">
          <w:pPr>
            <w:pStyle w:val="TOC2"/>
            <w:tabs>
              <w:tab w:val="right" w:leader="dot" w:pos="9016"/>
            </w:tabs>
            <w:rPr>
              <w:rFonts w:eastAsiaTheme="minorEastAsia"/>
              <w:noProof/>
              <w:sz w:val="24"/>
              <w:szCs w:val="24"/>
              <w:lang w:eastAsia="en-AU"/>
            </w:rPr>
          </w:pPr>
          <w:hyperlink w:anchor="_Toc234960829" w:history="1">
            <w:r w:rsidRPr="003E6280">
              <w:rPr>
                <w:rStyle w:val="Hyperlink"/>
                <w:b/>
                <w:bCs/>
                <w:noProof/>
              </w:rPr>
              <w:t>Population intakes</w:t>
            </w:r>
            <w:r>
              <w:rPr>
                <w:noProof/>
                <w:webHidden/>
              </w:rPr>
              <w:tab/>
            </w:r>
            <w:r>
              <w:rPr>
                <w:noProof/>
                <w:webHidden/>
              </w:rPr>
              <w:fldChar w:fldCharType="begin"/>
            </w:r>
            <w:r>
              <w:rPr>
                <w:noProof/>
                <w:webHidden/>
              </w:rPr>
              <w:instrText xml:space="preserve"> PAGEREF _Toc234960829 \h </w:instrText>
            </w:r>
            <w:r>
              <w:rPr>
                <w:noProof/>
                <w:webHidden/>
              </w:rPr>
            </w:r>
            <w:r>
              <w:rPr>
                <w:noProof/>
                <w:webHidden/>
              </w:rPr>
              <w:fldChar w:fldCharType="separate"/>
            </w:r>
            <w:r>
              <w:rPr>
                <w:noProof/>
                <w:webHidden/>
              </w:rPr>
              <w:t>21</w:t>
            </w:r>
            <w:r>
              <w:rPr>
                <w:noProof/>
                <w:webHidden/>
              </w:rPr>
              <w:fldChar w:fldCharType="end"/>
            </w:r>
          </w:hyperlink>
        </w:p>
        <w:p w14:paraId="2C464810" w14:textId="42FC0D5E" w:rsidR="002B71FC" w:rsidRDefault="002B71FC">
          <w:pPr>
            <w:pStyle w:val="TOC3"/>
            <w:tabs>
              <w:tab w:val="right" w:leader="dot" w:pos="9016"/>
            </w:tabs>
            <w:rPr>
              <w:rFonts w:eastAsiaTheme="minorEastAsia"/>
              <w:noProof/>
              <w:sz w:val="24"/>
              <w:szCs w:val="24"/>
              <w:lang w:eastAsia="en-AU"/>
            </w:rPr>
          </w:pPr>
          <w:hyperlink w:anchor="_Toc234960830" w:history="1">
            <w:r w:rsidRPr="003E6280">
              <w:rPr>
                <w:rStyle w:val="Hyperlink"/>
                <w:noProof/>
              </w:rPr>
              <w:t>Australia</w:t>
            </w:r>
            <w:r>
              <w:rPr>
                <w:noProof/>
                <w:webHidden/>
              </w:rPr>
              <w:tab/>
            </w:r>
            <w:r>
              <w:rPr>
                <w:noProof/>
                <w:webHidden/>
              </w:rPr>
              <w:fldChar w:fldCharType="begin"/>
            </w:r>
            <w:r>
              <w:rPr>
                <w:noProof/>
                <w:webHidden/>
              </w:rPr>
              <w:instrText xml:space="preserve"> PAGEREF _Toc234960830 \h </w:instrText>
            </w:r>
            <w:r>
              <w:rPr>
                <w:noProof/>
                <w:webHidden/>
              </w:rPr>
            </w:r>
            <w:r>
              <w:rPr>
                <w:noProof/>
                <w:webHidden/>
              </w:rPr>
              <w:fldChar w:fldCharType="separate"/>
            </w:r>
            <w:r>
              <w:rPr>
                <w:noProof/>
                <w:webHidden/>
              </w:rPr>
              <w:t>21</w:t>
            </w:r>
            <w:r>
              <w:rPr>
                <w:noProof/>
                <w:webHidden/>
              </w:rPr>
              <w:fldChar w:fldCharType="end"/>
            </w:r>
          </w:hyperlink>
        </w:p>
        <w:p w14:paraId="1F4752E6" w14:textId="5290539E" w:rsidR="002B71FC" w:rsidRDefault="002B71FC">
          <w:pPr>
            <w:pStyle w:val="TOC3"/>
            <w:tabs>
              <w:tab w:val="right" w:leader="dot" w:pos="9016"/>
            </w:tabs>
            <w:rPr>
              <w:rFonts w:eastAsiaTheme="minorEastAsia"/>
              <w:noProof/>
              <w:sz w:val="24"/>
              <w:szCs w:val="24"/>
              <w:lang w:eastAsia="en-AU"/>
            </w:rPr>
          </w:pPr>
          <w:hyperlink w:anchor="_Toc234960831" w:history="1">
            <w:r w:rsidRPr="003E6280">
              <w:rPr>
                <w:rStyle w:val="Hyperlink"/>
                <w:noProof/>
              </w:rPr>
              <w:t>New Zealand</w:t>
            </w:r>
            <w:r>
              <w:rPr>
                <w:noProof/>
                <w:webHidden/>
              </w:rPr>
              <w:tab/>
            </w:r>
            <w:r>
              <w:rPr>
                <w:noProof/>
                <w:webHidden/>
              </w:rPr>
              <w:fldChar w:fldCharType="begin"/>
            </w:r>
            <w:r>
              <w:rPr>
                <w:noProof/>
                <w:webHidden/>
              </w:rPr>
              <w:instrText xml:space="preserve"> PAGEREF _Toc234960831 \h </w:instrText>
            </w:r>
            <w:r>
              <w:rPr>
                <w:noProof/>
                <w:webHidden/>
              </w:rPr>
            </w:r>
            <w:r>
              <w:rPr>
                <w:noProof/>
                <w:webHidden/>
              </w:rPr>
              <w:fldChar w:fldCharType="separate"/>
            </w:r>
            <w:r>
              <w:rPr>
                <w:noProof/>
                <w:webHidden/>
              </w:rPr>
              <w:t>25</w:t>
            </w:r>
            <w:r>
              <w:rPr>
                <w:noProof/>
                <w:webHidden/>
              </w:rPr>
              <w:fldChar w:fldCharType="end"/>
            </w:r>
          </w:hyperlink>
        </w:p>
        <w:p w14:paraId="0E44072B" w14:textId="32C35766" w:rsidR="002B71FC" w:rsidRDefault="002B71FC">
          <w:pPr>
            <w:pStyle w:val="TOC2"/>
            <w:tabs>
              <w:tab w:val="right" w:leader="dot" w:pos="9016"/>
            </w:tabs>
            <w:rPr>
              <w:rFonts w:eastAsiaTheme="minorEastAsia"/>
              <w:noProof/>
              <w:sz w:val="24"/>
              <w:szCs w:val="24"/>
              <w:lang w:eastAsia="en-AU"/>
            </w:rPr>
          </w:pPr>
          <w:hyperlink w:anchor="_Toc234960832" w:history="1">
            <w:r w:rsidRPr="003E6280">
              <w:rPr>
                <w:rStyle w:val="Hyperlink"/>
                <w:b/>
                <w:bCs/>
                <w:noProof/>
              </w:rPr>
              <w:t>Sodium content of diets and food supply</w:t>
            </w:r>
            <w:r>
              <w:rPr>
                <w:noProof/>
                <w:webHidden/>
              </w:rPr>
              <w:tab/>
            </w:r>
            <w:r>
              <w:rPr>
                <w:noProof/>
                <w:webHidden/>
              </w:rPr>
              <w:fldChar w:fldCharType="begin"/>
            </w:r>
            <w:r>
              <w:rPr>
                <w:noProof/>
                <w:webHidden/>
              </w:rPr>
              <w:instrText xml:space="preserve"> PAGEREF _Toc234960832 \h </w:instrText>
            </w:r>
            <w:r>
              <w:rPr>
                <w:noProof/>
                <w:webHidden/>
              </w:rPr>
            </w:r>
            <w:r>
              <w:rPr>
                <w:noProof/>
                <w:webHidden/>
              </w:rPr>
              <w:fldChar w:fldCharType="separate"/>
            </w:r>
            <w:r>
              <w:rPr>
                <w:noProof/>
                <w:webHidden/>
              </w:rPr>
              <w:t>28</w:t>
            </w:r>
            <w:r>
              <w:rPr>
                <w:noProof/>
                <w:webHidden/>
              </w:rPr>
              <w:fldChar w:fldCharType="end"/>
            </w:r>
          </w:hyperlink>
        </w:p>
        <w:p w14:paraId="62D3A648" w14:textId="1D24CAD5" w:rsidR="002B71FC" w:rsidRDefault="002B71FC">
          <w:pPr>
            <w:pStyle w:val="TOC3"/>
            <w:tabs>
              <w:tab w:val="right" w:leader="dot" w:pos="9016"/>
            </w:tabs>
            <w:rPr>
              <w:rFonts w:eastAsiaTheme="minorEastAsia"/>
              <w:noProof/>
              <w:sz w:val="24"/>
              <w:szCs w:val="24"/>
              <w:lang w:eastAsia="en-AU"/>
            </w:rPr>
          </w:pPr>
          <w:hyperlink w:anchor="_Toc234960833" w:history="1">
            <w:r w:rsidRPr="003E6280">
              <w:rPr>
                <w:rStyle w:val="Hyperlink"/>
                <w:noProof/>
              </w:rPr>
              <w:t>Diets</w:t>
            </w:r>
            <w:r>
              <w:rPr>
                <w:noProof/>
                <w:webHidden/>
              </w:rPr>
              <w:tab/>
            </w:r>
            <w:r>
              <w:rPr>
                <w:noProof/>
                <w:webHidden/>
              </w:rPr>
              <w:fldChar w:fldCharType="begin"/>
            </w:r>
            <w:r>
              <w:rPr>
                <w:noProof/>
                <w:webHidden/>
              </w:rPr>
              <w:instrText xml:space="preserve"> PAGEREF _Toc234960833 \h </w:instrText>
            </w:r>
            <w:r>
              <w:rPr>
                <w:noProof/>
                <w:webHidden/>
              </w:rPr>
            </w:r>
            <w:r>
              <w:rPr>
                <w:noProof/>
                <w:webHidden/>
              </w:rPr>
              <w:fldChar w:fldCharType="separate"/>
            </w:r>
            <w:r>
              <w:rPr>
                <w:noProof/>
                <w:webHidden/>
              </w:rPr>
              <w:t>28</w:t>
            </w:r>
            <w:r>
              <w:rPr>
                <w:noProof/>
                <w:webHidden/>
              </w:rPr>
              <w:fldChar w:fldCharType="end"/>
            </w:r>
          </w:hyperlink>
        </w:p>
        <w:p w14:paraId="6C9EF1B1" w14:textId="5B995AB2" w:rsidR="002B71FC" w:rsidRDefault="002B71FC">
          <w:pPr>
            <w:pStyle w:val="TOC3"/>
            <w:tabs>
              <w:tab w:val="right" w:leader="dot" w:pos="9016"/>
            </w:tabs>
            <w:rPr>
              <w:rFonts w:eastAsiaTheme="minorEastAsia"/>
              <w:noProof/>
              <w:sz w:val="24"/>
              <w:szCs w:val="24"/>
              <w:lang w:eastAsia="en-AU"/>
            </w:rPr>
          </w:pPr>
          <w:hyperlink w:anchor="_Toc234960834" w:history="1">
            <w:r w:rsidRPr="003E6280">
              <w:rPr>
                <w:rStyle w:val="Hyperlink"/>
                <w:noProof/>
              </w:rPr>
              <w:t>Food supply</w:t>
            </w:r>
            <w:r>
              <w:rPr>
                <w:noProof/>
                <w:webHidden/>
              </w:rPr>
              <w:tab/>
            </w:r>
            <w:r>
              <w:rPr>
                <w:noProof/>
                <w:webHidden/>
              </w:rPr>
              <w:fldChar w:fldCharType="begin"/>
            </w:r>
            <w:r>
              <w:rPr>
                <w:noProof/>
                <w:webHidden/>
              </w:rPr>
              <w:instrText xml:space="preserve"> PAGEREF _Toc234960834 \h </w:instrText>
            </w:r>
            <w:r>
              <w:rPr>
                <w:noProof/>
                <w:webHidden/>
              </w:rPr>
            </w:r>
            <w:r>
              <w:rPr>
                <w:noProof/>
                <w:webHidden/>
              </w:rPr>
              <w:fldChar w:fldCharType="separate"/>
            </w:r>
            <w:r>
              <w:rPr>
                <w:noProof/>
                <w:webHidden/>
              </w:rPr>
              <w:t>28</w:t>
            </w:r>
            <w:r>
              <w:rPr>
                <w:noProof/>
                <w:webHidden/>
              </w:rPr>
              <w:fldChar w:fldCharType="end"/>
            </w:r>
          </w:hyperlink>
        </w:p>
        <w:p w14:paraId="28AB15D4" w14:textId="1EA40543" w:rsidR="002B71FC" w:rsidRDefault="002B71FC">
          <w:pPr>
            <w:pStyle w:val="TOC2"/>
            <w:tabs>
              <w:tab w:val="right" w:leader="dot" w:pos="9016"/>
            </w:tabs>
            <w:rPr>
              <w:rFonts w:eastAsiaTheme="minorEastAsia"/>
              <w:noProof/>
              <w:sz w:val="24"/>
              <w:szCs w:val="24"/>
              <w:lang w:eastAsia="en-AU"/>
            </w:rPr>
          </w:pPr>
          <w:hyperlink w:anchor="_Toc234960835" w:history="1">
            <w:r w:rsidRPr="003E6280">
              <w:rPr>
                <w:rStyle w:val="Hyperlink"/>
                <w:b/>
                <w:bCs/>
                <w:noProof/>
              </w:rPr>
              <w:t>Interventions to reduce population sodium intakes</w:t>
            </w:r>
            <w:r>
              <w:rPr>
                <w:noProof/>
                <w:webHidden/>
              </w:rPr>
              <w:tab/>
            </w:r>
            <w:r>
              <w:rPr>
                <w:noProof/>
                <w:webHidden/>
              </w:rPr>
              <w:fldChar w:fldCharType="begin"/>
            </w:r>
            <w:r>
              <w:rPr>
                <w:noProof/>
                <w:webHidden/>
              </w:rPr>
              <w:instrText xml:space="preserve"> PAGEREF _Toc234960835 \h </w:instrText>
            </w:r>
            <w:r>
              <w:rPr>
                <w:noProof/>
                <w:webHidden/>
              </w:rPr>
            </w:r>
            <w:r>
              <w:rPr>
                <w:noProof/>
                <w:webHidden/>
              </w:rPr>
              <w:fldChar w:fldCharType="separate"/>
            </w:r>
            <w:r>
              <w:rPr>
                <w:noProof/>
                <w:webHidden/>
              </w:rPr>
              <w:t>29</w:t>
            </w:r>
            <w:r>
              <w:rPr>
                <w:noProof/>
                <w:webHidden/>
              </w:rPr>
              <w:fldChar w:fldCharType="end"/>
            </w:r>
          </w:hyperlink>
        </w:p>
        <w:p w14:paraId="467129AD" w14:textId="3742D394" w:rsidR="002B71FC" w:rsidRDefault="002B71FC">
          <w:pPr>
            <w:pStyle w:val="TOC3"/>
            <w:tabs>
              <w:tab w:val="right" w:leader="dot" w:pos="9016"/>
            </w:tabs>
            <w:rPr>
              <w:rFonts w:eastAsiaTheme="minorEastAsia"/>
              <w:noProof/>
              <w:sz w:val="24"/>
              <w:szCs w:val="24"/>
              <w:lang w:eastAsia="en-AU"/>
            </w:rPr>
          </w:pPr>
          <w:hyperlink w:anchor="_Toc234960836" w:history="1">
            <w:r w:rsidRPr="003E6280">
              <w:rPr>
                <w:rStyle w:val="Hyperlink"/>
                <w:noProof/>
              </w:rPr>
              <w:t>Food reformulation</w:t>
            </w:r>
            <w:r>
              <w:rPr>
                <w:noProof/>
                <w:webHidden/>
              </w:rPr>
              <w:tab/>
            </w:r>
            <w:r>
              <w:rPr>
                <w:noProof/>
                <w:webHidden/>
              </w:rPr>
              <w:fldChar w:fldCharType="begin"/>
            </w:r>
            <w:r>
              <w:rPr>
                <w:noProof/>
                <w:webHidden/>
              </w:rPr>
              <w:instrText xml:space="preserve"> PAGEREF _Toc234960836 \h </w:instrText>
            </w:r>
            <w:r>
              <w:rPr>
                <w:noProof/>
                <w:webHidden/>
              </w:rPr>
            </w:r>
            <w:r>
              <w:rPr>
                <w:noProof/>
                <w:webHidden/>
              </w:rPr>
              <w:fldChar w:fldCharType="separate"/>
            </w:r>
            <w:r>
              <w:rPr>
                <w:noProof/>
                <w:webHidden/>
              </w:rPr>
              <w:t>29</w:t>
            </w:r>
            <w:r>
              <w:rPr>
                <w:noProof/>
                <w:webHidden/>
              </w:rPr>
              <w:fldChar w:fldCharType="end"/>
            </w:r>
          </w:hyperlink>
        </w:p>
        <w:p w14:paraId="7E58AC82" w14:textId="4CBC694C" w:rsidR="002B71FC" w:rsidRDefault="002B71FC">
          <w:pPr>
            <w:pStyle w:val="TOC3"/>
            <w:tabs>
              <w:tab w:val="right" w:leader="dot" w:pos="9016"/>
            </w:tabs>
            <w:rPr>
              <w:rFonts w:eastAsiaTheme="minorEastAsia"/>
              <w:noProof/>
              <w:sz w:val="24"/>
              <w:szCs w:val="24"/>
              <w:lang w:eastAsia="en-AU"/>
            </w:rPr>
          </w:pPr>
          <w:hyperlink w:anchor="_Toc234960837" w:history="1">
            <w:r w:rsidRPr="003E6280">
              <w:rPr>
                <w:rStyle w:val="Hyperlink"/>
                <w:noProof/>
              </w:rPr>
              <w:t>Health Stars Rating system</w:t>
            </w:r>
            <w:r>
              <w:rPr>
                <w:noProof/>
                <w:webHidden/>
              </w:rPr>
              <w:tab/>
            </w:r>
            <w:r>
              <w:rPr>
                <w:noProof/>
                <w:webHidden/>
              </w:rPr>
              <w:fldChar w:fldCharType="begin"/>
            </w:r>
            <w:r>
              <w:rPr>
                <w:noProof/>
                <w:webHidden/>
              </w:rPr>
              <w:instrText xml:space="preserve"> PAGEREF _Toc234960837 \h </w:instrText>
            </w:r>
            <w:r>
              <w:rPr>
                <w:noProof/>
                <w:webHidden/>
              </w:rPr>
            </w:r>
            <w:r>
              <w:rPr>
                <w:noProof/>
                <w:webHidden/>
              </w:rPr>
              <w:fldChar w:fldCharType="separate"/>
            </w:r>
            <w:r>
              <w:rPr>
                <w:noProof/>
                <w:webHidden/>
              </w:rPr>
              <w:t>30</w:t>
            </w:r>
            <w:r>
              <w:rPr>
                <w:noProof/>
                <w:webHidden/>
              </w:rPr>
              <w:fldChar w:fldCharType="end"/>
            </w:r>
          </w:hyperlink>
        </w:p>
        <w:p w14:paraId="2ADEEF30" w14:textId="3A627EFD" w:rsidR="002B71FC" w:rsidRDefault="002B71FC">
          <w:pPr>
            <w:pStyle w:val="TOC2"/>
            <w:tabs>
              <w:tab w:val="right" w:leader="dot" w:pos="9016"/>
            </w:tabs>
            <w:rPr>
              <w:rFonts w:eastAsiaTheme="minorEastAsia"/>
              <w:noProof/>
              <w:sz w:val="24"/>
              <w:szCs w:val="24"/>
              <w:lang w:eastAsia="en-AU"/>
            </w:rPr>
          </w:pPr>
          <w:hyperlink w:anchor="_Toc234960838" w:history="1">
            <w:r w:rsidRPr="003E6280">
              <w:rPr>
                <w:rStyle w:val="Hyperlink"/>
                <w:b/>
                <w:bCs/>
                <w:noProof/>
              </w:rPr>
              <w:t>Prevalence of associated disease burden</w:t>
            </w:r>
            <w:r>
              <w:rPr>
                <w:noProof/>
                <w:webHidden/>
              </w:rPr>
              <w:tab/>
            </w:r>
            <w:r>
              <w:rPr>
                <w:noProof/>
                <w:webHidden/>
              </w:rPr>
              <w:fldChar w:fldCharType="begin"/>
            </w:r>
            <w:r>
              <w:rPr>
                <w:noProof/>
                <w:webHidden/>
              </w:rPr>
              <w:instrText xml:space="preserve"> PAGEREF _Toc234960838 \h </w:instrText>
            </w:r>
            <w:r>
              <w:rPr>
                <w:noProof/>
                <w:webHidden/>
              </w:rPr>
            </w:r>
            <w:r>
              <w:rPr>
                <w:noProof/>
                <w:webHidden/>
              </w:rPr>
              <w:fldChar w:fldCharType="separate"/>
            </w:r>
            <w:r>
              <w:rPr>
                <w:noProof/>
                <w:webHidden/>
              </w:rPr>
              <w:t>31</w:t>
            </w:r>
            <w:r>
              <w:rPr>
                <w:noProof/>
                <w:webHidden/>
              </w:rPr>
              <w:fldChar w:fldCharType="end"/>
            </w:r>
          </w:hyperlink>
        </w:p>
        <w:p w14:paraId="458AD6EF" w14:textId="1340FAF2" w:rsidR="002B71FC" w:rsidRDefault="002B71FC">
          <w:pPr>
            <w:pStyle w:val="TOC2"/>
            <w:tabs>
              <w:tab w:val="right" w:leader="dot" w:pos="9016"/>
            </w:tabs>
            <w:rPr>
              <w:rFonts w:eastAsiaTheme="minorEastAsia"/>
              <w:noProof/>
              <w:sz w:val="24"/>
              <w:szCs w:val="24"/>
              <w:lang w:eastAsia="en-AU"/>
            </w:rPr>
          </w:pPr>
          <w:hyperlink w:anchor="_Toc234960839" w:history="1">
            <w:r w:rsidRPr="003E6280">
              <w:rPr>
                <w:rStyle w:val="Hyperlink"/>
                <w:b/>
                <w:bCs/>
                <w:noProof/>
              </w:rPr>
              <w:t>Knowledge, attitudes, and behaviours</w:t>
            </w:r>
            <w:r>
              <w:rPr>
                <w:noProof/>
                <w:webHidden/>
              </w:rPr>
              <w:tab/>
            </w:r>
            <w:r>
              <w:rPr>
                <w:noProof/>
                <w:webHidden/>
              </w:rPr>
              <w:fldChar w:fldCharType="begin"/>
            </w:r>
            <w:r>
              <w:rPr>
                <w:noProof/>
                <w:webHidden/>
              </w:rPr>
              <w:instrText xml:space="preserve"> PAGEREF _Toc234960839 \h </w:instrText>
            </w:r>
            <w:r>
              <w:rPr>
                <w:noProof/>
                <w:webHidden/>
              </w:rPr>
            </w:r>
            <w:r>
              <w:rPr>
                <w:noProof/>
                <w:webHidden/>
              </w:rPr>
              <w:fldChar w:fldCharType="separate"/>
            </w:r>
            <w:r>
              <w:rPr>
                <w:noProof/>
                <w:webHidden/>
              </w:rPr>
              <w:t>32</w:t>
            </w:r>
            <w:r>
              <w:rPr>
                <w:noProof/>
                <w:webHidden/>
              </w:rPr>
              <w:fldChar w:fldCharType="end"/>
            </w:r>
          </w:hyperlink>
        </w:p>
        <w:p w14:paraId="7A646823" w14:textId="5F1FBC3D" w:rsidR="002B71FC" w:rsidRDefault="002B71FC">
          <w:pPr>
            <w:pStyle w:val="TOC1"/>
            <w:tabs>
              <w:tab w:val="right" w:leader="dot" w:pos="9016"/>
            </w:tabs>
            <w:rPr>
              <w:rFonts w:eastAsiaTheme="minorEastAsia"/>
              <w:noProof/>
              <w:sz w:val="24"/>
              <w:szCs w:val="24"/>
              <w:lang w:eastAsia="en-AU"/>
            </w:rPr>
          </w:pPr>
          <w:hyperlink w:anchor="_Toc234960840" w:history="1">
            <w:r w:rsidRPr="003E6280">
              <w:rPr>
                <w:rStyle w:val="Hyperlink"/>
                <w:b/>
                <w:bCs/>
                <w:noProof/>
              </w:rPr>
              <w:t>Summary of Evidence</w:t>
            </w:r>
            <w:r>
              <w:rPr>
                <w:noProof/>
                <w:webHidden/>
              </w:rPr>
              <w:tab/>
            </w:r>
            <w:r>
              <w:rPr>
                <w:noProof/>
                <w:webHidden/>
              </w:rPr>
              <w:fldChar w:fldCharType="begin"/>
            </w:r>
            <w:r>
              <w:rPr>
                <w:noProof/>
                <w:webHidden/>
              </w:rPr>
              <w:instrText xml:space="preserve"> PAGEREF _Toc234960840 \h </w:instrText>
            </w:r>
            <w:r>
              <w:rPr>
                <w:noProof/>
                <w:webHidden/>
              </w:rPr>
            </w:r>
            <w:r>
              <w:rPr>
                <w:noProof/>
                <w:webHidden/>
              </w:rPr>
              <w:fldChar w:fldCharType="separate"/>
            </w:r>
            <w:r>
              <w:rPr>
                <w:noProof/>
                <w:webHidden/>
              </w:rPr>
              <w:t>32</w:t>
            </w:r>
            <w:r>
              <w:rPr>
                <w:noProof/>
                <w:webHidden/>
              </w:rPr>
              <w:fldChar w:fldCharType="end"/>
            </w:r>
          </w:hyperlink>
        </w:p>
        <w:p w14:paraId="78FBF455" w14:textId="17ED6E3E" w:rsidR="002B71FC" w:rsidRDefault="002B71FC">
          <w:pPr>
            <w:pStyle w:val="TOC2"/>
            <w:tabs>
              <w:tab w:val="right" w:leader="dot" w:pos="9016"/>
            </w:tabs>
            <w:rPr>
              <w:rFonts w:eastAsiaTheme="minorEastAsia"/>
              <w:noProof/>
              <w:sz w:val="24"/>
              <w:szCs w:val="24"/>
              <w:lang w:eastAsia="en-AU"/>
            </w:rPr>
          </w:pPr>
          <w:hyperlink w:anchor="_Toc234960841" w:history="1">
            <w:r w:rsidRPr="003E6280">
              <w:rPr>
                <w:rStyle w:val="Hyperlink"/>
                <w:b/>
                <w:bCs/>
                <w:noProof/>
              </w:rPr>
              <w:t>Scope of reviews underpinning international recommendations</w:t>
            </w:r>
            <w:r>
              <w:rPr>
                <w:noProof/>
                <w:webHidden/>
              </w:rPr>
              <w:tab/>
            </w:r>
            <w:r>
              <w:rPr>
                <w:noProof/>
                <w:webHidden/>
              </w:rPr>
              <w:fldChar w:fldCharType="begin"/>
            </w:r>
            <w:r>
              <w:rPr>
                <w:noProof/>
                <w:webHidden/>
              </w:rPr>
              <w:instrText xml:space="preserve"> PAGEREF _Toc234960841 \h </w:instrText>
            </w:r>
            <w:r>
              <w:rPr>
                <w:noProof/>
                <w:webHidden/>
              </w:rPr>
            </w:r>
            <w:r>
              <w:rPr>
                <w:noProof/>
                <w:webHidden/>
              </w:rPr>
              <w:fldChar w:fldCharType="separate"/>
            </w:r>
            <w:r>
              <w:rPr>
                <w:noProof/>
                <w:webHidden/>
              </w:rPr>
              <w:t>33</w:t>
            </w:r>
            <w:r>
              <w:rPr>
                <w:noProof/>
                <w:webHidden/>
              </w:rPr>
              <w:fldChar w:fldCharType="end"/>
            </w:r>
          </w:hyperlink>
        </w:p>
        <w:p w14:paraId="74D95730" w14:textId="5E1CD61D" w:rsidR="002B71FC" w:rsidRDefault="002B71FC">
          <w:pPr>
            <w:pStyle w:val="TOC3"/>
            <w:tabs>
              <w:tab w:val="right" w:leader="dot" w:pos="9016"/>
            </w:tabs>
            <w:rPr>
              <w:rFonts w:eastAsiaTheme="minorEastAsia"/>
              <w:noProof/>
              <w:sz w:val="24"/>
              <w:szCs w:val="24"/>
              <w:lang w:eastAsia="en-AU"/>
            </w:rPr>
          </w:pPr>
          <w:hyperlink w:anchor="_Toc234960842" w:history="1">
            <w:r w:rsidRPr="003E6280">
              <w:rPr>
                <w:rStyle w:val="Hyperlink"/>
                <w:noProof/>
              </w:rPr>
              <w:t>EFSA (2019)</w:t>
            </w:r>
            <w:r>
              <w:rPr>
                <w:noProof/>
                <w:webHidden/>
              </w:rPr>
              <w:tab/>
            </w:r>
            <w:r>
              <w:rPr>
                <w:noProof/>
                <w:webHidden/>
              </w:rPr>
              <w:fldChar w:fldCharType="begin"/>
            </w:r>
            <w:r>
              <w:rPr>
                <w:noProof/>
                <w:webHidden/>
              </w:rPr>
              <w:instrText xml:space="preserve"> PAGEREF _Toc234960842 \h </w:instrText>
            </w:r>
            <w:r>
              <w:rPr>
                <w:noProof/>
                <w:webHidden/>
              </w:rPr>
            </w:r>
            <w:r>
              <w:rPr>
                <w:noProof/>
                <w:webHidden/>
              </w:rPr>
              <w:fldChar w:fldCharType="separate"/>
            </w:r>
            <w:r>
              <w:rPr>
                <w:noProof/>
                <w:webHidden/>
              </w:rPr>
              <w:t>33</w:t>
            </w:r>
            <w:r>
              <w:rPr>
                <w:noProof/>
                <w:webHidden/>
              </w:rPr>
              <w:fldChar w:fldCharType="end"/>
            </w:r>
          </w:hyperlink>
        </w:p>
        <w:p w14:paraId="50F2C572" w14:textId="5AE07113" w:rsidR="002B71FC" w:rsidRDefault="002B71FC">
          <w:pPr>
            <w:pStyle w:val="TOC3"/>
            <w:tabs>
              <w:tab w:val="right" w:leader="dot" w:pos="9016"/>
            </w:tabs>
            <w:rPr>
              <w:rFonts w:eastAsiaTheme="minorEastAsia"/>
              <w:noProof/>
              <w:sz w:val="24"/>
              <w:szCs w:val="24"/>
              <w:lang w:eastAsia="en-AU"/>
            </w:rPr>
          </w:pPr>
          <w:hyperlink w:anchor="_Toc234960843" w:history="1">
            <w:r w:rsidRPr="003E6280">
              <w:rPr>
                <w:rStyle w:val="Hyperlink"/>
                <w:noProof/>
              </w:rPr>
              <w:t>NASEM (2019)</w:t>
            </w:r>
            <w:r>
              <w:rPr>
                <w:noProof/>
                <w:webHidden/>
              </w:rPr>
              <w:tab/>
            </w:r>
            <w:r>
              <w:rPr>
                <w:noProof/>
                <w:webHidden/>
              </w:rPr>
              <w:fldChar w:fldCharType="begin"/>
            </w:r>
            <w:r>
              <w:rPr>
                <w:noProof/>
                <w:webHidden/>
              </w:rPr>
              <w:instrText xml:space="preserve"> PAGEREF _Toc234960843 \h </w:instrText>
            </w:r>
            <w:r>
              <w:rPr>
                <w:noProof/>
                <w:webHidden/>
              </w:rPr>
            </w:r>
            <w:r>
              <w:rPr>
                <w:noProof/>
                <w:webHidden/>
              </w:rPr>
              <w:fldChar w:fldCharType="separate"/>
            </w:r>
            <w:r>
              <w:rPr>
                <w:noProof/>
                <w:webHidden/>
              </w:rPr>
              <w:t>33</w:t>
            </w:r>
            <w:r>
              <w:rPr>
                <w:noProof/>
                <w:webHidden/>
              </w:rPr>
              <w:fldChar w:fldCharType="end"/>
            </w:r>
          </w:hyperlink>
        </w:p>
        <w:p w14:paraId="0C8D8DBE" w14:textId="22479E2E" w:rsidR="002B71FC" w:rsidRDefault="002B71FC">
          <w:pPr>
            <w:pStyle w:val="TOC2"/>
            <w:tabs>
              <w:tab w:val="right" w:leader="dot" w:pos="9016"/>
            </w:tabs>
            <w:rPr>
              <w:rFonts w:eastAsiaTheme="minorEastAsia"/>
              <w:noProof/>
              <w:sz w:val="24"/>
              <w:szCs w:val="24"/>
              <w:lang w:eastAsia="en-AU"/>
            </w:rPr>
          </w:pPr>
          <w:hyperlink w:anchor="_Toc234960844" w:history="1">
            <w:r w:rsidRPr="003E6280">
              <w:rPr>
                <w:rStyle w:val="Hyperlink"/>
                <w:b/>
                <w:bCs/>
                <w:noProof/>
              </w:rPr>
              <w:t>Physiological requirements for adequacy</w:t>
            </w:r>
            <w:r>
              <w:rPr>
                <w:noProof/>
                <w:webHidden/>
              </w:rPr>
              <w:tab/>
            </w:r>
            <w:r>
              <w:rPr>
                <w:noProof/>
                <w:webHidden/>
              </w:rPr>
              <w:fldChar w:fldCharType="begin"/>
            </w:r>
            <w:r>
              <w:rPr>
                <w:noProof/>
                <w:webHidden/>
              </w:rPr>
              <w:instrText xml:space="preserve"> PAGEREF _Toc234960844 \h </w:instrText>
            </w:r>
            <w:r>
              <w:rPr>
                <w:noProof/>
                <w:webHidden/>
              </w:rPr>
            </w:r>
            <w:r>
              <w:rPr>
                <w:noProof/>
                <w:webHidden/>
              </w:rPr>
              <w:fldChar w:fldCharType="separate"/>
            </w:r>
            <w:r>
              <w:rPr>
                <w:noProof/>
                <w:webHidden/>
              </w:rPr>
              <w:t>34</w:t>
            </w:r>
            <w:r>
              <w:rPr>
                <w:noProof/>
                <w:webHidden/>
              </w:rPr>
              <w:fldChar w:fldCharType="end"/>
            </w:r>
          </w:hyperlink>
        </w:p>
        <w:p w14:paraId="2D837802" w14:textId="0638C263" w:rsidR="002B71FC" w:rsidRDefault="002B71FC">
          <w:pPr>
            <w:pStyle w:val="TOC3"/>
            <w:tabs>
              <w:tab w:val="right" w:leader="dot" w:pos="9016"/>
            </w:tabs>
            <w:rPr>
              <w:rFonts w:eastAsiaTheme="minorEastAsia"/>
              <w:noProof/>
              <w:sz w:val="24"/>
              <w:szCs w:val="24"/>
              <w:lang w:eastAsia="en-AU"/>
            </w:rPr>
          </w:pPr>
          <w:hyperlink w:anchor="_Toc234960845" w:history="1">
            <w:r w:rsidRPr="003E6280">
              <w:rPr>
                <w:rStyle w:val="Hyperlink"/>
                <w:noProof/>
              </w:rPr>
              <w:t>Balance studies</w:t>
            </w:r>
            <w:r>
              <w:rPr>
                <w:noProof/>
                <w:webHidden/>
              </w:rPr>
              <w:tab/>
            </w:r>
            <w:r>
              <w:rPr>
                <w:noProof/>
                <w:webHidden/>
              </w:rPr>
              <w:fldChar w:fldCharType="begin"/>
            </w:r>
            <w:r>
              <w:rPr>
                <w:noProof/>
                <w:webHidden/>
              </w:rPr>
              <w:instrText xml:space="preserve"> PAGEREF _Toc234960845 \h </w:instrText>
            </w:r>
            <w:r>
              <w:rPr>
                <w:noProof/>
                <w:webHidden/>
              </w:rPr>
            </w:r>
            <w:r>
              <w:rPr>
                <w:noProof/>
                <w:webHidden/>
              </w:rPr>
              <w:fldChar w:fldCharType="separate"/>
            </w:r>
            <w:r>
              <w:rPr>
                <w:noProof/>
                <w:webHidden/>
              </w:rPr>
              <w:t>34</w:t>
            </w:r>
            <w:r>
              <w:rPr>
                <w:noProof/>
                <w:webHidden/>
              </w:rPr>
              <w:fldChar w:fldCharType="end"/>
            </w:r>
          </w:hyperlink>
        </w:p>
        <w:p w14:paraId="279FB13B" w14:textId="148EFD16" w:rsidR="002B71FC" w:rsidRDefault="002B71FC">
          <w:pPr>
            <w:pStyle w:val="TOC3"/>
            <w:tabs>
              <w:tab w:val="right" w:leader="dot" w:pos="9016"/>
            </w:tabs>
            <w:rPr>
              <w:rFonts w:eastAsiaTheme="minorEastAsia"/>
              <w:noProof/>
              <w:sz w:val="24"/>
              <w:szCs w:val="24"/>
              <w:lang w:eastAsia="en-AU"/>
            </w:rPr>
          </w:pPr>
          <w:hyperlink w:anchor="_Toc234960846" w:history="1">
            <w:r w:rsidRPr="003E6280">
              <w:rPr>
                <w:rStyle w:val="Hyperlink"/>
                <w:noProof/>
              </w:rPr>
              <w:t>Requirements during pregnancy or lactation</w:t>
            </w:r>
            <w:r>
              <w:rPr>
                <w:noProof/>
                <w:webHidden/>
              </w:rPr>
              <w:tab/>
            </w:r>
            <w:r>
              <w:rPr>
                <w:noProof/>
                <w:webHidden/>
              </w:rPr>
              <w:fldChar w:fldCharType="begin"/>
            </w:r>
            <w:r>
              <w:rPr>
                <w:noProof/>
                <w:webHidden/>
              </w:rPr>
              <w:instrText xml:space="preserve"> PAGEREF _Toc234960846 \h </w:instrText>
            </w:r>
            <w:r>
              <w:rPr>
                <w:noProof/>
                <w:webHidden/>
              </w:rPr>
            </w:r>
            <w:r>
              <w:rPr>
                <w:noProof/>
                <w:webHidden/>
              </w:rPr>
              <w:fldChar w:fldCharType="separate"/>
            </w:r>
            <w:r>
              <w:rPr>
                <w:noProof/>
                <w:webHidden/>
              </w:rPr>
              <w:t>35</w:t>
            </w:r>
            <w:r>
              <w:rPr>
                <w:noProof/>
                <w:webHidden/>
              </w:rPr>
              <w:fldChar w:fldCharType="end"/>
            </w:r>
          </w:hyperlink>
        </w:p>
        <w:p w14:paraId="345EE95E" w14:textId="47071E94" w:rsidR="002B71FC" w:rsidRDefault="002B71FC">
          <w:pPr>
            <w:pStyle w:val="TOC2"/>
            <w:tabs>
              <w:tab w:val="right" w:leader="dot" w:pos="9016"/>
            </w:tabs>
            <w:rPr>
              <w:rFonts w:eastAsiaTheme="minorEastAsia"/>
              <w:noProof/>
              <w:sz w:val="24"/>
              <w:szCs w:val="24"/>
              <w:lang w:eastAsia="en-AU"/>
            </w:rPr>
          </w:pPr>
          <w:hyperlink w:anchor="_Toc234960847" w:history="1">
            <w:r w:rsidRPr="003E6280">
              <w:rPr>
                <w:rStyle w:val="Hyperlink"/>
                <w:b/>
                <w:bCs/>
                <w:noProof/>
              </w:rPr>
              <w:t>Low sodium intake and adverse health outcomes</w:t>
            </w:r>
            <w:r>
              <w:rPr>
                <w:noProof/>
                <w:webHidden/>
              </w:rPr>
              <w:tab/>
            </w:r>
            <w:r>
              <w:rPr>
                <w:noProof/>
                <w:webHidden/>
              </w:rPr>
              <w:fldChar w:fldCharType="begin"/>
            </w:r>
            <w:r>
              <w:rPr>
                <w:noProof/>
                <w:webHidden/>
              </w:rPr>
              <w:instrText xml:space="preserve"> PAGEREF _Toc234960847 \h </w:instrText>
            </w:r>
            <w:r>
              <w:rPr>
                <w:noProof/>
                <w:webHidden/>
              </w:rPr>
            </w:r>
            <w:r>
              <w:rPr>
                <w:noProof/>
                <w:webHidden/>
              </w:rPr>
              <w:fldChar w:fldCharType="separate"/>
            </w:r>
            <w:r>
              <w:rPr>
                <w:noProof/>
                <w:webHidden/>
              </w:rPr>
              <w:t>37</w:t>
            </w:r>
            <w:r>
              <w:rPr>
                <w:noProof/>
                <w:webHidden/>
              </w:rPr>
              <w:fldChar w:fldCharType="end"/>
            </w:r>
          </w:hyperlink>
        </w:p>
        <w:p w14:paraId="382B992F" w14:textId="100BF759" w:rsidR="002B71FC" w:rsidRDefault="002B71FC">
          <w:pPr>
            <w:pStyle w:val="TOC3"/>
            <w:tabs>
              <w:tab w:val="right" w:leader="dot" w:pos="9016"/>
            </w:tabs>
            <w:rPr>
              <w:rFonts w:eastAsiaTheme="minorEastAsia"/>
              <w:noProof/>
              <w:sz w:val="24"/>
              <w:szCs w:val="24"/>
              <w:lang w:eastAsia="en-AU"/>
            </w:rPr>
          </w:pPr>
          <w:hyperlink w:anchor="_Toc234960848" w:history="1">
            <w:r w:rsidRPr="003E6280">
              <w:rPr>
                <w:rStyle w:val="Hyperlink"/>
                <w:noProof/>
              </w:rPr>
              <w:t>Morbidity and mortality</w:t>
            </w:r>
            <w:r>
              <w:rPr>
                <w:noProof/>
                <w:webHidden/>
              </w:rPr>
              <w:tab/>
            </w:r>
            <w:r>
              <w:rPr>
                <w:noProof/>
                <w:webHidden/>
              </w:rPr>
              <w:fldChar w:fldCharType="begin"/>
            </w:r>
            <w:r>
              <w:rPr>
                <w:noProof/>
                <w:webHidden/>
              </w:rPr>
              <w:instrText xml:space="preserve"> PAGEREF _Toc234960848 \h </w:instrText>
            </w:r>
            <w:r>
              <w:rPr>
                <w:noProof/>
                <w:webHidden/>
              </w:rPr>
            </w:r>
            <w:r>
              <w:rPr>
                <w:noProof/>
                <w:webHidden/>
              </w:rPr>
              <w:fldChar w:fldCharType="separate"/>
            </w:r>
            <w:r>
              <w:rPr>
                <w:noProof/>
                <w:webHidden/>
              </w:rPr>
              <w:t>37</w:t>
            </w:r>
            <w:r>
              <w:rPr>
                <w:noProof/>
                <w:webHidden/>
              </w:rPr>
              <w:fldChar w:fldCharType="end"/>
            </w:r>
          </w:hyperlink>
        </w:p>
        <w:p w14:paraId="7BA07856" w14:textId="0A1B7AD7" w:rsidR="002B71FC" w:rsidRDefault="002B71FC">
          <w:pPr>
            <w:pStyle w:val="TOC2"/>
            <w:tabs>
              <w:tab w:val="right" w:leader="dot" w:pos="9016"/>
            </w:tabs>
            <w:rPr>
              <w:rFonts w:eastAsiaTheme="minorEastAsia"/>
              <w:noProof/>
              <w:sz w:val="24"/>
              <w:szCs w:val="24"/>
              <w:lang w:eastAsia="en-AU"/>
            </w:rPr>
          </w:pPr>
          <w:hyperlink w:anchor="_Toc234960849" w:history="1">
            <w:r w:rsidRPr="003E6280">
              <w:rPr>
                <w:rStyle w:val="Hyperlink"/>
                <w:b/>
                <w:bCs/>
                <w:noProof/>
              </w:rPr>
              <w:t>High sodium intake and health outcomes</w:t>
            </w:r>
            <w:r>
              <w:rPr>
                <w:noProof/>
                <w:webHidden/>
              </w:rPr>
              <w:tab/>
            </w:r>
            <w:r>
              <w:rPr>
                <w:noProof/>
                <w:webHidden/>
              </w:rPr>
              <w:fldChar w:fldCharType="begin"/>
            </w:r>
            <w:r>
              <w:rPr>
                <w:noProof/>
                <w:webHidden/>
              </w:rPr>
              <w:instrText xml:space="preserve"> PAGEREF _Toc234960849 \h </w:instrText>
            </w:r>
            <w:r>
              <w:rPr>
                <w:noProof/>
                <w:webHidden/>
              </w:rPr>
            </w:r>
            <w:r>
              <w:rPr>
                <w:noProof/>
                <w:webHidden/>
              </w:rPr>
              <w:fldChar w:fldCharType="separate"/>
            </w:r>
            <w:r>
              <w:rPr>
                <w:noProof/>
                <w:webHidden/>
              </w:rPr>
              <w:t>42</w:t>
            </w:r>
            <w:r>
              <w:rPr>
                <w:noProof/>
                <w:webHidden/>
              </w:rPr>
              <w:fldChar w:fldCharType="end"/>
            </w:r>
          </w:hyperlink>
        </w:p>
        <w:p w14:paraId="56357A65" w14:textId="6212A4C9" w:rsidR="002B71FC" w:rsidRDefault="002B71FC">
          <w:pPr>
            <w:pStyle w:val="TOC3"/>
            <w:tabs>
              <w:tab w:val="right" w:leader="dot" w:pos="9016"/>
            </w:tabs>
            <w:rPr>
              <w:rFonts w:eastAsiaTheme="minorEastAsia"/>
              <w:noProof/>
              <w:sz w:val="24"/>
              <w:szCs w:val="24"/>
              <w:lang w:eastAsia="en-AU"/>
            </w:rPr>
          </w:pPr>
          <w:hyperlink w:anchor="_Toc234960850" w:history="1">
            <w:r w:rsidRPr="003E6280">
              <w:rPr>
                <w:rStyle w:val="Hyperlink"/>
                <w:noProof/>
              </w:rPr>
              <w:t>Blood pressure</w:t>
            </w:r>
            <w:r>
              <w:rPr>
                <w:noProof/>
                <w:webHidden/>
              </w:rPr>
              <w:tab/>
            </w:r>
            <w:r>
              <w:rPr>
                <w:noProof/>
                <w:webHidden/>
              </w:rPr>
              <w:fldChar w:fldCharType="begin"/>
            </w:r>
            <w:r>
              <w:rPr>
                <w:noProof/>
                <w:webHidden/>
              </w:rPr>
              <w:instrText xml:space="preserve"> PAGEREF _Toc234960850 \h </w:instrText>
            </w:r>
            <w:r>
              <w:rPr>
                <w:noProof/>
                <w:webHidden/>
              </w:rPr>
            </w:r>
            <w:r>
              <w:rPr>
                <w:noProof/>
                <w:webHidden/>
              </w:rPr>
              <w:fldChar w:fldCharType="separate"/>
            </w:r>
            <w:r>
              <w:rPr>
                <w:noProof/>
                <w:webHidden/>
              </w:rPr>
              <w:t>42</w:t>
            </w:r>
            <w:r>
              <w:rPr>
                <w:noProof/>
                <w:webHidden/>
              </w:rPr>
              <w:fldChar w:fldCharType="end"/>
            </w:r>
          </w:hyperlink>
        </w:p>
        <w:p w14:paraId="5CA557F8" w14:textId="7BC09509" w:rsidR="002B71FC" w:rsidRDefault="002B71FC">
          <w:pPr>
            <w:pStyle w:val="TOC3"/>
            <w:tabs>
              <w:tab w:val="right" w:leader="dot" w:pos="9016"/>
            </w:tabs>
            <w:rPr>
              <w:rFonts w:eastAsiaTheme="minorEastAsia"/>
              <w:noProof/>
              <w:sz w:val="24"/>
              <w:szCs w:val="24"/>
              <w:lang w:eastAsia="en-AU"/>
            </w:rPr>
          </w:pPr>
          <w:hyperlink w:anchor="_Toc234960851" w:history="1">
            <w:r w:rsidRPr="003E6280">
              <w:rPr>
                <w:rStyle w:val="Hyperlink"/>
                <w:noProof/>
              </w:rPr>
              <w:t>Other cardiovascular outcomes</w:t>
            </w:r>
            <w:r>
              <w:rPr>
                <w:noProof/>
                <w:webHidden/>
              </w:rPr>
              <w:tab/>
            </w:r>
            <w:r>
              <w:rPr>
                <w:noProof/>
                <w:webHidden/>
              </w:rPr>
              <w:fldChar w:fldCharType="begin"/>
            </w:r>
            <w:r>
              <w:rPr>
                <w:noProof/>
                <w:webHidden/>
              </w:rPr>
              <w:instrText xml:space="preserve"> PAGEREF _Toc234960851 \h </w:instrText>
            </w:r>
            <w:r>
              <w:rPr>
                <w:noProof/>
                <w:webHidden/>
              </w:rPr>
            </w:r>
            <w:r>
              <w:rPr>
                <w:noProof/>
                <w:webHidden/>
              </w:rPr>
              <w:fldChar w:fldCharType="separate"/>
            </w:r>
            <w:r>
              <w:rPr>
                <w:noProof/>
                <w:webHidden/>
              </w:rPr>
              <w:t>50</w:t>
            </w:r>
            <w:r>
              <w:rPr>
                <w:noProof/>
                <w:webHidden/>
              </w:rPr>
              <w:fldChar w:fldCharType="end"/>
            </w:r>
          </w:hyperlink>
        </w:p>
        <w:p w14:paraId="4E2CB8C8" w14:textId="15200451" w:rsidR="002B71FC" w:rsidRDefault="002B71FC">
          <w:pPr>
            <w:pStyle w:val="TOC3"/>
            <w:tabs>
              <w:tab w:val="right" w:leader="dot" w:pos="9016"/>
            </w:tabs>
            <w:rPr>
              <w:rFonts w:eastAsiaTheme="minorEastAsia"/>
              <w:noProof/>
              <w:sz w:val="24"/>
              <w:szCs w:val="24"/>
              <w:lang w:eastAsia="en-AU"/>
            </w:rPr>
          </w:pPr>
          <w:hyperlink w:anchor="_Toc234960852" w:history="1">
            <w:r w:rsidRPr="003E6280">
              <w:rPr>
                <w:rStyle w:val="Hyperlink"/>
                <w:noProof/>
              </w:rPr>
              <w:t>Kidney disease</w:t>
            </w:r>
            <w:r>
              <w:rPr>
                <w:noProof/>
                <w:webHidden/>
              </w:rPr>
              <w:tab/>
            </w:r>
            <w:r>
              <w:rPr>
                <w:noProof/>
                <w:webHidden/>
              </w:rPr>
              <w:fldChar w:fldCharType="begin"/>
            </w:r>
            <w:r>
              <w:rPr>
                <w:noProof/>
                <w:webHidden/>
              </w:rPr>
              <w:instrText xml:space="preserve"> PAGEREF _Toc234960852 \h </w:instrText>
            </w:r>
            <w:r>
              <w:rPr>
                <w:noProof/>
                <w:webHidden/>
              </w:rPr>
            </w:r>
            <w:r>
              <w:rPr>
                <w:noProof/>
                <w:webHidden/>
              </w:rPr>
              <w:fldChar w:fldCharType="separate"/>
            </w:r>
            <w:r>
              <w:rPr>
                <w:noProof/>
                <w:webHidden/>
              </w:rPr>
              <w:t>53</w:t>
            </w:r>
            <w:r>
              <w:rPr>
                <w:noProof/>
                <w:webHidden/>
              </w:rPr>
              <w:fldChar w:fldCharType="end"/>
            </w:r>
          </w:hyperlink>
        </w:p>
        <w:p w14:paraId="24B9BBE1" w14:textId="57B73599" w:rsidR="002B71FC" w:rsidRDefault="002B71FC">
          <w:pPr>
            <w:pStyle w:val="TOC1"/>
            <w:tabs>
              <w:tab w:val="right" w:leader="dot" w:pos="9016"/>
            </w:tabs>
            <w:rPr>
              <w:rFonts w:eastAsiaTheme="minorEastAsia"/>
              <w:noProof/>
              <w:sz w:val="24"/>
              <w:szCs w:val="24"/>
              <w:lang w:eastAsia="en-AU"/>
            </w:rPr>
          </w:pPr>
          <w:hyperlink w:anchor="_Toc234960853" w:history="1">
            <w:r w:rsidRPr="003E6280">
              <w:rPr>
                <w:rStyle w:val="Hyperlink"/>
                <w:b/>
                <w:bCs/>
                <w:noProof/>
              </w:rPr>
              <w:t>Derivation of draft NRVs</w:t>
            </w:r>
            <w:r>
              <w:rPr>
                <w:noProof/>
                <w:webHidden/>
              </w:rPr>
              <w:tab/>
            </w:r>
            <w:r>
              <w:rPr>
                <w:noProof/>
                <w:webHidden/>
              </w:rPr>
              <w:fldChar w:fldCharType="begin"/>
            </w:r>
            <w:r>
              <w:rPr>
                <w:noProof/>
                <w:webHidden/>
              </w:rPr>
              <w:instrText xml:space="preserve"> PAGEREF _Toc234960853 \h </w:instrText>
            </w:r>
            <w:r>
              <w:rPr>
                <w:noProof/>
                <w:webHidden/>
              </w:rPr>
            </w:r>
            <w:r>
              <w:rPr>
                <w:noProof/>
                <w:webHidden/>
              </w:rPr>
              <w:fldChar w:fldCharType="separate"/>
            </w:r>
            <w:r>
              <w:rPr>
                <w:noProof/>
                <w:webHidden/>
              </w:rPr>
              <w:t>54</w:t>
            </w:r>
            <w:r>
              <w:rPr>
                <w:noProof/>
                <w:webHidden/>
              </w:rPr>
              <w:fldChar w:fldCharType="end"/>
            </w:r>
          </w:hyperlink>
        </w:p>
        <w:p w14:paraId="04697DCF" w14:textId="747473D3" w:rsidR="002B71FC" w:rsidRDefault="002B71FC">
          <w:pPr>
            <w:pStyle w:val="TOC2"/>
            <w:tabs>
              <w:tab w:val="right" w:leader="dot" w:pos="9016"/>
            </w:tabs>
            <w:rPr>
              <w:rFonts w:eastAsiaTheme="minorEastAsia"/>
              <w:noProof/>
              <w:sz w:val="24"/>
              <w:szCs w:val="24"/>
              <w:lang w:eastAsia="en-AU"/>
            </w:rPr>
          </w:pPr>
          <w:hyperlink w:anchor="_Toc234960854" w:history="1">
            <w:r w:rsidRPr="003E6280">
              <w:rPr>
                <w:rStyle w:val="Hyperlink"/>
                <w:b/>
                <w:bCs/>
                <w:noProof/>
              </w:rPr>
              <w:t>Extrapolation and scaling</w:t>
            </w:r>
            <w:r>
              <w:rPr>
                <w:noProof/>
                <w:webHidden/>
              </w:rPr>
              <w:tab/>
            </w:r>
            <w:r>
              <w:rPr>
                <w:noProof/>
                <w:webHidden/>
              </w:rPr>
              <w:fldChar w:fldCharType="begin"/>
            </w:r>
            <w:r>
              <w:rPr>
                <w:noProof/>
                <w:webHidden/>
              </w:rPr>
              <w:instrText xml:space="preserve"> PAGEREF _Toc234960854 \h </w:instrText>
            </w:r>
            <w:r>
              <w:rPr>
                <w:noProof/>
                <w:webHidden/>
              </w:rPr>
            </w:r>
            <w:r>
              <w:rPr>
                <w:noProof/>
                <w:webHidden/>
              </w:rPr>
              <w:fldChar w:fldCharType="separate"/>
            </w:r>
            <w:r>
              <w:rPr>
                <w:noProof/>
                <w:webHidden/>
              </w:rPr>
              <w:t>54</w:t>
            </w:r>
            <w:r>
              <w:rPr>
                <w:noProof/>
                <w:webHidden/>
              </w:rPr>
              <w:fldChar w:fldCharType="end"/>
            </w:r>
          </w:hyperlink>
        </w:p>
        <w:p w14:paraId="5E0C2439" w14:textId="4C2CD6C3" w:rsidR="002B71FC" w:rsidRDefault="002B71FC">
          <w:pPr>
            <w:pStyle w:val="TOC3"/>
            <w:tabs>
              <w:tab w:val="right" w:leader="dot" w:pos="9016"/>
            </w:tabs>
            <w:rPr>
              <w:rFonts w:eastAsiaTheme="minorEastAsia"/>
              <w:noProof/>
              <w:sz w:val="24"/>
              <w:szCs w:val="24"/>
              <w:lang w:eastAsia="en-AU"/>
            </w:rPr>
          </w:pPr>
          <w:hyperlink w:anchor="_Toc234960855" w:history="1">
            <w:r w:rsidRPr="003E6280">
              <w:rPr>
                <w:rStyle w:val="Hyperlink"/>
                <w:noProof/>
              </w:rPr>
              <w:t>Rationale for scaling approach</w:t>
            </w:r>
            <w:r>
              <w:rPr>
                <w:noProof/>
                <w:webHidden/>
              </w:rPr>
              <w:tab/>
            </w:r>
            <w:r>
              <w:rPr>
                <w:noProof/>
                <w:webHidden/>
              </w:rPr>
              <w:fldChar w:fldCharType="begin"/>
            </w:r>
            <w:r>
              <w:rPr>
                <w:noProof/>
                <w:webHidden/>
              </w:rPr>
              <w:instrText xml:space="preserve"> PAGEREF _Toc234960855 \h </w:instrText>
            </w:r>
            <w:r>
              <w:rPr>
                <w:noProof/>
                <w:webHidden/>
              </w:rPr>
            </w:r>
            <w:r>
              <w:rPr>
                <w:noProof/>
                <w:webHidden/>
              </w:rPr>
              <w:fldChar w:fldCharType="separate"/>
            </w:r>
            <w:r>
              <w:rPr>
                <w:noProof/>
                <w:webHidden/>
              </w:rPr>
              <w:t>54</w:t>
            </w:r>
            <w:r>
              <w:rPr>
                <w:noProof/>
                <w:webHidden/>
              </w:rPr>
              <w:fldChar w:fldCharType="end"/>
            </w:r>
          </w:hyperlink>
        </w:p>
        <w:p w14:paraId="12D67720" w14:textId="4967AABD" w:rsidR="002B71FC" w:rsidRDefault="002B71FC">
          <w:pPr>
            <w:pStyle w:val="TOC2"/>
            <w:tabs>
              <w:tab w:val="right" w:leader="dot" w:pos="9016"/>
            </w:tabs>
            <w:rPr>
              <w:rFonts w:eastAsiaTheme="minorEastAsia"/>
              <w:noProof/>
              <w:sz w:val="24"/>
              <w:szCs w:val="24"/>
              <w:lang w:eastAsia="en-AU"/>
            </w:rPr>
          </w:pPr>
          <w:hyperlink w:anchor="_Toc234960856" w:history="1">
            <w:r w:rsidRPr="003E6280">
              <w:rPr>
                <w:rStyle w:val="Hyperlink"/>
                <w:b/>
                <w:bCs/>
                <w:noProof/>
              </w:rPr>
              <w:t>Adequate Intake</w:t>
            </w:r>
            <w:r>
              <w:rPr>
                <w:noProof/>
                <w:webHidden/>
              </w:rPr>
              <w:tab/>
            </w:r>
            <w:r>
              <w:rPr>
                <w:noProof/>
                <w:webHidden/>
              </w:rPr>
              <w:fldChar w:fldCharType="begin"/>
            </w:r>
            <w:r>
              <w:rPr>
                <w:noProof/>
                <w:webHidden/>
              </w:rPr>
              <w:instrText xml:space="preserve"> PAGEREF _Toc234960856 \h </w:instrText>
            </w:r>
            <w:r>
              <w:rPr>
                <w:noProof/>
                <w:webHidden/>
              </w:rPr>
            </w:r>
            <w:r>
              <w:rPr>
                <w:noProof/>
                <w:webHidden/>
              </w:rPr>
              <w:fldChar w:fldCharType="separate"/>
            </w:r>
            <w:r>
              <w:rPr>
                <w:noProof/>
                <w:webHidden/>
              </w:rPr>
              <w:t>55</w:t>
            </w:r>
            <w:r>
              <w:rPr>
                <w:noProof/>
                <w:webHidden/>
              </w:rPr>
              <w:fldChar w:fldCharType="end"/>
            </w:r>
          </w:hyperlink>
        </w:p>
        <w:p w14:paraId="48A4C6FD" w14:textId="17582C9B" w:rsidR="002B71FC" w:rsidRDefault="002B71FC">
          <w:pPr>
            <w:pStyle w:val="TOC3"/>
            <w:tabs>
              <w:tab w:val="right" w:leader="dot" w:pos="9016"/>
            </w:tabs>
            <w:rPr>
              <w:rFonts w:eastAsiaTheme="minorEastAsia"/>
              <w:noProof/>
              <w:sz w:val="24"/>
              <w:szCs w:val="24"/>
              <w:lang w:eastAsia="en-AU"/>
            </w:rPr>
          </w:pPr>
          <w:hyperlink w:anchor="_Toc234960857" w:history="1">
            <w:r w:rsidRPr="003E6280">
              <w:rPr>
                <w:rStyle w:val="Hyperlink"/>
                <w:noProof/>
              </w:rPr>
              <w:t>Adults</w:t>
            </w:r>
            <w:r>
              <w:rPr>
                <w:noProof/>
                <w:webHidden/>
              </w:rPr>
              <w:tab/>
            </w:r>
            <w:r>
              <w:rPr>
                <w:noProof/>
                <w:webHidden/>
              </w:rPr>
              <w:fldChar w:fldCharType="begin"/>
            </w:r>
            <w:r>
              <w:rPr>
                <w:noProof/>
                <w:webHidden/>
              </w:rPr>
              <w:instrText xml:space="preserve"> PAGEREF _Toc234960857 \h </w:instrText>
            </w:r>
            <w:r>
              <w:rPr>
                <w:noProof/>
                <w:webHidden/>
              </w:rPr>
            </w:r>
            <w:r>
              <w:rPr>
                <w:noProof/>
                <w:webHidden/>
              </w:rPr>
              <w:fldChar w:fldCharType="separate"/>
            </w:r>
            <w:r>
              <w:rPr>
                <w:noProof/>
                <w:webHidden/>
              </w:rPr>
              <w:t>55</w:t>
            </w:r>
            <w:r>
              <w:rPr>
                <w:noProof/>
                <w:webHidden/>
              </w:rPr>
              <w:fldChar w:fldCharType="end"/>
            </w:r>
          </w:hyperlink>
        </w:p>
        <w:p w14:paraId="7472B2DF" w14:textId="0D56131C" w:rsidR="002B71FC" w:rsidRDefault="002B71FC">
          <w:pPr>
            <w:pStyle w:val="TOC3"/>
            <w:tabs>
              <w:tab w:val="right" w:leader="dot" w:pos="9016"/>
            </w:tabs>
            <w:rPr>
              <w:rFonts w:eastAsiaTheme="minorEastAsia"/>
              <w:noProof/>
              <w:sz w:val="24"/>
              <w:szCs w:val="24"/>
              <w:lang w:eastAsia="en-AU"/>
            </w:rPr>
          </w:pPr>
          <w:hyperlink w:anchor="_Toc234960858" w:history="1">
            <w:r w:rsidRPr="003E6280">
              <w:rPr>
                <w:rStyle w:val="Hyperlink"/>
                <w:noProof/>
              </w:rPr>
              <w:t>Pregnancy</w:t>
            </w:r>
            <w:r>
              <w:rPr>
                <w:noProof/>
                <w:webHidden/>
              </w:rPr>
              <w:tab/>
            </w:r>
            <w:r>
              <w:rPr>
                <w:noProof/>
                <w:webHidden/>
              </w:rPr>
              <w:fldChar w:fldCharType="begin"/>
            </w:r>
            <w:r>
              <w:rPr>
                <w:noProof/>
                <w:webHidden/>
              </w:rPr>
              <w:instrText xml:space="preserve"> PAGEREF _Toc234960858 \h </w:instrText>
            </w:r>
            <w:r>
              <w:rPr>
                <w:noProof/>
                <w:webHidden/>
              </w:rPr>
            </w:r>
            <w:r>
              <w:rPr>
                <w:noProof/>
                <w:webHidden/>
              </w:rPr>
              <w:fldChar w:fldCharType="separate"/>
            </w:r>
            <w:r>
              <w:rPr>
                <w:noProof/>
                <w:webHidden/>
              </w:rPr>
              <w:t>56</w:t>
            </w:r>
            <w:r>
              <w:rPr>
                <w:noProof/>
                <w:webHidden/>
              </w:rPr>
              <w:fldChar w:fldCharType="end"/>
            </w:r>
          </w:hyperlink>
        </w:p>
        <w:p w14:paraId="6F45027B" w14:textId="22F71895" w:rsidR="002B71FC" w:rsidRDefault="002B71FC">
          <w:pPr>
            <w:pStyle w:val="TOC3"/>
            <w:tabs>
              <w:tab w:val="right" w:leader="dot" w:pos="9016"/>
            </w:tabs>
            <w:rPr>
              <w:rFonts w:eastAsiaTheme="minorEastAsia"/>
              <w:noProof/>
              <w:sz w:val="24"/>
              <w:szCs w:val="24"/>
              <w:lang w:eastAsia="en-AU"/>
            </w:rPr>
          </w:pPr>
          <w:hyperlink w:anchor="_Toc234960859" w:history="1">
            <w:r w:rsidRPr="003E6280">
              <w:rPr>
                <w:rStyle w:val="Hyperlink"/>
                <w:noProof/>
              </w:rPr>
              <w:t>Lactation</w:t>
            </w:r>
            <w:r>
              <w:rPr>
                <w:noProof/>
                <w:webHidden/>
              </w:rPr>
              <w:tab/>
            </w:r>
            <w:r>
              <w:rPr>
                <w:noProof/>
                <w:webHidden/>
              </w:rPr>
              <w:fldChar w:fldCharType="begin"/>
            </w:r>
            <w:r>
              <w:rPr>
                <w:noProof/>
                <w:webHidden/>
              </w:rPr>
              <w:instrText xml:space="preserve"> PAGEREF _Toc234960859 \h </w:instrText>
            </w:r>
            <w:r>
              <w:rPr>
                <w:noProof/>
                <w:webHidden/>
              </w:rPr>
            </w:r>
            <w:r>
              <w:rPr>
                <w:noProof/>
                <w:webHidden/>
              </w:rPr>
              <w:fldChar w:fldCharType="separate"/>
            </w:r>
            <w:r>
              <w:rPr>
                <w:noProof/>
                <w:webHidden/>
              </w:rPr>
              <w:t>56</w:t>
            </w:r>
            <w:r>
              <w:rPr>
                <w:noProof/>
                <w:webHidden/>
              </w:rPr>
              <w:fldChar w:fldCharType="end"/>
            </w:r>
          </w:hyperlink>
        </w:p>
        <w:p w14:paraId="457D110F" w14:textId="77363A36" w:rsidR="002B71FC" w:rsidRDefault="002B71FC">
          <w:pPr>
            <w:pStyle w:val="TOC3"/>
            <w:tabs>
              <w:tab w:val="right" w:leader="dot" w:pos="9016"/>
            </w:tabs>
            <w:rPr>
              <w:rFonts w:eastAsiaTheme="minorEastAsia"/>
              <w:noProof/>
              <w:sz w:val="24"/>
              <w:szCs w:val="24"/>
              <w:lang w:eastAsia="en-AU"/>
            </w:rPr>
          </w:pPr>
          <w:hyperlink w:anchor="_Toc234960860" w:history="1">
            <w:r w:rsidRPr="003E6280">
              <w:rPr>
                <w:rStyle w:val="Hyperlink"/>
                <w:noProof/>
              </w:rPr>
              <w:t>Children and adolescents</w:t>
            </w:r>
            <w:r>
              <w:rPr>
                <w:noProof/>
                <w:webHidden/>
              </w:rPr>
              <w:tab/>
            </w:r>
            <w:r>
              <w:rPr>
                <w:noProof/>
                <w:webHidden/>
              </w:rPr>
              <w:fldChar w:fldCharType="begin"/>
            </w:r>
            <w:r>
              <w:rPr>
                <w:noProof/>
                <w:webHidden/>
              </w:rPr>
              <w:instrText xml:space="preserve"> PAGEREF _Toc234960860 \h </w:instrText>
            </w:r>
            <w:r>
              <w:rPr>
                <w:noProof/>
                <w:webHidden/>
              </w:rPr>
            </w:r>
            <w:r>
              <w:rPr>
                <w:noProof/>
                <w:webHidden/>
              </w:rPr>
              <w:fldChar w:fldCharType="separate"/>
            </w:r>
            <w:r>
              <w:rPr>
                <w:noProof/>
                <w:webHidden/>
              </w:rPr>
              <w:t>56</w:t>
            </w:r>
            <w:r>
              <w:rPr>
                <w:noProof/>
                <w:webHidden/>
              </w:rPr>
              <w:fldChar w:fldCharType="end"/>
            </w:r>
          </w:hyperlink>
        </w:p>
        <w:p w14:paraId="6A044756" w14:textId="7C96A42B" w:rsidR="002B71FC" w:rsidRDefault="002B71FC">
          <w:pPr>
            <w:pStyle w:val="TOC2"/>
            <w:tabs>
              <w:tab w:val="right" w:leader="dot" w:pos="9016"/>
            </w:tabs>
            <w:rPr>
              <w:rFonts w:eastAsiaTheme="minorEastAsia"/>
              <w:noProof/>
              <w:sz w:val="24"/>
              <w:szCs w:val="24"/>
              <w:lang w:eastAsia="en-AU"/>
            </w:rPr>
          </w:pPr>
          <w:hyperlink w:anchor="_Toc234960861" w:history="1">
            <w:r w:rsidRPr="003E6280">
              <w:rPr>
                <w:rStyle w:val="Hyperlink"/>
                <w:b/>
                <w:bCs/>
                <w:noProof/>
              </w:rPr>
              <w:t>Chronic Disease Risk Reduction</w:t>
            </w:r>
            <w:r>
              <w:rPr>
                <w:noProof/>
                <w:webHidden/>
              </w:rPr>
              <w:tab/>
            </w:r>
            <w:r>
              <w:rPr>
                <w:noProof/>
                <w:webHidden/>
              </w:rPr>
              <w:fldChar w:fldCharType="begin"/>
            </w:r>
            <w:r>
              <w:rPr>
                <w:noProof/>
                <w:webHidden/>
              </w:rPr>
              <w:instrText xml:space="preserve"> PAGEREF _Toc234960861 \h </w:instrText>
            </w:r>
            <w:r>
              <w:rPr>
                <w:noProof/>
                <w:webHidden/>
              </w:rPr>
            </w:r>
            <w:r>
              <w:rPr>
                <w:noProof/>
                <w:webHidden/>
              </w:rPr>
              <w:fldChar w:fldCharType="separate"/>
            </w:r>
            <w:r>
              <w:rPr>
                <w:noProof/>
                <w:webHidden/>
              </w:rPr>
              <w:t>57</w:t>
            </w:r>
            <w:r>
              <w:rPr>
                <w:noProof/>
                <w:webHidden/>
              </w:rPr>
              <w:fldChar w:fldCharType="end"/>
            </w:r>
          </w:hyperlink>
        </w:p>
        <w:p w14:paraId="413194BF" w14:textId="3A37B792" w:rsidR="002B71FC" w:rsidRDefault="002B71FC">
          <w:pPr>
            <w:pStyle w:val="TOC3"/>
            <w:tabs>
              <w:tab w:val="right" w:leader="dot" w:pos="9016"/>
            </w:tabs>
            <w:rPr>
              <w:rFonts w:eastAsiaTheme="minorEastAsia"/>
              <w:noProof/>
              <w:sz w:val="24"/>
              <w:szCs w:val="24"/>
              <w:lang w:eastAsia="en-AU"/>
            </w:rPr>
          </w:pPr>
          <w:hyperlink w:anchor="_Toc234960862" w:history="1">
            <w:r w:rsidRPr="003E6280">
              <w:rPr>
                <w:rStyle w:val="Hyperlink"/>
                <w:noProof/>
              </w:rPr>
              <w:t>Adults</w:t>
            </w:r>
            <w:r>
              <w:rPr>
                <w:noProof/>
                <w:webHidden/>
              </w:rPr>
              <w:tab/>
            </w:r>
            <w:r>
              <w:rPr>
                <w:noProof/>
                <w:webHidden/>
              </w:rPr>
              <w:fldChar w:fldCharType="begin"/>
            </w:r>
            <w:r>
              <w:rPr>
                <w:noProof/>
                <w:webHidden/>
              </w:rPr>
              <w:instrText xml:space="preserve"> PAGEREF _Toc234960862 \h </w:instrText>
            </w:r>
            <w:r>
              <w:rPr>
                <w:noProof/>
                <w:webHidden/>
              </w:rPr>
            </w:r>
            <w:r>
              <w:rPr>
                <w:noProof/>
                <w:webHidden/>
              </w:rPr>
              <w:fldChar w:fldCharType="separate"/>
            </w:r>
            <w:r>
              <w:rPr>
                <w:noProof/>
                <w:webHidden/>
              </w:rPr>
              <w:t>57</w:t>
            </w:r>
            <w:r>
              <w:rPr>
                <w:noProof/>
                <w:webHidden/>
              </w:rPr>
              <w:fldChar w:fldCharType="end"/>
            </w:r>
          </w:hyperlink>
        </w:p>
        <w:p w14:paraId="26242972" w14:textId="7F4A6A05" w:rsidR="002B71FC" w:rsidRDefault="002B71FC">
          <w:pPr>
            <w:pStyle w:val="TOC3"/>
            <w:tabs>
              <w:tab w:val="right" w:leader="dot" w:pos="9016"/>
            </w:tabs>
            <w:rPr>
              <w:rFonts w:eastAsiaTheme="minorEastAsia"/>
              <w:noProof/>
              <w:sz w:val="24"/>
              <w:szCs w:val="24"/>
              <w:lang w:eastAsia="en-AU"/>
            </w:rPr>
          </w:pPr>
          <w:hyperlink w:anchor="_Toc234960863" w:history="1">
            <w:r w:rsidRPr="003E6280">
              <w:rPr>
                <w:rStyle w:val="Hyperlink"/>
                <w:noProof/>
              </w:rPr>
              <w:t>Pregnancy</w:t>
            </w:r>
            <w:r>
              <w:rPr>
                <w:noProof/>
                <w:webHidden/>
              </w:rPr>
              <w:tab/>
            </w:r>
            <w:r>
              <w:rPr>
                <w:noProof/>
                <w:webHidden/>
              </w:rPr>
              <w:fldChar w:fldCharType="begin"/>
            </w:r>
            <w:r>
              <w:rPr>
                <w:noProof/>
                <w:webHidden/>
              </w:rPr>
              <w:instrText xml:space="preserve"> PAGEREF _Toc234960863 \h </w:instrText>
            </w:r>
            <w:r>
              <w:rPr>
                <w:noProof/>
                <w:webHidden/>
              </w:rPr>
            </w:r>
            <w:r>
              <w:rPr>
                <w:noProof/>
                <w:webHidden/>
              </w:rPr>
              <w:fldChar w:fldCharType="separate"/>
            </w:r>
            <w:r>
              <w:rPr>
                <w:noProof/>
                <w:webHidden/>
              </w:rPr>
              <w:t>57</w:t>
            </w:r>
            <w:r>
              <w:rPr>
                <w:noProof/>
                <w:webHidden/>
              </w:rPr>
              <w:fldChar w:fldCharType="end"/>
            </w:r>
          </w:hyperlink>
        </w:p>
        <w:p w14:paraId="5456CDE2" w14:textId="6F50019A" w:rsidR="002B71FC" w:rsidRDefault="002B71FC">
          <w:pPr>
            <w:pStyle w:val="TOC3"/>
            <w:tabs>
              <w:tab w:val="right" w:leader="dot" w:pos="9016"/>
            </w:tabs>
            <w:rPr>
              <w:rFonts w:eastAsiaTheme="minorEastAsia"/>
              <w:noProof/>
              <w:sz w:val="24"/>
              <w:szCs w:val="24"/>
              <w:lang w:eastAsia="en-AU"/>
            </w:rPr>
          </w:pPr>
          <w:hyperlink w:anchor="_Toc234960864" w:history="1">
            <w:r w:rsidRPr="003E6280">
              <w:rPr>
                <w:rStyle w:val="Hyperlink"/>
                <w:noProof/>
              </w:rPr>
              <w:t>Lactation</w:t>
            </w:r>
            <w:r>
              <w:rPr>
                <w:noProof/>
                <w:webHidden/>
              </w:rPr>
              <w:tab/>
            </w:r>
            <w:r>
              <w:rPr>
                <w:noProof/>
                <w:webHidden/>
              </w:rPr>
              <w:fldChar w:fldCharType="begin"/>
            </w:r>
            <w:r>
              <w:rPr>
                <w:noProof/>
                <w:webHidden/>
              </w:rPr>
              <w:instrText xml:space="preserve"> PAGEREF _Toc234960864 \h </w:instrText>
            </w:r>
            <w:r>
              <w:rPr>
                <w:noProof/>
                <w:webHidden/>
              </w:rPr>
            </w:r>
            <w:r>
              <w:rPr>
                <w:noProof/>
                <w:webHidden/>
              </w:rPr>
              <w:fldChar w:fldCharType="separate"/>
            </w:r>
            <w:r>
              <w:rPr>
                <w:noProof/>
                <w:webHidden/>
              </w:rPr>
              <w:t>58</w:t>
            </w:r>
            <w:r>
              <w:rPr>
                <w:noProof/>
                <w:webHidden/>
              </w:rPr>
              <w:fldChar w:fldCharType="end"/>
            </w:r>
          </w:hyperlink>
        </w:p>
        <w:p w14:paraId="21253E48" w14:textId="0401DB2E" w:rsidR="002B71FC" w:rsidRDefault="002B71FC">
          <w:pPr>
            <w:pStyle w:val="TOC3"/>
            <w:tabs>
              <w:tab w:val="right" w:leader="dot" w:pos="9016"/>
            </w:tabs>
            <w:rPr>
              <w:rFonts w:eastAsiaTheme="minorEastAsia"/>
              <w:noProof/>
              <w:sz w:val="24"/>
              <w:szCs w:val="24"/>
              <w:lang w:eastAsia="en-AU"/>
            </w:rPr>
          </w:pPr>
          <w:hyperlink w:anchor="_Toc234960865" w:history="1">
            <w:r w:rsidRPr="003E6280">
              <w:rPr>
                <w:rStyle w:val="Hyperlink"/>
                <w:noProof/>
              </w:rPr>
              <w:t>Children and adolescents</w:t>
            </w:r>
            <w:r>
              <w:rPr>
                <w:noProof/>
                <w:webHidden/>
              </w:rPr>
              <w:tab/>
            </w:r>
            <w:r>
              <w:rPr>
                <w:noProof/>
                <w:webHidden/>
              </w:rPr>
              <w:fldChar w:fldCharType="begin"/>
            </w:r>
            <w:r>
              <w:rPr>
                <w:noProof/>
                <w:webHidden/>
              </w:rPr>
              <w:instrText xml:space="preserve"> PAGEREF _Toc234960865 \h </w:instrText>
            </w:r>
            <w:r>
              <w:rPr>
                <w:noProof/>
                <w:webHidden/>
              </w:rPr>
            </w:r>
            <w:r>
              <w:rPr>
                <w:noProof/>
                <w:webHidden/>
              </w:rPr>
              <w:fldChar w:fldCharType="separate"/>
            </w:r>
            <w:r>
              <w:rPr>
                <w:noProof/>
                <w:webHidden/>
              </w:rPr>
              <w:t>58</w:t>
            </w:r>
            <w:r>
              <w:rPr>
                <w:noProof/>
                <w:webHidden/>
              </w:rPr>
              <w:fldChar w:fldCharType="end"/>
            </w:r>
          </w:hyperlink>
        </w:p>
        <w:p w14:paraId="2CD30834" w14:textId="4125C249" w:rsidR="002B71FC" w:rsidRDefault="002B71FC">
          <w:pPr>
            <w:pStyle w:val="TOC2"/>
            <w:tabs>
              <w:tab w:val="right" w:leader="dot" w:pos="9016"/>
            </w:tabs>
            <w:rPr>
              <w:rFonts w:eastAsiaTheme="minorEastAsia"/>
              <w:noProof/>
              <w:sz w:val="24"/>
              <w:szCs w:val="24"/>
              <w:lang w:eastAsia="en-AU"/>
            </w:rPr>
          </w:pPr>
          <w:hyperlink w:anchor="_Toc234960866" w:history="1">
            <w:r w:rsidRPr="003E6280">
              <w:rPr>
                <w:rStyle w:val="Hyperlink"/>
                <w:b/>
                <w:bCs/>
                <w:noProof/>
              </w:rPr>
              <w:t>Upper Levels</w:t>
            </w:r>
            <w:r>
              <w:rPr>
                <w:noProof/>
                <w:webHidden/>
              </w:rPr>
              <w:tab/>
            </w:r>
            <w:r>
              <w:rPr>
                <w:noProof/>
                <w:webHidden/>
              </w:rPr>
              <w:fldChar w:fldCharType="begin"/>
            </w:r>
            <w:r>
              <w:rPr>
                <w:noProof/>
                <w:webHidden/>
              </w:rPr>
              <w:instrText xml:space="preserve"> PAGEREF _Toc234960866 \h </w:instrText>
            </w:r>
            <w:r>
              <w:rPr>
                <w:noProof/>
                <w:webHidden/>
              </w:rPr>
            </w:r>
            <w:r>
              <w:rPr>
                <w:noProof/>
                <w:webHidden/>
              </w:rPr>
              <w:fldChar w:fldCharType="separate"/>
            </w:r>
            <w:r>
              <w:rPr>
                <w:noProof/>
                <w:webHidden/>
              </w:rPr>
              <w:t>59</w:t>
            </w:r>
            <w:r>
              <w:rPr>
                <w:noProof/>
                <w:webHidden/>
              </w:rPr>
              <w:fldChar w:fldCharType="end"/>
            </w:r>
          </w:hyperlink>
        </w:p>
        <w:p w14:paraId="36EE87A3" w14:textId="3E249FE8" w:rsidR="002B71FC" w:rsidRDefault="002B71FC">
          <w:pPr>
            <w:pStyle w:val="TOC3"/>
            <w:tabs>
              <w:tab w:val="right" w:leader="dot" w:pos="9016"/>
            </w:tabs>
            <w:rPr>
              <w:rFonts w:eastAsiaTheme="minorEastAsia"/>
              <w:noProof/>
              <w:sz w:val="24"/>
              <w:szCs w:val="24"/>
              <w:lang w:eastAsia="en-AU"/>
            </w:rPr>
          </w:pPr>
          <w:hyperlink w:anchor="_Toc234960867" w:history="1">
            <w:r w:rsidRPr="003E6280">
              <w:rPr>
                <w:rStyle w:val="Hyperlink"/>
                <w:noProof/>
              </w:rPr>
              <w:t>Children and adolescents</w:t>
            </w:r>
            <w:r>
              <w:rPr>
                <w:noProof/>
                <w:webHidden/>
              </w:rPr>
              <w:tab/>
            </w:r>
            <w:r>
              <w:rPr>
                <w:noProof/>
                <w:webHidden/>
              </w:rPr>
              <w:fldChar w:fldCharType="begin"/>
            </w:r>
            <w:r>
              <w:rPr>
                <w:noProof/>
                <w:webHidden/>
              </w:rPr>
              <w:instrText xml:space="preserve"> PAGEREF _Toc234960867 \h </w:instrText>
            </w:r>
            <w:r>
              <w:rPr>
                <w:noProof/>
                <w:webHidden/>
              </w:rPr>
            </w:r>
            <w:r>
              <w:rPr>
                <w:noProof/>
                <w:webHidden/>
              </w:rPr>
              <w:fldChar w:fldCharType="separate"/>
            </w:r>
            <w:r>
              <w:rPr>
                <w:noProof/>
                <w:webHidden/>
              </w:rPr>
              <w:t>59</w:t>
            </w:r>
            <w:r>
              <w:rPr>
                <w:noProof/>
                <w:webHidden/>
              </w:rPr>
              <w:fldChar w:fldCharType="end"/>
            </w:r>
          </w:hyperlink>
        </w:p>
        <w:p w14:paraId="77D63C66" w14:textId="01B0B70B" w:rsidR="002B71FC" w:rsidRDefault="002B71FC">
          <w:pPr>
            <w:pStyle w:val="TOC1"/>
            <w:tabs>
              <w:tab w:val="right" w:leader="dot" w:pos="9016"/>
            </w:tabs>
            <w:rPr>
              <w:rFonts w:eastAsiaTheme="minorEastAsia"/>
              <w:noProof/>
              <w:sz w:val="24"/>
              <w:szCs w:val="24"/>
              <w:lang w:eastAsia="en-AU"/>
            </w:rPr>
          </w:pPr>
          <w:hyperlink w:anchor="_Toc234960868" w:history="1">
            <w:r w:rsidRPr="003E6280">
              <w:rPr>
                <w:rStyle w:val="Hyperlink"/>
                <w:b/>
                <w:bCs/>
                <w:noProof/>
              </w:rPr>
              <w:t>Benchmarking</w:t>
            </w:r>
            <w:r>
              <w:rPr>
                <w:noProof/>
                <w:webHidden/>
              </w:rPr>
              <w:tab/>
            </w:r>
            <w:r>
              <w:rPr>
                <w:noProof/>
                <w:webHidden/>
              </w:rPr>
              <w:fldChar w:fldCharType="begin"/>
            </w:r>
            <w:r>
              <w:rPr>
                <w:noProof/>
                <w:webHidden/>
              </w:rPr>
              <w:instrText xml:space="preserve"> PAGEREF _Toc234960868 \h </w:instrText>
            </w:r>
            <w:r>
              <w:rPr>
                <w:noProof/>
                <w:webHidden/>
              </w:rPr>
            </w:r>
            <w:r>
              <w:rPr>
                <w:noProof/>
                <w:webHidden/>
              </w:rPr>
              <w:fldChar w:fldCharType="separate"/>
            </w:r>
            <w:r>
              <w:rPr>
                <w:noProof/>
                <w:webHidden/>
              </w:rPr>
              <w:t>60</w:t>
            </w:r>
            <w:r>
              <w:rPr>
                <w:noProof/>
                <w:webHidden/>
              </w:rPr>
              <w:fldChar w:fldCharType="end"/>
            </w:r>
          </w:hyperlink>
        </w:p>
        <w:p w14:paraId="70D7FA21" w14:textId="61E7D457" w:rsidR="002B71FC" w:rsidRDefault="002B71FC">
          <w:pPr>
            <w:pStyle w:val="TOC2"/>
            <w:tabs>
              <w:tab w:val="right" w:leader="dot" w:pos="9016"/>
            </w:tabs>
            <w:rPr>
              <w:rFonts w:eastAsiaTheme="minorEastAsia"/>
              <w:noProof/>
              <w:sz w:val="24"/>
              <w:szCs w:val="24"/>
              <w:lang w:eastAsia="en-AU"/>
            </w:rPr>
          </w:pPr>
          <w:hyperlink w:anchor="_Toc234960869" w:history="1">
            <w:r w:rsidRPr="003E6280">
              <w:rPr>
                <w:rStyle w:val="Hyperlink"/>
                <w:b/>
                <w:bCs/>
                <w:noProof/>
              </w:rPr>
              <w:t>International comparisons</w:t>
            </w:r>
            <w:r>
              <w:rPr>
                <w:noProof/>
                <w:webHidden/>
              </w:rPr>
              <w:tab/>
            </w:r>
            <w:r>
              <w:rPr>
                <w:noProof/>
                <w:webHidden/>
              </w:rPr>
              <w:fldChar w:fldCharType="begin"/>
            </w:r>
            <w:r>
              <w:rPr>
                <w:noProof/>
                <w:webHidden/>
              </w:rPr>
              <w:instrText xml:space="preserve"> PAGEREF _Toc234960869 \h </w:instrText>
            </w:r>
            <w:r>
              <w:rPr>
                <w:noProof/>
                <w:webHidden/>
              </w:rPr>
            </w:r>
            <w:r>
              <w:rPr>
                <w:noProof/>
                <w:webHidden/>
              </w:rPr>
              <w:fldChar w:fldCharType="separate"/>
            </w:r>
            <w:r>
              <w:rPr>
                <w:noProof/>
                <w:webHidden/>
              </w:rPr>
              <w:t>60</w:t>
            </w:r>
            <w:r>
              <w:rPr>
                <w:noProof/>
                <w:webHidden/>
              </w:rPr>
              <w:fldChar w:fldCharType="end"/>
            </w:r>
          </w:hyperlink>
        </w:p>
        <w:p w14:paraId="28A3C58B" w14:textId="0044B51F" w:rsidR="002B71FC" w:rsidRDefault="002B71FC">
          <w:pPr>
            <w:pStyle w:val="TOC3"/>
            <w:tabs>
              <w:tab w:val="right" w:leader="dot" w:pos="9016"/>
            </w:tabs>
            <w:rPr>
              <w:rFonts w:eastAsiaTheme="minorEastAsia"/>
              <w:noProof/>
              <w:sz w:val="24"/>
              <w:szCs w:val="24"/>
              <w:lang w:eastAsia="en-AU"/>
            </w:rPr>
          </w:pPr>
          <w:hyperlink w:anchor="_Toc234960870" w:history="1">
            <w:r w:rsidRPr="003E6280">
              <w:rPr>
                <w:rStyle w:val="Hyperlink"/>
                <w:noProof/>
              </w:rPr>
              <w:t>Adequate Intake</w:t>
            </w:r>
            <w:r>
              <w:rPr>
                <w:noProof/>
                <w:webHidden/>
              </w:rPr>
              <w:tab/>
            </w:r>
            <w:r>
              <w:rPr>
                <w:noProof/>
                <w:webHidden/>
              </w:rPr>
              <w:fldChar w:fldCharType="begin"/>
            </w:r>
            <w:r>
              <w:rPr>
                <w:noProof/>
                <w:webHidden/>
              </w:rPr>
              <w:instrText xml:space="preserve"> PAGEREF _Toc234960870 \h </w:instrText>
            </w:r>
            <w:r>
              <w:rPr>
                <w:noProof/>
                <w:webHidden/>
              </w:rPr>
            </w:r>
            <w:r>
              <w:rPr>
                <w:noProof/>
                <w:webHidden/>
              </w:rPr>
              <w:fldChar w:fldCharType="separate"/>
            </w:r>
            <w:r>
              <w:rPr>
                <w:noProof/>
                <w:webHidden/>
              </w:rPr>
              <w:t>60</w:t>
            </w:r>
            <w:r>
              <w:rPr>
                <w:noProof/>
                <w:webHidden/>
              </w:rPr>
              <w:fldChar w:fldCharType="end"/>
            </w:r>
          </w:hyperlink>
        </w:p>
        <w:p w14:paraId="2DDE1B39" w14:textId="7DABFE3F" w:rsidR="002B71FC" w:rsidRDefault="002B71FC">
          <w:pPr>
            <w:pStyle w:val="TOC3"/>
            <w:tabs>
              <w:tab w:val="right" w:leader="dot" w:pos="9016"/>
            </w:tabs>
            <w:rPr>
              <w:rFonts w:eastAsiaTheme="minorEastAsia"/>
              <w:noProof/>
              <w:sz w:val="24"/>
              <w:szCs w:val="24"/>
              <w:lang w:eastAsia="en-AU"/>
            </w:rPr>
          </w:pPr>
          <w:hyperlink w:anchor="_Toc234960871" w:history="1">
            <w:r w:rsidRPr="003E6280">
              <w:rPr>
                <w:rStyle w:val="Hyperlink"/>
                <w:noProof/>
              </w:rPr>
              <w:t>Chronic disease risk reduction</w:t>
            </w:r>
            <w:r>
              <w:rPr>
                <w:noProof/>
                <w:webHidden/>
              </w:rPr>
              <w:tab/>
            </w:r>
            <w:r>
              <w:rPr>
                <w:noProof/>
                <w:webHidden/>
              </w:rPr>
              <w:fldChar w:fldCharType="begin"/>
            </w:r>
            <w:r>
              <w:rPr>
                <w:noProof/>
                <w:webHidden/>
              </w:rPr>
              <w:instrText xml:space="preserve"> PAGEREF _Toc234960871 \h </w:instrText>
            </w:r>
            <w:r>
              <w:rPr>
                <w:noProof/>
                <w:webHidden/>
              </w:rPr>
            </w:r>
            <w:r>
              <w:rPr>
                <w:noProof/>
                <w:webHidden/>
              </w:rPr>
              <w:fldChar w:fldCharType="separate"/>
            </w:r>
            <w:r>
              <w:rPr>
                <w:noProof/>
                <w:webHidden/>
              </w:rPr>
              <w:t>61</w:t>
            </w:r>
            <w:r>
              <w:rPr>
                <w:noProof/>
                <w:webHidden/>
              </w:rPr>
              <w:fldChar w:fldCharType="end"/>
            </w:r>
          </w:hyperlink>
        </w:p>
        <w:p w14:paraId="3CC71640" w14:textId="6C5D63D4" w:rsidR="002B71FC" w:rsidRDefault="002B71FC">
          <w:pPr>
            <w:pStyle w:val="TOC2"/>
            <w:tabs>
              <w:tab w:val="right" w:leader="dot" w:pos="9016"/>
            </w:tabs>
            <w:rPr>
              <w:rFonts w:eastAsiaTheme="minorEastAsia"/>
              <w:noProof/>
              <w:sz w:val="24"/>
              <w:szCs w:val="24"/>
              <w:lang w:eastAsia="en-AU"/>
            </w:rPr>
          </w:pPr>
          <w:hyperlink w:anchor="_Toc234960872" w:history="1">
            <w:r w:rsidRPr="003E6280">
              <w:rPr>
                <w:rStyle w:val="Hyperlink"/>
                <w:b/>
                <w:bCs/>
                <w:noProof/>
              </w:rPr>
              <w:t>Food and diet modelling</w:t>
            </w:r>
            <w:r>
              <w:rPr>
                <w:noProof/>
                <w:webHidden/>
              </w:rPr>
              <w:tab/>
            </w:r>
            <w:r>
              <w:rPr>
                <w:noProof/>
                <w:webHidden/>
              </w:rPr>
              <w:fldChar w:fldCharType="begin"/>
            </w:r>
            <w:r>
              <w:rPr>
                <w:noProof/>
                <w:webHidden/>
              </w:rPr>
              <w:instrText xml:space="preserve"> PAGEREF _Toc234960872 \h </w:instrText>
            </w:r>
            <w:r>
              <w:rPr>
                <w:noProof/>
                <w:webHidden/>
              </w:rPr>
            </w:r>
            <w:r>
              <w:rPr>
                <w:noProof/>
                <w:webHidden/>
              </w:rPr>
              <w:fldChar w:fldCharType="separate"/>
            </w:r>
            <w:r>
              <w:rPr>
                <w:noProof/>
                <w:webHidden/>
              </w:rPr>
              <w:t>62</w:t>
            </w:r>
            <w:r>
              <w:rPr>
                <w:noProof/>
                <w:webHidden/>
              </w:rPr>
              <w:fldChar w:fldCharType="end"/>
            </w:r>
          </w:hyperlink>
        </w:p>
        <w:p w14:paraId="3CAD6619" w14:textId="02263782" w:rsidR="002B71FC" w:rsidRDefault="002B71FC">
          <w:pPr>
            <w:pStyle w:val="TOC3"/>
            <w:tabs>
              <w:tab w:val="right" w:leader="dot" w:pos="9016"/>
            </w:tabs>
            <w:rPr>
              <w:rFonts w:eastAsiaTheme="minorEastAsia"/>
              <w:noProof/>
              <w:sz w:val="24"/>
              <w:szCs w:val="24"/>
              <w:lang w:eastAsia="en-AU"/>
            </w:rPr>
          </w:pPr>
          <w:hyperlink w:anchor="_Toc234960873" w:history="1">
            <w:r w:rsidRPr="003E6280">
              <w:rPr>
                <w:rStyle w:val="Hyperlink"/>
                <w:noProof/>
              </w:rPr>
              <w:t>Adults</w:t>
            </w:r>
            <w:r>
              <w:rPr>
                <w:noProof/>
                <w:webHidden/>
              </w:rPr>
              <w:tab/>
            </w:r>
            <w:r>
              <w:rPr>
                <w:noProof/>
                <w:webHidden/>
              </w:rPr>
              <w:fldChar w:fldCharType="begin"/>
            </w:r>
            <w:r>
              <w:rPr>
                <w:noProof/>
                <w:webHidden/>
              </w:rPr>
              <w:instrText xml:space="preserve"> PAGEREF _Toc234960873 \h </w:instrText>
            </w:r>
            <w:r>
              <w:rPr>
                <w:noProof/>
                <w:webHidden/>
              </w:rPr>
            </w:r>
            <w:r>
              <w:rPr>
                <w:noProof/>
                <w:webHidden/>
              </w:rPr>
              <w:fldChar w:fldCharType="separate"/>
            </w:r>
            <w:r>
              <w:rPr>
                <w:noProof/>
                <w:webHidden/>
              </w:rPr>
              <w:t>63</w:t>
            </w:r>
            <w:r>
              <w:rPr>
                <w:noProof/>
                <w:webHidden/>
              </w:rPr>
              <w:fldChar w:fldCharType="end"/>
            </w:r>
          </w:hyperlink>
        </w:p>
        <w:p w14:paraId="6332A68B" w14:textId="2CB8CB06" w:rsidR="002B71FC" w:rsidRDefault="002B71FC">
          <w:pPr>
            <w:pStyle w:val="TOC3"/>
            <w:tabs>
              <w:tab w:val="right" w:leader="dot" w:pos="9016"/>
            </w:tabs>
            <w:rPr>
              <w:rFonts w:eastAsiaTheme="minorEastAsia"/>
              <w:noProof/>
              <w:sz w:val="24"/>
              <w:szCs w:val="24"/>
              <w:lang w:eastAsia="en-AU"/>
            </w:rPr>
          </w:pPr>
          <w:hyperlink w:anchor="_Toc234960874" w:history="1">
            <w:r w:rsidRPr="003E6280">
              <w:rPr>
                <w:rStyle w:val="Hyperlink"/>
                <w:noProof/>
              </w:rPr>
              <w:t>Pregnancy</w:t>
            </w:r>
            <w:r>
              <w:rPr>
                <w:noProof/>
                <w:webHidden/>
              </w:rPr>
              <w:tab/>
            </w:r>
            <w:r>
              <w:rPr>
                <w:noProof/>
                <w:webHidden/>
              </w:rPr>
              <w:fldChar w:fldCharType="begin"/>
            </w:r>
            <w:r>
              <w:rPr>
                <w:noProof/>
                <w:webHidden/>
              </w:rPr>
              <w:instrText xml:space="preserve"> PAGEREF _Toc234960874 \h </w:instrText>
            </w:r>
            <w:r>
              <w:rPr>
                <w:noProof/>
                <w:webHidden/>
              </w:rPr>
            </w:r>
            <w:r>
              <w:rPr>
                <w:noProof/>
                <w:webHidden/>
              </w:rPr>
              <w:fldChar w:fldCharType="separate"/>
            </w:r>
            <w:r>
              <w:rPr>
                <w:noProof/>
                <w:webHidden/>
              </w:rPr>
              <w:t>64</w:t>
            </w:r>
            <w:r>
              <w:rPr>
                <w:noProof/>
                <w:webHidden/>
              </w:rPr>
              <w:fldChar w:fldCharType="end"/>
            </w:r>
          </w:hyperlink>
        </w:p>
        <w:p w14:paraId="292C1E0E" w14:textId="760D5C51" w:rsidR="002B71FC" w:rsidRDefault="002B71FC">
          <w:pPr>
            <w:pStyle w:val="TOC3"/>
            <w:tabs>
              <w:tab w:val="right" w:leader="dot" w:pos="9016"/>
            </w:tabs>
            <w:rPr>
              <w:rFonts w:eastAsiaTheme="minorEastAsia"/>
              <w:noProof/>
              <w:sz w:val="24"/>
              <w:szCs w:val="24"/>
              <w:lang w:eastAsia="en-AU"/>
            </w:rPr>
          </w:pPr>
          <w:hyperlink w:anchor="_Toc234960875" w:history="1">
            <w:r w:rsidRPr="003E6280">
              <w:rPr>
                <w:rStyle w:val="Hyperlink"/>
                <w:noProof/>
              </w:rPr>
              <w:t>Lactation</w:t>
            </w:r>
            <w:r>
              <w:rPr>
                <w:noProof/>
                <w:webHidden/>
              </w:rPr>
              <w:tab/>
            </w:r>
            <w:r>
              <w:rPr>
                <w:noProof/>
                <w:webHidden/>
              </w:rPr>
              <w:fldChar w:fldCharType="begin"/>
            </w:r>
            <w:r>
              <w:rPr>
                <w:noProof/>
                <w:webHidden/>
              </w:rPr>
              <w:instrText xml:space="preserve"> PAGEREF _Toc234960875 \h </w:instrText>
            </w:r>
            <w:r>
              <w:rPr>
                <w:noProof/>
                <w:webHidden/>
              </w:rPr>
            </w:r>
            <w:r>
              <w:rPr>
                <w:noProof/>
                <w:webHidden/>
              </w:rPr>
              <w:fldChar w:fldCharType="separate"/>
            </w:r>
            <w:r>
              <w:rPr>
                <w:noProof/>
                <w:webHidden/>
              </w:rPr>
              <w:t>64</w:t>
            </w:r>
            <w:r>
              <w:rPr>
                <w:noProof/>
                <w:webHidden/>
              </w:rPr>
              <w:fldChar w:fldCharType="end"/>
            </w:r>
          </w:hyperlink>
        </w:p>
        <w:p w14:paraId="1C89C6B8" w14:textId="604F2052" w:rsidR="002B71FC" w:rsidRDefault="002B71FC">
          <w:pPr>
            <w:pStyle w:val="TOC3"/>
            <w:tabs>
              <w:tab w:val="right" w:leader="dot" w:pos="9016"/>
            </w:tabs>
            <w:rPr>
              <w:rFonts w:eastAsiaTheme="minorEastAsia"/>
              <w:noProof/>
              <w:sz w:val="24"/>
              <w:szCs w:val="24"/>
              <w:lang w:eastAsia="en-AU"/>
            </w:rPr>
          </w:pPr>
          <w:hyperlink w:anchor="_Toc234960876" w:history="1">
            <w:r w:rsidRPr="003E6280">
              <w:rPr>
                <w:rStyle w:val="Hyperlink"/>
                <w:noProof/>
              </w:rPr>
              <w:t>Children and adolescents</w:t>
            </w:r>
            <w:r>
              <w:rPr>
                <w:noProof/>
                <w:webHidden/>
              </w:rPr>
              <w:tab/>
            </w:r>
            <w:r>
              <w:rPr>
                <w:noProof/>
                <w:webHidden/>
              </w:rPr>
              <w:fldChar w:fldCharType="begin"/>
            </w:r>
            <w:r>
              <w:rPr>
                <w:noProof/>
                <w:webHidden/>
              </w:rPr>
              <w:instrText xml:space="preserve"> PAGEREF _Toc234960876 \h </w:instrText>
            </w:r>
            <w:r>
              <w:rPr>
                <w:noProof/>
                <w:webHidden/>
              </w:rPr>
            </w:r>
            <w:r>
              <w:rPr>
                <w:noProof/>
                <w:webHidden/>
              </w:rPr>
              <w:fldChar w:fldCharType="separate"/>
            </w:r>
            <w:r>
              <w:rPr>
                <w:noProof/>
                <w:webHidden/>
              </w:rPr>
              <w:t>65</w:t>
            </w:r>
            <w:r>
              <w:rPr>
                <w:noProof/>
                <w:webHidden/>
              </w:rPr>
              <w:fldChar w:fldCharType="end"/>
            </w:r>
          </w:hyperlink>
        </w:p>
        <w:p w14:paraId="6C994D31" w14:textId="17BD0337" w:rsidR="002B71FC" w:rsidRDefault="002B71FC">
          <w:pPr>
            <w:pStyle w:val="TOC1"/>
            <w:tabs>
              <w:tab w:val="right" w:leader="dot" w:pos="9016"/>
            </w:tabs>
            <w:rPr>
              <w:rFonts w:eastAsiaTheme="minorEastAsia"/>
              <w:noProof/>
              <w:sz w:val="24"/>
              <w:szCs w:val="24"/>
              <w:lang w:eastAsia="en-AU"/>
            </w:rPr>
          </w:pPr>
          <w:hyperlink w:anchor="_Toc234960877" w:history="1">
            <w:r w:rsidRPr="003E6280">
              <w:rPr>
                <w:rStyle w:val="Hyperlink"/>
                <w:b/>
                <w:bCs/>
                <w:noProof/>
              </w:rPr>
              <w:t>Proposed recommendations</w:t>
            </w:r>
            <w:r>
              <w:rPr>
                <w:noProof/>
                <w:webHidden/>
              </w:rPr>
              <w:tab/>
            </w:r>
            <w:r>
              <w:rPr>
                <w:noProof/>
                <w:webHidden/>
              </w:rPr>
              <w:fldChar w:fldCharType="begin"/>
            </w:r>
            <w:r>
              <w:rPr>
                <w:noProof/>
                <w:webHidden/>
              </w:rPr>
              <w:instrText xml:space="preserve"> PAGEREF _Toc234960877 \h </w:instrText>
            </w:r>
            <w:r>
              <w:rPr>
                <w:noProof/>
                <w:webHidden/>
              </w:rPr>
            </w:r>
            <w:r>
              <w:rPr>
                <w:noProof/>
                <w:webHidden/>
              </w:rPr>
              <w:fldChar w:fldCharType="separate"/>
            </w:r>
            <w:r>
              <w:rPr>
                <w:noProof/>
                <w:webHidden/>
              </w:rPr>
              <w:t>66</w:t>
            </w:r>
            <w:r>
              <w:rPr>
                <w:noProof/>
                <w:webHidden/>
              </w:rPr>
              <w:fldChar w:fldCharType="end"/>
            </w:r>
          </w:hyperlink>
        </w:p>
        <w:p w14:paraId="50335486" w14:textId="79633F12" w:rsidR="002B71FC" w:rsidRDefault="002B71FC">
          <w:pPr>
            <w:pStyle w:val="TOC1"/>
            <w:tabs>
              <w:tab w:val="right" w:leader="dot" w:pos="9016"/>
            </w:tabs>
            <w:rPr>
              <w:rFonts w:eastAsiaTheme="minorEastAsia"/>
              <w:noProof/>
              <w:sz w:val="24"/>
              <w:szCs w:val="24"/>
              <w:lang w:eastAsia="en-AU"/>
            </w:rPr>
          </w:pPr>
          <w:hyperlink w:anchor="_Toc234960878" w:history="1">
            <w:r w:rsidRPr="003E6280">
              <w:rPr>
                <w:rStyle w:val="Hyperlink"/>
                <w:b/>
                <w:bCs/>
                <w:noProof/>
              </w:rPr>
              <w:t>References</w:t>
            </w:r>
            <w:r>
              <w:rPr>
                <w:noProof/>
                <w:webHidden/>
              </w:rPr>
              <w:tab/>
            </w:r>
            <w:r>
              <w:rPr>
                <w:noProof/>
                <w:webHidden/>
              </w:rPr>
              <w:fldChar w:fldCharType="begin"/>
            </w:r>
            <w:r>
              <w:rPr>
                <w:noProof/>
                <w:webHidden/>
              </w:rPr>
              <w:instrText xml:space="preserve"> PAGEREF _Toc234960878 \h </w:instrText>
            </w:r>
            <w:r>
              <w:rPr>
                <w:noProof/>
                <w:webHidden/>
              </w:rPr>
            </w:r>
            <w:r>
              <w:rPr>
                <w:noProof/>
                <w:webHidden/>
              </w:rPr>
              <w:fldChar w:fldCharType="separate"/>
            </w:r>
            <w:r>
              <w:rPr>
                <w:noProof/>
                <w:webHidden/>
              </w:rPr>
              <w:t>67</w:t>
            </w:r>
            <w:r>
              <w:rPr>
                <w:noProof/>
                <w:webHidden/>
              </w:rPr>
              <w:fldChar w:fldCharType="end"/>
            </w:r>
          </w:hyperlink>
        </w:p>
        <w:p w14:paraId="5C3E7F1B" w14:textId="565452D3" w:rsidR="002B71FC" w:rsidRDefault="002B71FC">
          <w:pPr>
            <w:pStyle w:val="TOC1"/>
            <w:tabs>
              <w:tab w:val="right" w:leader="dot" w:pos="9016"/>
            </w:tabs>
            <w:rPr>
              <w:rFonts w:eastAsiaTheme="minorEastAsia"/>
              <w:noProof/>
              <w:sz w:val="24"/>
              <w:szCs w:val="24"/>
              <w:lang w:eastAsia="en-AU"/>
            </w:rPr>
          </w:pPr>
          <w:hyperlink w:anchor="_Toc234960879" w:history="1">
            <w:r w:rsidRPr="003E6280">
              <w:rPr>
                <w:rStyle w:val="Hyperlink"/>
                <w:b/>
                <w:bCs/>
                <w:noProof/>
              </w:rPr>
              <w:t>Appendix A – Assessment of guideline suitability</w:t>
            </w:r>
            <w:r>
              <w:rPr>
                <w:noProof/>
                <w:webHidden/>
              </w:rPr>
              <w:tab/>
            </w:r>
            <w:r>
              <w:rPr>
                <w:noProof/>
                <w:webHidden/>
              </w:rPr>
              <w:fldChar w:fldCharType="begin"/>
            </w:r>
            <w:r>
              <w:rPr>
                <w:noProof/>
                <w:webHidden/>
              </w:rPr>
              <w:instrText xml:space="preserve"> PAGEREF _Toc234960879 \h </w:instrText>
            </w:r>
            <w:r>
              <w:rPr>
                <w:noProof/>
                <w:webHidden/>
              </w:rPr>
            </w:r>
            <w:r>
              <w:rPr>
                <w:noProof/>
                <w:webHidden/>
              </w:rPr>
              <w:fldChar w:fldCharType="separate"/>
            </w:r>
            <w:r>
              <w:rPr>
                <w:noProof/>
                <w:webHidden/>
              </w:rPr>
              <w:t>78</w:t>
            </w:r>
            <w:r>
              <w:rPr>
                <w:noProof/>
                <w:webHidden/>
              </w:rPr>
              <w:fldChar w:fldCharType="end"/>
            </w:r>
          </w:hyperlink>
        </w:p>
        <w:p w14:paraId="649F1442" w14:textId="4E5C44D6" w:rsidR="002B71FC" w:rsidRDefault="002B71FC">
          <w:pPr>
            <w:pStyle w:val="TOC2"/>
            <w:tabs>
              <w:tab w:val="right" w:leader="dot" w:pos="9016"/>
            </w:tabs>
            <w:rPr>
              <w:rFonts w:eastAsiaTheme="minorEastAsia"/>
              <w:noProof/>
              <w:sz w:val="24"/>
              <w:szCs w:val="24"/>
              <w:lang w:eastAsia="en-AU"/>
            </w:rPr>
          </w:pPr>
          <w:hyperlink w:anchor="_Toc234960880" w:history="1">
            <w:r w:rsidRPr="003E6280">
              <w:rPr>
                <w:rStyle w:val="Hyperlink"/>
                <w:noProof/>
              </w:rPr>
              <w:t>Administrative and technical criteria for assessing existing nutrient reference values</w:t>
            </w:r>
            <w:r>
              <w:rPr>
                <w:noProof/>
                <w:webHidden/>
              </w:rPr>
              <w:tab/>
            </w:r>
            <w:r>
              <w:rPr>
                <w:noProof/>
                <w:webHidden/>
              </w:rPr>
              <w:fldChar w:fldCharType="begin"/>
            </w:r>
            <w:r>
              <w:rPr>
                <w:noProof/>
                <w:webHidden/>
              </w:rPr>
              <w:instrText xml:space="preserve"> PAGEREF _Toc234960880 \h </w:instrText>
            </w:r>
            <w:r>
              <w:rPr>
                <w:noProof/>
                <w:webHidden/>
              </w:rPr>
            </w:r>
            <w:r>
              <w:rPr>
                <w:noProof/>
                <w:webHidden/>
              </w:rPr>
              <w:fldChar w:fldCharType="separate"/>
            </w:r>
            <w:r>
              <w:rPr>
                <w:noProof/>
                <w:webHidden/>
              </w:rPr>
              <w:t>78</w:t>
            </w:r>
            <w:r>
              <w:rPr>
                <w:noProof/>
                <w:webHidden/>
              </w:rPr>
              <w:fldChar w:fldCharType="end"/>
            </w:r>
          </w:hyperlink>
        </w:p>
        <w:p w14:paraId="45D925EE" w14:textId="077757BC" w:rsidR="002B71FC" w:rsidRDefault="002B71FC">
          <w:pPr>
            <w:pStyle w:val="TOC3"/>
            <w:tabs>
              <w:tab w:val="right" w:leader="dot" w:pos="9016"/>
            </w:tabs>
            <w:rPr>
              <w:rFonts w:eastAsiaTheme="minorEastAsia"/>
              <w:noProof/>
              <w:sz w:val="24"/>
              <w:szCs w:val="24"/>
              <w:lang w:eastAsia="en-AU"/>
            </w:rPr>
          </w:pPr>
          <w:hyperlink w:anchor="_Toc234960881" w:history="1">
            <w:r w:rsidRPr="003E6280">
              <w:rPr>
                <w:rStyle w:val="Hyperlink"/>
                <w:noProof/>
              </w:rPr>
              <w:t>Title/Reference:</w:t>
            </w:r>
            <w:r>
              <w:rPr>
                <w:noProof/>
                <w:webHidden/>
              </w:rPr>
              <w:tab/>
            </w:r>
            <w:r>
              <w:rPr>
                <w:noProof/>
                <w:webHidden/>
              </w:rPr>
              <w:fldChar w:fldCharType="begin"/>
            </w:r>
            <w:r>
              <w:rPr>
                <w:noProof/>
                <w:webHidden/>
              </w:rPr>
              <w:instrText xml:space="preserve"> PAGEREF _Toc234960881 \h </w:instrText>
            </w:r>
            <w:r>
              <w:rPr>
                <w:noProof/>
                <w:webHidden/>
              </w:rPr>
            </w:r>
            <w:r>
              <w:rPr>
                <w:noProof/>
                <w:webHidden/>
              </w:rPr>
              <w:fldChar w:fldCharType="separate"/>
            </w:r>
            <w:r>
              <w:rPr>
                <w:noProof/>
                <w:webHidden/>
              </w:rPr>
              <w:t>78</w:t>
            </w:r>
            <w:r>
              <w:rPr>
                <w:noProof/>
                <w:webHidden/>
              </w:rPr>
              <w:fldChar w:fldCharType="end"/>
            </w:r>
          </w:hyperlink>
        </w:p>
        <w:p w14:paraId="36910243" w14:textId="69F21C46" w:rsidR="002B71FC" w:rsidRDefault="002B71FC">
          <w:pPr>
            <w:pStyle w:val="TOC3"/>
            <w:tabs>
              <w:tab w:val="right" w:leader="dot" w:pos="9016"/>
            </w:tabs>
            <w:rPr>
              <w:rFonts w:eastAsiaTheme="minorEastAsia"/>
              <w:noProof/>
              <w:sz w:val="24"/>
              <w:szCs w:val="24"/>
              <w:lang w:eastAsia="en-AU"/>
            </w:rPr>
          </w:pPr>
          <w:hyperlink w:anchor="_Toc234960882" w:history="1">
            <w:r w:rsidRPr="003E6280">
              <w:rPr>
                <w:rStyle w:val="Hyperlink"/>
                <w:noProof/>
              </w:rPr>
              <w:t>Assessment:</w:t>
            </w:r>
            <w:r>
              <w:rPr>
                <w:noProof/>
                <w:webHidden/>
              </w:rPr>
              <w:tab/>
            </w:r>
            <w:r>
              <w:rPr>
                <w:noProof/>
                <w:webHidden/>
              </w:rPr>
              <w:fldChar w:fldCharType="begin"/>
            </w:r>
            <w:r>
              <w:rPr>
                <w:noProof/>
                <w:webHidden/>
              </w:rPr>
              <w:instrText xml:space="preserve"> PAGEREF _Toc234960882 \h </w:instrText>
            </w:r>
            <w:r>
              <w:rPr>
                <w:noProof/>
                <w:webHidden/>
              </w:rPr>
            </w:r>
            <w:r>
              <w:rPr>
                <w:noProof/>
                <w:webHidden/>
              </w:rPr>
              <w:fldChar w:fldCharType="separate"/>
            </w:r>
            <w:r>
              <w:rPr>
                <w:noProof/>
                <w:webHidden/>
              </w:rPr>
              <w:t>78</w:t>
            </w:r>
            <w:r>
              <w:rPr>
                <w:noProof/>
                <w:webHidden/>
              </w:rPr>
              <w:fldChar w:fldCharType="end"/>
            </w:r>
          </w:hyperlink>
        </w:p>
        <w:p w14:paraId="7410A645" w14:textId="3E369D99" w:rsidR="002B71FC" w:rsidRDefault="002B71FC">
          <w:pPr>
            <w:pStyle w:val="TOC3"/>
            <w:tabs>
              <w:tab w:val="right" w:leader="dot" w:pos="9016"/>
            </w:tabs>
            <w:rPr>
              <w:rFonts w:eastAsiaTheme="minorEastAsia"/>
              <w:noProof/>
              <w:sz w:val="24"/>
              <w:szCs w:val="24"/>
              <w:lang w:eastAsia="en-AU"/>
            </w:rPr>
          </w:pPr>
          <w:hyperlink w:anchor="_Toc234960883" w:history="1">
            <w:r w:rsidRPr="003E6280">
              <w:rPr>
                <w:rStyle w:val="Hyperlink"/>
                <w:noProof/>
              </w:rPr>
              <w:t>Overall guidance/advice development process</w:t>
            </w:r>
            <w:r>
              <w:rPr>
                <w:noProof/>
                <w:webHidden/>
              </w:rPr>
              <w:tab/>
            </w:r>
            <w:r>
              <w:rPr>
                <w:noProof/>
                <w:webHidden/>
              </w:rPr>
              <w:fldChar w:fldCharType="begin"/>
            </w:r>
            <w:r>
              <w:rPr>
                <w:noProof/>
                <w:webHidden/>
              </w:rPr>
              <w:instrText xml:space="preserve"> PAGEREF _Toc234960883 \h </w:instrText>
            </w:r>
            <w:r>
              <w:rPr>
                <w:noProof/>
                <w:webHidden/>
              </w:rPr>
            </w:r>
            <w:r>
              <w:rPr>
                <w:noProof/>
                <w:webHidden/>
              </w:rPr>
              <w:fldChar w:fldCharType="separate"/>
            </w:r>
            <w:r>
              <w:rPr>
                <w:noProof/>
                <w:webHidden/>
              </w:rPr>
              <w:t>78</w:t>
            </w:r>
            <w:r>
              <w:rPr>
                <w:noProof/>
                <w:webHidden/>
              </w:rPr>
              <w:fldChar w:fldCharType="end"/>
            </w:r>
          </w:hyperlink>
        </w:p>
        <w:p w14:paraId="3DC78E6B" w14:textId="124E697B" w:rsidR="002B71FC" w:rsidRDefault="002B71FC">
          <w:pPr>
            <w:pStyle w:val="TOC3"/>
            <w:tabs>
              <w:tab w:val="right" w:leader="dot" w:pos="9016"/>
            </w:tabs>
            <w:rPr>
              <w:rFonts w:eastAsiaTheme="minorEastAsia"/>
              <w:noProof/>
              <w:sz w:val="24"/>
              <w:szCs w:val="24"/>
              <w:lang w:eastAsia="en-AU"/>
            </w:rPr>
          </w:pPr>
          <w:hyperlink w:anchor="_Toc234960884" w:history="1">
            <w:r w:rsidRPr="003E6280">
              <w:rPr>
                <w:rStyle w:val="Hyperlink"/>
                <w:noProof/>
              </w:rPr>
              <w:t>Evidence review parameters</w:t>
            </w:r>
            <w:r>
              <w:rPr>
                <w:noProof/>
                <w:webHidden/>
              </w:rPr>
              <w:tab/>
            </w:r>
            <w:r>
              <w:rPr>
                <w:noProof/>
                <w:webHidden/>
              </w:rPr>
              <w:fldChar w:fldCharType="begin"/>
            </w:r>
            <w:r>
              <w:rPr>
                <w:noProof/>
                <w:webHidden/>
              </w:rPr>
              <w:instrText xml:space="preserve"> PAGEREF _Toc234960884 \h </w:instrText>
            </w:r>
            <w:r>
              <w:rPr>
                <w:noProof/>
                <w:webHidden/>
              </w:rPr>
            </w:r>
            <w:r>
              <w:rPr>
                <w:noProof/>
                <w:webHidden/>
              </w:rPr>
              <w:fldChar w:fldCharType="separate"/>
            </w:r>
            <w:r>
              <w:rPr>
                <w:noProof/>
                <w:webHidden/>
              </w:rPr>
              <w:t>79</w:t>
            </w:r>
            <w:r>
              <w:rPr>
                <w:noProof/>
                <w:webHidden/>
              </w:rPr>
              <w:fldChar w:fldCharType="end"/>
            </w:r>
          </w:hyperlink>
        </w:p>
        <w:p w14:paraId="2BAF6156" w14:textId="30CE272F" w:rsidR="002B71FC" w:rsidRDefault="002B71FC">
          <w:pPr>
            <w:pStyle w:val="TOC3"/>
            <w:tabs>
              <w:tab w:val="right" w:leader="dot" w:pos="9016"/>
            </w:tabs>
            <w:rPr>
              <w:rFonts w:eastAsiaTheme="minorEastAsia"/>
              <w:noProof/>
              <w:sz w:val="24"/>
              <w:szCs w:val="24"/>
              <w:lang w:eastAsia="en-AU"/>
            </w:rPr>
          </w:pPr>
          <w:hyperlink w:anchor="_Toc234960885" w:history="1">
            <w:r w:rsidRPr="003E6280">
              <w:rPr>
                <w:rStyle w:val="Hyperlink"/>
                <w:noProof/>
              </w:rPr>
              <w:t>Evidence search</w:t>
            </w:r>
            <w:r>
              <w:rPr>
                <w:noProof/>
                <w:webHidden/>
              </w:rPr>
              <w:tab/>
            </w:r>
            <w:r>
              <w:rPr>
                <w:noProof/>
                <w:webHidden/>
              </w:rPr>
              <w:fldChar w:fldCharType="begin"/>
            </w:r>
            <w:r>
              <w:rPr>
                <w:noProof/>
                <w:webHidden/>
              </w:rPr>
              <w:instrText xml:space="preserve"> PAGEREF _Toc234960885 \h </w:instrText>
            </w:r>
            <w:r>
              <w:rPr>
                <w:noProof/>
                <w:webHidden/>
              </w:rPr>
            </w:r>
            <w:r>
              <w:rPr>
                <w:noProof/>
                <w:webHidden/>
              </w:rPr>
              <w:fldChar w:fldCharType="separate"/>
            </w:r>
            <w:r>
              <w:rPr>
                <w:noProof/>
                <w:webHidden/>
              </w:rPr>
              <w:t>81</w:t>
            </w:r>
            <w:r>
              <w:rPr>
                <w:noProof/>
                <w:webHidden/>
              </w:rPr>
              <w:fldChar w:fldCharType="end"/>
            </w:r>
          </w:hyperlink>
        </w:p>
        <w:p w14:paraId="0235D825" w14:textId="035690C5" w:rsidR="002B71FC" w:rsidRDefault="002B71FC">
          <w:pPr>
            <w:pStyle w:val="TOC3"/>
            <w:tabs>
              <w:tab w:val="right" w:leader="dot" w:pos="9016"/>
            </w:tabs>
            <w:rPr>
              <w:rFonts w:eastAsiaTheme="minorEastAsia"/>
              <w:noProof/>
              <w:sz w:val="24"/>
              <w:szCs w:val="24"/>
              <w:lang w:eastAsia="en-AU"/>
            </w:rPr>
          </w:pPr>
          <w:hyperlink w:anchor="_Toc234960886" w:history="1">
            <w:r w:rsidRPr="003E6280">
              <w:rPr>
                <w:rStyle w:val="Hyperlink"/>
                <w:noProof/>
              </w:rPr>
              <w:t>Critical appraisal methods and tools</w:t>
            </w:r>
            <w:r>
              <w:rPr>
                <w:noProof/>
                <w:webHidden/>
              </w:rPr>
              <w:tab/>
            </w:r>
            <w:r>
              <w:rPr>
                <w:noProof/>
                <w:webHidden/>
              </w:rPr>
              <w:fldChar w:fldCharType="begin"/>
            </w:r>
            <w:r>
              <w:rPr>
                <w:noProof/>
                <w:webHidden/>
              </w:rPr>
              <w:instrText xml:space="preserve"> PAGEREF _Toc234960886 \h </w:instrText>
            </w:r>
            <w:r>
              <w:rPr>
                <w:noProof/>
                <w:webHidden/>
              </w:rPr>
            </w:r>
            <w:r>
              <w:rPr>
                <w:noProof/>
                <w:webHidden/>
              </w:rPr>
              <w:fldChar w:fldCharType="separate"/>
            </w:r>
            <w:r>
              <w:rPr>
                <w:noProof/>
                <w:webHidden/>
              </w:rPr>
              <w:t>82</w:t>
            </w:r>
            <w:r>
              <w:rPr>
                <w:noProof/>
                <w:webHidden/>
              </w:rPr>
              <w:fldChar w:fldCharType="end"/>
            </w:r>
          </w:hyperlink>
        </w:p>
        <w:p w14:paraId="66B1A3E2" w14:textId="349842E0" w:rsidR="002B71FC" w:rsidRDefault="002B71FC">
          <w:pPr>
            <w:pStyle w:val="TOC3"/>
            <w:tabs>
              <w:tab w:val="right" w:leader="dot" w:pos="9016"/>
            </w:tabs>
            <w:rPr>
              <w:rFonts w:eastAsiaTheme="minorEastAsia"/>
              <w:noProof/>
              <w:sz w:val="24"/>
              <w:szCs w:val="24"/>
              <w:lang w:eastAsia="en-AU"/>
            </w:rPr>
          </w:pPr>
          <w:hyperlink w:anchor="_Toc234960887" w:history="1">
            <w:r w:rsidRPr="003E6280">
              <w:rPr>
                <w:rStyle w:val="Hyperlink"/>
                <w:noProof/>
              </w:rPr>
              <w:t>Derivation of nutrient reference values</w:t>
            </w:r>
            <w:r>
              <w:rPr>
                <w:noProof/>
                <w:webHidden/>
              </w:rPr>
              <w:tab/>
            </w:r>
            <w:r>
              <w:rPr>
                <w:noProof/>
                <w:webHidden/>
              </w:rPr>
              <w:fldChar w:fldCharType="begin"/>
            </w:r>
            <w:r>
              <w:rPr>
                <w:noProof/>
                <w:webHidden/>
              </w:rPr>
              <w:instrText xml:space="preserve"> PAGEREF _Toc234960887 \h </w:instrText>
            </w:r>
            <w:r>
              <w:rPr>
                <w:noProof/>
                <w:webHidden/>
              </w:rPr>
            </w:r>
            <w:r>
              <w:rPr>
                <w:noProof/>
                <w:webHidden/>
              </w:rPr>
              <w:fldChar w:fldCharType="separate"/>
            </w:r>
            <w:r>
              <w:rPr>
                <w:noProof/>
                <w:webHidden/>
              </w:rPr>
              <w:t>83</w:t>
            </w:r>
            <w:r>
              <w:rPr>
                <w:noProof/>
                <w:webHidden/>
              </w:rPr>
              <w:fldChar w:fldCharType="end"/>
            </w:r>
          </w:hyperlink>
        </w:p>
        <w:p w14:paraId="47E907E5" w14:textId="51EE7715" w:rsidR="002B71FC" w:rsidRDefault="002B71FC">
          <w:pPr>
            <w:pStyle w:val="TOC3"/>
            <w:tabs>
              <w:tab w:val="right" w:leader="dot" w:pos="9016"/>
            </w:tabs>
            <w:rPr>
              <w:rFonts w:eastAsiaTheme="minorEastAsia"/>
              <w:noProof/>
              <w:sz w:val="24"/>
              <w:szCs w:val="24"/>
              <w:lang w:eastAsia="en-AU"/>
            </w:rPr>
          </w:pPr>
          <w:hyperlink w:anchor="_Toc234960888" w:history="1">
            <w:r w:rsidRPr="003E6280">
              <w:rPr>
                <w:rStyle w:val="Hyperlink"/>
                <w:noProof/>
              </w:rPr>
              <w:t>Suitability for adopting vs adapting</w:t>
            </w:r>
            <w:r>
              <w:rPr>
                <w:noProof/>
                <w:webHidden/>
              </w:rPr>
              <w:tab/>
            </w:r>
            <w:r>
              <w:rPr>
                <w:noProof/>
                <w:webHidden/>
              </w:rPr>
              <w:fldChar w:fldCharType="begin"/>
            </w:r>
            <w:r>
              <w:rPr>
                <w:noProof/>
                <w:webHidden/>
              </w:rPr>
              <w:instrText xml:space="preserve"> PAGEREF _Toc234960888 \h </w:instrText>
            </w:r>
            <w:r>
              <w:rPr>
                <w:noProof/>
                <w:webHidden/>
              </w:rPr>
            </w:r>
            <w:r>
              <w:rPr>
                <w:noProof/>
                <w:webHidden/>
              </w:rPr>
              <w:fldChar w:fldCharType="separate"/>
            </w:r>
            <w:r>
              <w:rPr>
                <w:noProof/>
                <w:webHidden/>
              </w:rPr>
              <w:t>86</w:t>
            </w:r>
            <w:r>
              <w:rPr>
                <w:noProof/>
                <w:webHidden/>
              </w:rPr>
              <w:fldChar w:fldCharType="end"/>
            </w:r>
          </w:hyperlink>
        </w:p>
        <w:p w14:paraId="51E0B129" w14:textId="7B185CAD" w:rsidR="002B71FC" w:rsidRDefault="002B71FC">
          <w:pPr>
            <w:pStyle w:val="TOC3"/>
            <w:tabs>
              <w:tab w:val="right" w:leader="dot" w:pos="9016"/>
            </w:tabs>
            <w:rPr>
              <w:rFonts w:eastAsiaTheme="minorEastAsia"/>
              <w:noProof/>
              <w:sz w:val="24"/>
              <w:szCs w:val="24"/>
              <w:lang w:eastAsia="en-AU"/>
            </w:rPr>
          </w:pPr>
          <w:hyperlink w:anchor="_Toc234960889" w:history="1">
            <w:r w:rsidRPr="003E6280">
              <w:rPr>
                <w:rStyle w:val="Hyperlink"/>
                <w:noProof/>
              </w:rPr>
              <w:t>Overall conclusions</w:t>
            </w:r>
            <w:r>
              <w:rPr>
                <w:noProof/>
                <w:webHidden/>
              </w:rPr>
              <w:tab/>
            </w:r>
            <w:r>
              <w:rPr>
                <w:noProof/>
                <w:webHidden/>
              </w:rPr>
              <w:fldChar w:fldCharType="begin"/>
            </w:r>
            <w:r>
              <w:rPr>
                <w:noProof/>
                <w:webHidden/>
              </w:rPr>
              <w:instrText xml:space="preserve"> PAGEREF _Toc234960889 \h </w:instrText>
            </w:r>
            <w:r>
              <w:rPr>
                <w:noProof/>
                <w:webHidden/>
              </w:rPr>
            </w:r>
            <w:r>
              <w:rPr>
                <w:noProof/>
                <w:webHidden/>
              </w:rPr>
              <w:fldChar w:fldCharType="separate"/>
            </w:r>
            <w:r>
              <w:rPr>
                <w:noProof/>
                <w:webHidden/>
              </w:rPr>
              <w:t>86</w:t>
            </w:r>
            <w:r>
              <w:rPr>
                <w:noProof/>
                <w:webHidden/>
              </w:rPr>
              <w:fldChar w:fldCharType="end"/>
            </w:r>
          </w:hyperlink>
        </w:p>
        <w:p w14:paraId="33F94AFC" w14:textId="04816414" w:rsidR="002B71FC" w:rsidRDefault="002B71FC">
          <w:pPr>
            <w:pStyle w:val="TOC2"/>
            <w:tabs>
              <w:tab w:val="right" w:leader="dot" w:pos="9016"/>
            </w:tabs>
            <w:rPr>
              <w:rFonts w:eastAsiaTheme="minorEastAsia"/>
              <w:noProof/>
              <w:sz w:val="24"/>
              <w:szCs w:val="24"/>
              <w:lang w:eastAsia="en-AU"/>
            </w:rPr>
          </w:pPr>
          <w:hyperlink w:anchor="_Toc234960890" w:history="1">
            <w:r w:rsidRPr="003E6280">
              <w:rPr>
                <w:rStyle w:val="Hyperlink"/>
                <w:noProof/>
              </w:rPr>
              <w:t>Administrative and technical criteria for assessing existing nutrient reference values</w:t>
            </w:r>
            <w:r>
              <w:rPr>
                <w:noProof/>
                <w:webHidden/>
              </w:rPr>
              <w:tab/>
            </w:r>
            <w:r>
              <w:rPr>
                <w:noProof/>
                <w:webHidden/>
              </w:rPr>
              <w:fldChar w:fldCharType="begin"/>
            </w:r>
            <w:r>
              <w:rPr>
                <w:noProof/>
                <w:webHidden/>
              </w:rPr>
              <w:instrText xml:space="preserve"> PAGEREF _Toc234960890 \h </w:instrText>
            </w:r>
            <w:r>
              <w:rPr>
                <w:noProof/>
                <w:webHidden/>
              </w:rPr>
            </w:r>
            <w:r>
              <w:rPr>
                <w:noProof/>
                <w:webHidden/>
              </w:rPr>
              <w:fldChar w:fldCharType="separate"/>
            </w:r>
            <w:r>
              <w:rPr>
                <w:noProof/>
                <w:webHidden/>
              </w:rPr>
              <w:t>87</w:t>
            </w:r>
            <w:r>
              <w:rPr>
                <w:noProof/>
                <w:webHidden/>
              </w:rPr>
              <w:fldChar w:fldCharType="end"/>
            </w:r>
          </w:hyperlink>
        </w:p>
        <w:p w14:paraId="7DBE7E42" w14:textId="7097B9FC" w:rsidR="002B71FC" w:rsidRDefault="002B71FC">
          <w:pPr>
            <w:pStyle w:val="TOC3"/>
            <w:tabs>
              <w:tab w:val="right" w:leader="dot" w:pos="9016"/>
            </w:tabs>
            <w:rPr>
              <w:rFonts w:eastAsiaTheme="minorEastAsia"/>
              <w:noProof/>
              <w:sz w:val="24"/>
              <w:szCs w:val="24"/>
              <w:lang w:eastAsia="en-AU"/>
            </w:rPr>
          </w:pPr>
          <w:hyperlink w:anchor="_Toc234960891" w:history="1">
            <w:r w:rsidRPr="003E6280">
              <w:rPr>
                <w:rStyle w:val="Hyperlink"/>
                <w:noProof/>
              </w:rPr>
              <w:t>Title/Reference:</w:t>
            </w:r>
            <w:r>
              <w:rPr>
                <w:noProof/>
                <w:webHidden/>
              </w:rPr>
              <w:tab/>
            </w:r>
            <w:r>
              <w:rPr>
                <w:noProof/>
                <w:webHidden/>
              </w:rPr>
              <w:fldChar w:fldCharType="begin"/>
            </w:r>
            <w:r>
              <w:rPr>
                <w:noProof/>
                <w:webHidden/>
              </w:rPr>
              <w:instrText xml:space="preserve"> PAGEREF _Toc234960891 \h </w:instrText>
            </w:r>
            <w:r>
              <w:rPr>
                <w:noProof/>
                <w:webHidden/>
              </w:rPr>
            </w:r>
            <w:r>
              <w:rPr>
                <w:noProof/>
                <w:webHidden/>
              </w:rPr>
              <w:fldChar w:fldCharType="separate"/>
            </w:r>
            <w:r>
              <w:rPr>
                <w:noProof/>
                <w:webHidden/>
              </w:rPr>
              <w:t>87</w:t>
            </w:r>
            <w:r>
              <w:rPr>
                <w:noProof/>
                <w:webHidden/>
              </w:rPr>
              <w:fldChar w:fldCharType="end"/>
            </w:r>
          </w:hyperlink>
        </w:p>
        <w:p w14:paraId="0FFEAC94" w14:textId="779DAB5B" w:rsidR="002B71FC" w:rsidRDefault="002B71FC">
          <w:pPr>
            <w:pStyle w:val="TOC3"/>
            <w:tabs>
              <w:tab w:val="right" w:leader="dot" w:pos="9016"/>
            </w:tabs>
            <w:rPr>
              <w:rFonts w:eastAsiaTheme="minorEastAsia"/>
              <w:noProof/>
              <w:sz w:val="24"/>
              <w:szCs w:val="24"/>
              <w:lang w:eastAsia="en-AU"/>
            </w:rPr>
          </w:pPr>
          <w:hyperlink w:anchor="_Toc234960892" w:history="1">
            <w:r w:rsidRPr="003E6280">
              <w:rPr>
                <w:rStyle w:val="Hyperlink"/>
                <w:noProof/>
              </w:rPr>
              <w:t>Assessment by ONHMRC:</w:t>
            </w:r>
            <w:r>
              <w:rPr>
                <w:noProof/>
                <w:webHidden/>
              </w:rPr>
              <w:tab/>
            </w:r>
            <w:r>
              <w:rPr>
                <w:noProof/>
                <w:webHidden/>
              </w:rPr>
              <w:fldChar w:fldCharType="begin"/>
            </w:r>
            <w:r>
              <w:rPr>
                <w:noProof/>
                <w:webHidden/>
              </w:rPr>
              <w:instrText xml:space="preserve"> PAGEREF _Toc234960892 \h </w:instrText>
            </w:r>
            <w:r>
              <w:rPr>
                <w:noProof/>
                <w:webHidden/>
              </w:rPr>
            </w:r>
            <w:r>
              <w:rPr>
                <w:noProof/>
                <w:webHidden/>
              </w:rPr>
              <w:fldChar w:fldCharType="separate"/>
            </w:r>
            <w:r>
              <w:rPr>
                <w:noProof/>
                <w:webHidden/>
              </w:rPr>
              <w:t>87</w:t>
            </w:r>
            <w:r>
              <w:rPr>
                <w:noProof/>
                <w:webHidden/>
              </w:rPr>
              <w:fldChar w:fldCharType="end"/>
            </w:r>
          </w:hyperlink>
        </w:p>
        <w:p w14:paraId="382F7452" w14:textId="4D7687E1" w:rsidR="002B71FC" w:rsidRDefault="002B71FC">
          <w:pPr>
            <w:pStyle w:val="TOC3"/>
            <w:tabs>
              <w:tab w:val="right" w:leader="dot" w:pos="9016"/>
            </w:tabs>
            <w:rPr>
              <w:rFonts w:eastAsiaTheme="minorEastAsia"/>
              <w:noProof/>
              <w:sz w:val="24"/>
              <w:szCs w:val="24"/>
              <w:lang w:eastAsia="en-AU"/>
            </w:rPr>
          </w:pPr>
          <w:hyperlink w:anchor="_Toc234960893" w:history="1">
            <w:r w:rsidRPr="003E6280">
              <w:rPr>
                <w:rStyle w:val="Hyperlink"/>
                <w:noProof/>
              </w:rPr>
              <w:t>Overall guidance/advice development process</w:t>
            </w:r>
            <w:r>
              <w:rPr>
                <w:noProof/>
                <w:webHidden/>
              </w:rPr>
              <w:tab/>
            </w:r>
            <w:r>
              <w:rPr>
                <w:noProof/>
                <w:webHidden/>
              </w:rPr>
              <w:fldChar w:fldCharType="begin"/>
            </w:r>
            <w:r>
              <w:rPr>
                <w:noProof/>
                <w:webHidden/>
              </w:rPr>
              <w:instrText xml:space="preserve"> PAGEREF _Toc234960893 \h </w:instrText>
            </w:r>
            <w:r>
              <w:rPr>
                <w:noProof/>
                <w:webHidden/>
              </w:rPr>
            </w:r>
            <w:r>
              <w:rPr>
                <w:noProof/>
                <w:webHidden/>
              </w:rPr>
              <w:fldChar w:fldCharType="separate"/>
            </w:r>
            <w:r>
              <w:rPr>
                <w:noProof/>
                <w:webHidden/>
              </w:rPr>
              <w:t>87</w:t>
            </w:r>
            <w:r>
              <w:rPr>
                <w:noProof/>
                <w:webHidden/>
              </w:rPr>
              <w:fldChar w:fldCharType="end"/>
            </w:r>
          </w:hyperlink>
        </w:p>
        <w:p w14:paraId="0F8E3D5E" w14:textId="71B626C7" w:rsidR="002B71FC" w:rsidRDefault="002B71FC">
          <w:pPr>
            <w:pStyle w:val="TOC3"/>
            <w:tabs>
              <w:tab w:val="right" w:leader="dot" w:pos="9016"/>
            </w:tabs>
            <w:rPr>
              <w:rFonts w:eastAsiaTheme="minorEastAsia"/>
              <w:noProof/>
              <w:sz w:val="24"/>
              <w:szCs w:val="24"/>
              <w:lang w:eastAsia="en-AU"/>
            </w:rPr>
          </w:pPr>
          <w:hyperlink w:anchor="_Toc234960894" w:history="1">
            <w:r w:rsidRPr="003E6280">
              <w:rPr>
                <w:rStyle w:val="Hyperlink"/>
                <w:noProof/>
              </w:rPr>
              <w:t>Evidence review parameters</w:t>
            </w:r>
            <w:r>
              <w:rPr>
                <w:noProof/>
                <w:webHidden/>
              </w:rPr>
              <w:tab/>
            </w:r>
            <w:r>
              <w:rPr>
                <w:noProof/>
                <w:webHidden/>
              </w:rPr>
              <w:fldChar w:fldCharType="begin"/>
            </w:r>
            <w:r>
              <w:rPr>
                <w:noProof/>
                <w:webHidden/>
              </w:rPr>
              <w:instrText xml:space="preserve"> PAGEREF _Toc234960894 \h </w:instrText>
            </w:r>
            <w:r>
              <w:rPr>
                <w:noProof/>
                <w:webHidden/>
              </w:rPr>
            </w:r>
            <w:r>
              <w:rPr>
                <w:noProof/>
                <w:webHidden/>
              </w:rPr>
              <w:fldChar w:fldCharType="separate"/>
            </w:r>
            <w:r>
              <w:rPr>
                <w:noProof/>
                <w:webHidden/>
              </w:rPr>
              <w:t>88</w:t>
            </w:r>
            <w:r>
              <w:rPr>
                <w:noProof/>
                <w:webHidden/>
              </w:rPr>
              <w:fldChar w:fldCharType="end"/>
            </w:r>
          </w:hyperlink>
        </w:p>
        <w:p w14:paraId="5ED4EEE0" w14:textId="719E31DD" w:rsidR="002B71FC" w:rsidRDefault="002B71FC">
          <w:pPr>
            <w:pStyle w:val="TOC3"/>
            <w:tabs>
              <w:tab w:val="right" w:leader="dot" w:pos="9016"/>
            </w:tabs>
            <w:rPr>
              <w:rFonts w:eastAsiaTheme="minorEastAsia"/>
              <w:noProof/>
              <w:sz w:val="24"/>
              <w:szCs w:val="24"/>
              <w:lang w:eastAsia="en-AU"/>
            </w:rPr>
          </w:pPr>
          <w:hyperlink w:anchor="_Toc234960895" w:history="1">
            <w:r w:rsidRPr="003E6280">
              <w:rPr>
                <w:rStyle w:val="Hyperlink"/>
                <w:noProof/>
              </w:rPr>
              <w:t>Evidence search</w:t>
            </w:r>
            <w:r>
              <w:rPr>
                <w:noProof/>
                <w:webHidden/>
              </w:rPr>
              <w:tab/>
            </w:r>
            <w:r>
              <w:rPr>
                <w:noProof/>
                <w:webHidden/>
              </w:rPr>
              <w:fldChar w:fldCharType="begin"/>
            </w:r>
            <w:r>
              <w:rPr>
                <w:noProof/>
                <w:webHidden/>
              </w:rPr>
              <w:instrText xml:space="preserve"> PAGEREF _Toc234960895 \h </w:instrText>
            </w:r>
            <w:r>
              <w:rPr>
                <w:noProof/>
                <w:webHidden/>
              </w:rPr>
            </w:r>
            <w:r>
              <w:rPr>
                <w:noProof/>
                <w:webHidden/>
              </w:rPr>
              <w:fldChar w:fldCharType="separate"/>
            </w:r>
            <w:r>
              <w:rPr>
                <w:noProof/>
                <w:webHidden/>
              </w:rPr>
              <w:t>89</w:t>
            </w:r>
            <w:r>
              <w:rPr>
                <w:noProof/>
                <w:webHidden/>
              </w:rPr>
              <w:fldChar w:fldCharType="end"/>
            </w:r>
          </w:hyperlink>
        </w:p>
        <w:p w14:paraId="29DCFC44" w14:textId="5EE74C7D" w:rsidR="002B71FC" w:rsidRDefault="002B71FC">
          <w:pPr>
            <w:pStyle w:val="TOC3"/>
            <w:tabs>
              <w:tab w:val="right" w:leader="dot" w:pos="9016"/>
            </w:tabs>
            <w:rPr>
              <w:rFonts w:eastAsiaTheme="minorEastAsia"/>
              <w:noProof/>
              <w:sz w:val="24"/>
              <w:szCs w:val="24"/>
              <w:lang w:eastAsia="en-AU"/>
            </w:rPr>
          </w:pPr>
          <w:hyperlink w:anchor="_Toc234960896" w:history="1">
            <w:r w:rsidRPr="003E6280">
              <w:rPr>
                <w:rStyle w:val="Hyperlink"/>
                <w:noProof/>
              </w:rPr>
              <w:t>Critical appraisal methods and tools</w:t>
            </w:r>
            <w:r>
              <w:rPr>
                <w:noProof/>
                <w:webHidden/>
              </w:rPr>
              <w:tab/>
            </w:r>
            <w:r>
              <w:rPr>
                <w:noProof/>
                <w:webHidden/>
              </w:rPr>
              <w:fldChar w:fldCharType="begin"/>
            </w:r>
            <w:r>
              <w:rPr>
                <w:noProof/>
                <w:webHidden/>
              </w:rPr>
              <w:instrText xml:space="preserve"> PAGEREF _Toc234960896 \h </w:instrText>
            </w:r>
            <w:r>
              <w:rPr>
                <w:noProof/>
                <w:webHidden/>
              </w:rPr>
            </w:r>
            <w:r>
              <w:rPr>
                <w:noProof/>
                <w:webHidden/>
              </w:rPr>
              <w:fldChar w:fldCharType="separate"/>
            </w:r>
            <w:r>
              <w:rPr>
                <w:noProof/>
                <w:webHidden/>
              </w:rPr>
              <w:t>89</w:t>
            </w:r>
            <w:r>
              <w:rPr>
                <w:noProof/>
                <w:webHidden/>
              </w:rPr>
              <w:fldChar w:fldCharType="end"/>
            </w:r>
          </w:hyperlink>
        </w:p>
        <w:p w14:paraId="1DC67DF8" w14:textId="2089943E" w:rsidR="002B71FC" w:rsidRDefault="002B71FC">
          <w:pPr>
            <w:pStyle w:val="TOC3"/>
            <w:tabs>
              <w:tab w:val="right" w:leader="dot" w:pos="9016"/>
            </w:tabs>
            <w:rPr>
              <w:rFonts w:eastAsiaTheme="minorEastAsia"/>
              <w:noProof/>
              <w:sz w:val="24"/>
              <w:szCs w:val="24"/>
              <w:lang w:eastAsia="en-AU"/>
            </w:rPr>
          </w:pPr>
          <w:hyperlink w:anchor="_Toc234960897" w:history="1">
            <w:r w:rsidRPr="003E6280">
              <w:rPr>
                <w:rStyle w:val="Hyperlink"/>
                <w:noProof/>
              </w:rPr>
              <w:t>Derivation of nutrient reference values</w:t>
            </w:r>
            <w:r>
              <w:rPr>
                <w:noProof/>
                <w:webHidden/>
              </w:rPr>
              <w:tab/>
            </w:r>
            <w:r>
              <w:rPr>
                <w:noProof/>
                <w:webHidden/>
              </w:rPr>
              <w:fldChar w:fldCharType="begin"/>
            </w:r>
            <w:r>
              <w:rPr>
                <w:noProof/>
                <w:webHidden/>
              </w:rPr>
              <w:instrText xml:space="preserve"> PAGEREF _Toc234960897 \h </w:instrText>
            </w:r>
            <w:r>
              <w:rPr>
                <w:noProof/>
                <w:webHidden/>
              </w:rPr>
            </w:r>
            <w:r>
              <w:rPr>
                <w:noProof/>
                <w:webHidden/>
              </w:rPr>
              <w:fldChar w:fldCharType="separate"/>
            </w:r>
            <w:r>
              <w:rPr>
                <w:noProof/>
                <w:webHidden/>
              </w:rPr>
              <w:t>91</w:t>
            </w:r>
            <w:r>
              <w:rPr>
                <w:noProof/>
                <w:webHidden/>
              </w:rPr>
              <w:fldChar w:fldCharType="end"/>
            </w:r>
          </w:hyperlink>
        </w:p>
        <w:p w14:paraId="62DB4E96" w14:textId="436E447C" w:rsidR="002B71FC" w:rsidRDefault="002B71FC">
          <w:pPr>
            <w:pStyle w:val="TOC3"/>
            <w:tabs>
              <w:tab w:val="right" w:leader="dot" w:pos="9016"/>
            </w:tabs>
            <w:rPr>
              <w:rFonts w:eastAsiaTheme="minorEastAsia"/>
              <w:noProof/>
              <w:sz w:val="24"/>
              <w:szCs w:val="24"/>
              <w:lang w:eastAsia="en-AU"/>
            </w:rPr>
          </w:pPr>
          <w:hyperlink w:anchor="_Toc234960898" w:history="1">
            <w:r w:rsidRPr="003E6280">
              <w:rPr>
                <w:rStyle w:val="Hyperlink"/>
                <w:noProof/>
              </w:rPr>
              <w:t>Suitability for adopting vs adapting</w:t>
            </w:r>
            <w:r>
              <w:rPr>
                <w:noProof/>
                <w:webHidden/>
              </w:rPr>
              <w:tab/>
            </w:r>
            <w:r>
              <w:rPr>
                <w:noProof/>
                <w:webHidden/>
              </w:rPr>
              <w:fldChar w:fldCharType="begin"/>
            </w:r>
            <w:r>
              <w:rPr>
                <w:noProof/>
                <w:webHidden/>
              </w:rPr>
              <w:instrText xml:space="preserve"> PAGEREF _Toc234960898 \h </w:instrText>
            </w:r>
            <w:r>
              <w:rPr>
                <w:noProof/>
                <w:webHidden/>
              </w:rPr>
            </w:r>
            <w:r>
              <w:rPr>
                <w:noProof/>
                <w:webHidden/>
              </w:rPr>
              <w:fldChar w:fldCharType="separate"/>
            </w:r>
            <w:r>
              <w:rPr>
                <w:noProof/>
                <w:webHidden/>
              </w:rPr>
              <w:t>93</w:t>
            </w:r>
            <w:r>
              <w:rPr>
                <w:noProof/>
                <w:webHidden/>
              </w:rPr>
              <w:fldChar w:fldCharType="end"/>
            </w:r>
          </w:hyperlink>
        </w:p>
        <w:p w14:paraId="1262B2E0" w14:textId="383BF30A" w:rsidR="002B71FC" w:rsidRDefault="002B71FC">
          <w:pPr>
            <w:pStyle w:val="TOC3"/>
            <w:tabs>
              <w:tab w:val="right" w:leader="dot" w:pos="9016"/>
            </w:tabs>
            <w:rPr>
              <w:rFonts w:eastAsiaTheme="minorEastAsia"/>
              <w:noProof/>
              <w:sz w:val="24"/>
              <w:szCs w:val="24"/>
              <w:lang w:eastAsia="en-AU"/>
            </w:rPr>
          </w:pPr>
          <w:hyperlink w:anchor="_Toc234960899" w:history="1">
            <w:r w:rsidRPr="003E6280">
              <w:rPr>
                <w:rStyle w:val="Hyperlink"/>
                <w:noProof/>
              </w:rPr>
              <w:t>Overall conclusions</w:t>
            </w:r>
            <w:r>
              <w:rPr>
                <w:noProof/>
                <w:webHidden/>
              </w:rPr>
              <w:tab/>
            </w:r>
            <w:r>
              <w:rPr>
                <w:noProof/>
                <w:webHidden/>
              </w:rPr>
              <w:fldChar w:fldCharType="begin"/>
            </w:r>
            <w:r>
              <w:rPr>
                <w:noProof/>
                <w:webHidden/>
              </w:rPr>
              <w:instrText xml:space="preserve"> PAGEREF _Toc234960899 \h </w:instrText>
            </w:r>
            <w:r>
              <w:rPr>
                <w:noProof/>
                <w:webHidden/>
              </w:rPr>
            </w:r>
            <w:r>
              <w:rPr>
                <w:noProof/>
                <w:webHidden/>
              </w:rPr>
              <w:fldChar w:fldCharType="separate"/>
            </w:r>
            <w:r>
              <w:rPr>
                <w:noProof/>
                <w:webHidden/>
              </w:rPr>
              <w:t>93</w:t>
            </w:r>
            <w:r>
              <w:rPr>
                <w:noProof/>
                <w:webHidden/>
              </w:rPr>
              <w:fldChar w:fldCharType="end"/>
            </w:r>
          </w:hyperlink>
        </w:p>
        <w:p w14:paraId="6F7501CE" w14:textId="45FB9F87" w:rsidR="002B71FC" w:rsidRDefault="002B71FC">
          <w:pPr>
            <w:pStyle w:val="TOC1"/>
            <w:tabs>
              <w:tab w:val="right" w:leader="dot" w:pos="9016"/>
            </w:tabs>
            <w:rPr>
              <w:rFonts w:eastAsiaTheme="minorEastAsia"/>
              <w:noProof/>
              <w:sz w:val="24"/>
              <w:szCs w:val="24"/>
              <w:lang w:eastAsia="en-AU"/>
            </w:rPr>
          </w:pPr>
          <w:hyperlink w:anchor="_Toc234960900" w:history="1">
            <w:r w:rsidRPr="003E6280">
              <w:rPr>
                <w:rStyle w:val="Hyperlink"/>
                <w:b/>
                <w:bCs/>
                <w:noProof/>
              </w:rPr>
              <w:t>Appendix B – Methods for supplementary evidence searches</w:t>
            </w:r>
            <w:r>
              <w:rPr>
                <w:noProof/>
                <w:webHidden/>
              </w:rPr>
              <w:tab/>
            </w:r>
            <w:r>
              <w:rPr>
                <w:noProof/>
                <w:webHidden/>
              </w:rPr>
              <w:fldChar w:fldCharType="begin"/>
            </w:r>
            <w:r>
              <w:rPr>
                <w:noProof/>
                <w:webHidden/>
              </w:rPr>
              <w:instrText xml:space="preserve"> PAGEREF _Toc234960900 \h </w:instrText>
            </w:r>
            <w:r>
              <w:rPr>
                <w:noProof/>
                <w:webHidden/>
              </w:rPr>
            </w:r>
            <w:r>
              <w:rPr>
                <w:noProof/>
                <w:webHidden/>
              </w:rPr>
              <w:fldChar w:fldCharType="separate"/>
            </w:r>
            <w:r>
              <w:rPr>
                <w:noProof/>
                <w:webHidden/>
              </w:rPr>
              <w:t>95</w:t>
            </w:r>
            <w:r>
              <w:rPr>
                <w:noProof/>
                <w:webHidden/>
              </w:rPr>
              <w:fldChar w:fldCharType="end"/>
            </w:r>
          </w:hyperlink>
        </w:p>
        <w:p w14:paraId="76D33225" w14:textId="3665D30D" w:rsidR="002B71FC" w:rsidRDefault="002B71FC">
          <w:pPr>
            <w:pStyle w:val="TOC2"/>
            <w:tabs>
              <w:tab w:val="right" w:leader="dot" w:pos="9016"/>
            </w:tabs>
            <w:rPr>
              <w:rFonts w:eastAsiaTheme="minorEastAsia"/>
              <w:noProof/>
              <w:sz w:val="24"/>
              <w:szCs w:val="24"/>
              <w:lang w:eastAsia="en-AU"/>
            </w:rPr>
          </w:pPr>
          <w:hyperlink w:anchor="_Toc234960901" w:history="1">
            <w:r w:rsidRPr="003E6280">
              <w:rPr>
                <w:rStyle w:val="Hyperlink"/>
                <w:noProof/>
              </w:rPr>
              <w:t>Systematic reviews published since 2018</w:t>
            </w:r>
            <w:r>
              <w:rPr>
                <w:noProof/>
                <w:webHidden/>
              </w:rPr>
              <w:tab/>
            </w:r>
            <w:r>
              <w:rPr>
                <w:noProof/>
                <w:webHidden/>
              </w:rPr>
              <w:fldChar w:fldCharType="begin"/>
            </w:r>
            <w:r>
              <w:rPr>
                <w:noProof/>
                <w:webHidden/>
              </w:rPr>
              <w:instrText xml:space="preserve"> PAGEREF _Toc234960901 \h </w:instrText>
            </w:r>
            <w:r>
              <w:rPr>
                <w:noProof/>
                <w:webHidden/>
              </w:rPr>
            </w:r>
            <w:r>
              <w:rPr>
                <w:noProof/>
                <w:webHidden/>
              </w:rPr>
              <w:fldChar w:fldCharType="separate"/>
            </w:r>
            <w:r>
              <w:rPr>
                <w:noProof/>
                <w:webHidden/>
              </w:rPr>
              <w:t>95</w:t>
            </w:r>
            <w:r>
              <w:rPr>
                <w:noProof/>
                <w:webHidden/>
              </w:rPr>
              <w:fldChar w:fldCharType="end"/>
            </w:r>
          </w:hyperlink>
        </w:p>
        <w:p w14:paraId="1F37AE74" w14:textId="70BAF609" w:rsidR="002B71FC" w:rsidRDefault="002B71FC">
          <w:pPr>
            <w:pStyle w:val="TOC2"/>
            <w:tabs>
              <w:tab w:val="right" w:leader="dot" w:pos="9016"/>
            </w:tabs>
            <w:rPr>
              <w:rFonts w:eastAsiaTheme="minorEastAsia"/>
              <w:noProof/>
              <w:sz w:val="24"/>
              <w:szCs w:val="24"/>
              <w:lang w:eastAsia="en-AU"/>
            </w:rPr>
          </w:pPr>
          <w:hyperlink w:anchor="_Toc234960902" w:history="1">
            <w:r w:rsidRPr="003E6280">
              <w:rPr>
                <w:rStyle w:val="Hyperlink"/>
                <w:noProof/>
              </w:rPr>
              <w:t>Searches and screening</w:t>
            </w:r>
            <w:r>
              <w:rPr>
                <w:noProof/>
                <w:webHidden/>
              </w:rPr>
              <w:tab/>
            </w:r>
            <w:r>
              <w:rPr>
                <w:noProof/>
                <w:webHidden/>
              </w:rPr>
              <w:fldChar w:fldCharType="begin"/>
            </w:r>
            <w:r>
              <w:rPr>
                <w:noProof/>
                <w:webHidden/>
              </w:rPr>
              <w:instrText xml:space="preserve"> PAGEREF _Toc234960902 \h </w:instrText>
            </w:r>
            <w:r>
              <w:rPr>
                <w:noProof/>
                <w:webHidden/>
              </w:rPr>
            </w:r>
            <w:r>
              <w:rPr>
                <w:noProof/>
                <w:webHidden/>
              </w:rPr>
              <w:fldChar w:fldCharType="separate"/>
            </w:r>
            <w:r>
              <w:rPr>
                <w:noProof/>
                <w:webHidden/>
              </w:rPr>
              <w:t>95</w:t>
            </w:r>
            <w:r>
              <w:rPr>
                <w:noProof/>
                <w:webHidden/>
              </w:rPr>
              <w:fldChar w:fldCharType="end"/>
            </w:r>
          </w:hyperlink>
        </w:p>
        <w:p w14:paraId="362C591B" w14:textId="22200F4C" w:rsidR="002B71FC" w:rsidRDefault="002B71FC">
          <w:pPr>
            <w:pStyle w:val="TOC3"/>
            <w:tabs>
              <w:tab w:val="right" w:leader="dot" w:pos="9016"/>
            </w:tabs>
            <w:rPr>
              <w:rFonts w:eastAsiaTheme="minorEastAsia"/>
              <w:noProof/>
              <w:sz w:val="24"/>
              <w:szCs w:val="24"/>
              <w:lang w:eastAsia="en-AU"/>
            </w:rPr>
          </w:pPr>
          <w:hyperlink w:anchor="_Toc234960903" w:history="1">
            <w:r w:rsidRPr="003E6280">
              <w:rPr>
                <w:rStyle w:val="Hyperlink"/>
                <w:noProof/>
              </w:rPr>
              <w:t>Search strategies</w:t>
            </w:r>
            <w:r>
              <w:rPr>
                <w:noProof/>
                <w:webHidden/>
              </w:rPr>
              <w:tab/>
            </w:r>
            <w:r>
              <w:rPr>
                <w:noProof/>
                <w:webHidden/>
              </w:rPr>
              <w:fldChar w:fldCharType="begin"/>
            </w:r>
            <w:r>
              <w:rPr>
                <w:noProof/>
                <w:webHidden/>
              </w:rPr>
              <w:instrText xml:space="preserve"> PAGEREF _Toc234960903 \h </w:instrText>
            </w:r>
            <w:r>
              <w:rPr>
                <w:noProof/>
                <w:webHidden/>
              </w:rPr>
            </w:r>
            <w:r>
              <w:rPr>
                <w:noProof/>
                <w:webHidden/>
              </w:rPr>
              <w:fldChar w:fldCharType="separate"/>
            </w:r>
            <w:r>
              <w:rPr>
                <w:noProof/>
                <w:webHidden/>
              </w:rPr>
              <w:t>96</w:t>
            </w:r>
            <w:r>
              <w:rPr>
                <w:noProof/>
                <w:webHidden/>
              </w:rPr>
              <w:fldChar w:fldCharType="end"/>
            </w:r>
          </w:hyperlink>
        </w:p>
        <w:p w14:paraId="5E6326CA" w14:textId="2EDACFC2" w:rsidR="002B71FC" w:rsidRDefault="002B71FC">
          <w:pPr>
            <w:pStyle w:val="TOC3"/>
            <w:tabs>
              <w:tab w:val="right" w:leader="dot" w:pos="9016"/>
            </w:tabs>
            <w:rPr>
              <w:rFonts w:eastAsiaTheme="minorEastAsia"/>
              <w:noProof/>
              <w:sz w:val="24"/>
              <w:szCs w:val="24"/>
              <w:lang w:eastAsia="en-AU"/>
            </w:rPr>
          </w:pPr>
          <w:hyperlink w:anchor="_Toc234960904" w:history="1">
            <w:r w:rsidRPr="003E6280">
              <w:rPr>
                <w:rStyle w:val="Hyperlink"/>
                <w:noProof/>
              </w:rPr>
              <w:t>Screening and study selection</w:t>
            </w:r>
            <w:r>
              <w:rPr>
                <w:noProof/>
                <w:webHidden/>
              </w:rPr>
              <w:tab/>
            </w:r>
            <w:r>
              <w:rPr>
                <w:noProof/>
                <w:webHidden/>
              </w:rPr>
              <w:fldChar w:fldCharType="begin"/>
            </w:r>
            <w:r>
              <w:rPr>
                <w:noProof/>
                <w:webHidden/>
              </w:rPr>
              <w:instrText xml:space="preserve"> PAGEREF _Toc234960904 \h </w:instrText>
            </w:r>
            <w:r>
              <w:rPr>
                <w:noProof/>
                <w:webHidden/>
              </w:rPr>
            </w:r>
            <w:r>
              <w:rPr>
                <w:noProof/>
                <w:webHidden/>
              </w:rPr>
              <w:fldChar w:fldCharType="separate"/>
            </w:r>
            <w:r>
              <w:rPr>
                <w:noProof/>
                <w:webHidden/>
              </w:rPr>
              <w:t>97</w:t>
            </w:r>
            <w:r>
              <w:rPr>
                <w:noProof/>
                <w:webHidden/>
              </w:rPr>
              <w:fldChar w:fldCharType="end"/>
            </w:r>
          </w:hyperlink>
        </w:p>
        <w:p w14:paraId="1CD40640" w14:textId="76B0A6F8" w:rsidR="002B71FC" w:rsidRDefault="002B71FC">
          <w:pPr>
            <w:pStyle w:val="TOC2"/>
            <w:tabs>
              <w:tab w:val="right" w:leader="dot" w:pos="9016"/>
            </w:tabs>
            <w:rPr>
              <w:rFonts w:eastAsiaTheme="minorEastAsia"/>
              <w:noProof/>
              <w:sz w:val="24"/>
              <w:szCs w:val="24"/>
              <w:lang w:eastAsia="en-AU"/>
            </w:rPr>
          </w:pPr>
          <w:hyperlink w:anchor="_Toc234960905" w:history="1">
            <w:r w:rsidRPr="003E6280">
              <w:rPr>
                <w:rStyle w:val="Hyperlink"/>
                <w:noProof/>
              </w:rPr>
              <w:t>Data extraction and risk of bias assessment</w:t>
            </w:r>
            <w:r>
              <w:rPr>
                <w:noProof/>
                <w:webHidden/>
              </w:rPr>
              <w:tab/>
            </w:r>
            <w:r>
              <w:rPr>
                <w:noProof/>
                <w:webHidden/>
              </w:rPr>
              <w:fldChar w:fldCharType="begin"/>
            </w:r>
            <w:r>
              <w:rPr>
                <w:noProof/>
                <w:webHidden/>
              </w:rPr>
              <w:instrText xml:space="preserve"> PAGEREF _Toc234960905 \h </w:instrText>
            </w:r>
            <w:r>
              <w:rPr>
                <w:noProof/>
                <w:webHidden/>
              </w:rPr>
            </w:r>
            <w:r>
              <w:rPr>
                <w:noProof/>
                <w:webHidden/>
              </w:rPr>
              <w:fldChar w:fldCharType="separate"/>
            </w:r>
            <w:r>
              <w:rPr>
                <w:noProof/>
                <w:webHidden/>
              </w:rPr>
              <w:t>97</w:t>
            </w:r>
            <w:r>
              <w:rPr>
                <w:noProof/>
                <w:webHidden/>
              </w:rPr>
              <w:fldChar w:fldCharType="end"/>
            </w:r>
          </w:hyperlink>
        </w:p>
        <w:p w14:paraId="0D008A30" w14:textId="60051903" w:rsidR="002B71FC" w:rsidRDefault="002B71FC">
          <w:pPr>
            <w:pStyle w:val="TOC1"/>
            <w:tabs>
              <w:tab w:val="right" w:leader="dot" w:pos="9016"/>
            </w:tabs>
            <w:rPr>
              <w:rFonts w:eastAsiaTheme="minorEastAsia"/>
              <w:noProof/>
              <w:sz w:val="24"/>
              <w:szCs w:val="24"/>
              <w:lang w:eastAsia="en-AU"/>
            </w:rPr>
          </w:pPr>
          <w:hyperlink w:anchor="_Toc234960906" w:history="1">
            <w:r w:rsidRPr="003E6280">
              <w:rPr>
                <w:rStyle w:val="Hyperlink"/>
                <w:b/>
                <w:bCs/>
                <w:noProof/>
              </w:rPr>
              <w:t>Appendix C – Characteristics of supplementary systematic reviews</w:t>
            </w:r>
            <w:r>
              <w:rPr>
                <w:noProof/>
                <w:webHidden/>
              </w:rPr>
              <w:tab/>
            </w:r>
            <w:r>
              <w:rPr>
                <w:noProof/>
                <w:webHidden/>
              </w:rPr>
              <w:fldChar w:fldCharType="begin"/>
            </w:r>
            <w:r>
              <w:rPr>
                <w:noProof/>
                <w:webHidden/>
              </w:rPr>
              <w:instrText xml:space="preserve"> PAGEREF _Toc234960906 \h </w:instrText>
            </w:r>
            <w:r>
              <w:rPr>
                <w:noProof/>
                <w:webHidden/>
              </w:rPr>
            </w:r>
            <w:r>
              <w:rPr>
                <w:noProof/>
                <w:webHidden/>
              </w:rPr>
              <w:fldChar w:fldCharType="separate"/>
            </w:r>
            <w:r>
              <w:rPr>
                <w:noProof/>
                <w:webHidden/>
              </w:rPr>
              <w:t>98</w:t>
            </w:r>
            <w:r>
              <w:rPr>
                <w:noProof/>
                <w:webHidden/>
              </w:rPr>
              <w:fldChar w:fldCharType="end"/>
            </w:r>
          </w:hyperlink>
        </w:p>
        <w:p w14:paraId="68C20B1B" w14:textId="39F31468" w:rsidR="002B71FC" w:rsidRDefault="002B71FC">
          <w:pPr>
            <w:pStyle w:val="TOC2"/>
            <w:tabs>
              <w:tab w:val="right" w:leader="dot" w:pos="9016"/>
            </w:tabs>
            <w:rPr>
              <w:rFonts w:eastAsiaTheme="minorEastAsia"/>
              <w:noProof/>
              <w:sz w:val="24"/>
              <w:szCs w:val="24"/>
              <w:lang w:eastAsia="en-AU"/>
            </w:rPr>
          </w:pPr>
          <w:hyperlink w:anchor="_Toc234960907" w:history="1">
            <w:r w:rsidRPr="003E6280">
              <w:rPr>
                <w:rStyle w:val="Hyperlink"/>
                <w:noProof/>
              </w:rPr>
              <w:t>Review Characteristics</w:t>
            </w:r>
            <w:r>
              <w:rPr>
                <w:noProof/>
                <w:webHidden/>
              </w:rPr>
              <w:tab/>
            </w:r>
            <w:r>
              <w:rPr>
                <w:noProof/>
                <w:webHidden/>
              </w:rPr>
              <w:fldChar w:fldCharType="begin"/>
            </w:r>
            <w:r>
              <w:rPr>
                <w:noProof/>
                <w:webHidden/>
              </w:rPr>
              <w:instrText xml:space="preserve"> PAGEREF _Toc234960907 \h </w:instrText>
            </w:r>
            <w:r>
              <w:rPr>
                <w:noProof/>
                <w:webHidden/>
              </w:rPr>
            </w:r>
            <w:r>
              <w:rPr>
                <w:noProof/>
                <w:webHidden/>
              </w:rPr>
              <w:fldChar w:fldCharType="separate"/>
            </w:r>
            <w:r>
              <w:rPr>
                <w:noProof/>
                <w:webHidden/>
              </w:rPr>
              <w:t>98</w:t>
            </w:r>
            <w:r>
              <w:rPr>
                <w:noProof/>
                <w:webHidden/>
              </w:rPr>
              <w:fldChar w:fldCharType="end"/>
            </w:r>
          </w:hyperlink>
        </w:p>
        <w:p w14:paraId="7731096F" w14:textId="0B950ED6" w:rsidR="002B71FC" w:rsidRDefault="002B71FC">
          <w:pPr>
            <w:pStyle w:val="TOC2"/>
            <w:tabs>
              <w:tab w:val="right" w:leader="dot" w:pos="9016"/>
            </w:tabs>
            <w:rPr>
              <w:rFonts w:eastAsiaTheme="minorEastAsia"/>
              <w:noProof/>
              <w:sz w:val="24"/>
              <w:szCs w:val="24"/>
              <w:lang w:eastAsia="en-AU"/>
            </w:rPr>
          </w:pPr>
          <w:hyperlink w:anchor="_Toc234960908" w:history="1">
            <w:r w:rsidRPr="003E6280">
              <w:rPr>
                <w:rStyle w:val="Hyperlink"/>
                <w:noProof/>
              </w:rPr>
              <w:t>Risk of bias assessments (ROBIS)</w:t>
            </w:r>
            <w:r>
              <w:rPr>
                <w:noProof/>
                <w:webHidden/>
              </w:rPr>
              <w:tab/>
            </w:r>
            <w:r>
              <w:rPr>
                <w:noProof/>
                <w:webHidden/>
              </w:rPr>
              <w:fldChar w:fldCharType="begin"/>
            </w:r>
            <w:r>
              <w:rPr>
                <w:noProof/>
                <w:webHidden/>
              </w:rPr>
              <w:instrText xml:space="preserve"> PAGEREF _Toc234960908 \h </w:instrText>
            </w:r>
            <w:r>
              <w:rPr>
                <w:noProof/>
                <w:webHidden/>
              </w:rPr>
            </w:r>
            <w:r>
              <w:rPr>
                <w:noProof/>
                <w:webHidden/>
              </w:rPr>
              <w:fldChar w:fldCharType="separate"/>
            </w:r>
            <w:r>
              <w:rPr>
                <w:noProof/>
                <w:webHidden/>
              </w:rPr>
              <w:t>103</w:t>
            </w:r>
            <w:r>
              <w:rPr>
                <w:noProof/>
                <w:webHidden/>
              </w:rPr>
              <w:fldChar w:fldCharType="end"/>
            </w:r>
          </w:hyperlink>
        </w:p>
        <w:p w14:paraId="2F43E67B" w14:textId="38309FC5" w:rsidR="002B71FC" w:rsidRDefault="002B71FC">
          <w:pPr>
            <w:pStyle w:val="TOC1"/>
            <w:tabs>
              <w:tab w:val="right" w:leader="dot" w:pos="9016"/>
            </w:tabs>
            <w:rPr>
              <w:rFonts w:eastAsiaTheme="minorEastAsia"/>
              <w:noProof/>
              <w:sz w:val="24"/>
              <w:szCs w:val="24"/>
              <w:lang w:eastAsia="en-AU"/>
            </w:rPr>
          </w:pPr>
          <w:hyperlink w:anchor="_Toc234960909" w:history="1">
            <w:r w:rsidRPr="003E6280">
              <w:rPr>
                <w:rStyle w:val="Hyperlink"/>
                <w:b/>
                <w:bCs/>
                <w:noProof/>
              </w:rPr>
              <w:t>Appendix D - Evidence-to-Decision Tables</w:t>
            </w:r>
            <w:r>
              <w:rPr>
                <w:noProof/>
                <w:webHidden/>
              </w:rPr>
              <w:tab/>
            </w:r>
            <w:r>
              <w:rPr>
                <w:noProof/>
                <w:webHidden/>
              </w:rPr>
              <w:fldChar w:fldCharType="begin"/>
            </w:r>
            <w:r>
              <w:rPr>
                <w:noProof/>
                <w:webHidden/>
              </w:rPr>
              <w:instrText xml:space="preserve"> PAGEREF _Toc234960909 \h </w:instrText>
            </w:r>
            <w:r>
              <w:rPr>
                <w:noProof/>
                <w:webHidden/>
              </w:rPr>
            </w:r>
            <w:r>
              <w:rPr>
                <w:noProof/>
                <w:webHidden/>
              </w:rPr>
              <w:fldChar w:fldCharType="separate"/>
            </w:r>
            <w:r>
              <w:rPr>
                <w:noProof/>
                <w:webHidden/>
              </w:rPr>
              <w:t>106</w:t>
            </w:r>
            <w:r>
              <w:rPr>
                <w:noProof/>
                <w:webHidden/>
              </w:rPr>
              <w:fldChar w:fldCharType="end"/>
            </w:r>
          </w:hyperlink>
        </w:p>
        <w:p w14:paraId="5AEDB999" w14:textId="687B3DD4" w:rsidR="002B71FC" w:rsidRDefault="002B71FC">
          <w:pPr>
            <w:pStyle w:val="TOC1"/>
            <w:tabs>
              <w:tab w:val="right" w:leader="dot" w:pos="9016"/>
            </w:tabs>
            <w:rPr>
              <w:rFonts w:eastAsiaTheme="minorEastAsia"/>
              <w:noProof/>
              <w:sz w:val="24"/>
              <w:szCs w:val="24"/>
              <w:lang w:eastAsia="en-AU"/>
            </w:rPr>
          </w:pPr>
          <w:hyperlink w:anchor="_Toc234960910" w:history="1">
            <w:r w:rsidRPr="003E6280">
              <w:rPr>
                <w:rStyle w:val="Hyperlink"/>
                <w:noProof/>
              </w:rPr>
              <w:t>Evidence-to-Decision Framework – Sodium requirements for nutritional adequacy</w:t>
            </w:r>
            <w:r>
              <w:rPr>
                <w:noProof/>
                <w:webHidden/>
              </w:rPr>
              <w:tab/>
            </w:r>
            <w:r>
              <w:rPr>
                <w:noProof/>
                <w:webHidden/>
              </w:rPr>
              <w:fldChar w:fldCharType="begin"/>
            </w:r>
            <w:r>
              <w:rPr>
                <w:noProof/>
                <w:webHidden/>
              </w:rPr>
              <w:instrText xml:space="preserve"> PAGEREF _Toc234960910 \h </w:instrText>
            </w:r>
            <w:r>
              <w:rPr>
                <w:noProof/>
                <w:webHidden/>
              </w:rPr>
            </w:r>
            <w:r>
              <w:rPr>
                <w:noProof/>
                <w:webHidden/>
              </w:rPr>
              <w:fldChar w:fldCharType="separate"/>
            </w:r>
            <w:r>
              <w:rPr>
                <w:noProof/>
                <w:webHidden/>
              </w:rPr>
              <w:t>106</w:t>
            </w:r>
            <w:r>
              <w:rPr>
                <w:noProof/>
                <w:webHidden/>
              </w:rPr>
              <w:fldChar w:fldCharType="end"/>
            </w:r>
          </w:hyperlink>
        </w:p>
        <w:p w14:paraId="6CF61645" w14:textId="2745ED50" w:rsidR="002B71FC" w:rsidRDefault="002B71FC">
          <w:pPr>
            <w:pStyle w:val="TOC2"/>
            <w:tabs>
              <w:tab w:val="right" w:leader="dot" w:pos="9016"/>
            </w:tabs>
            <w:rPr>
              <w:rFonts w:eastAsiaTheme="minorEastAsia"/>
              <w:noProof/>
              <w:sz w:val="24"/>
              <w:szCs w:val="24"/>
              <w:lang w:eastAsia="en-AU"/>
            </w:rPr>
          </w:pPr>
          <w:hyperlink w:anchor="_Toc234960911" w:history="1">
            <w:r w:rsidRPr="003E6280">
              <w:rPr>
                <w:rStyle w:val="Hyperlink"/>
                <w:noProof/>
              </w:rPr>
              <w:t>Background</w:t>
            </w:r>
            <w:r>
              <w:rPr>
                <w:noProof/>
                <w:webHidden/>
              </w:rPr>
              <w:tab/>
            </w:r>
            <w:r>
              <w:rPr>
                <w:noProof/>
                <w:webHidden/>
              </w:rPr>
              <w:fldChar w:fldCharType="begin"/>
            </w:r>
            <w:r>
              <w:rPr>
                <w:noProof/>
                <w:webHidden/>
              </w:rPr>
              <w:instrText xml:space="preserve"> PAGEREF _Toc234960911 \h </w:instrText>
            </w:r>
            <w:r>
              <w:rPr>
                <w:noProof/>
                <w:webHidden/>
              </w:rPr>
            </w:r>
            <w:r>
              <w:rPr>
                <w:noProof/>
                <w:webHidden/>
              </w:rPr>
              <w:fldChar w:fldCharType="separate"/>
            </w:r>
            <w:r>
              <w:rPr>
                <w:noProof/>
                <w:webHidden/>
              </w:rPr>
              <w:t>106</w:t>
            </w:r>
            <w:r>
              <w:rPr>
                <w:noProof/>
                <w:webHidden/>
              </w:rPr>
              <w:fldChar w:fldCharType="end"/>
            </w:r>
          </w:hyperlink>
        </w:p>
        <w:p w14:paraId="37C1404A" w14:textId="667580AA" w:rsidR="002B71FC" w:rsidRDefault="002B71FC">
          <w:pPr>
            <w:pStyle w:val="TOC3"/>
            <w:tabs>
              <w:tab w:val="right" w:leader="dot" w:pos="9016"/>
            </w:tabs>
            <w:rPr>
              <w:rFonts w:eastAsiaTheme="minorEastAsia"/>
              <w:noProof/>
              <w:sz w:val="24"/>
              <w:szCs w:val="24"/>
              <w:lang w:eastAsia="en-AU"/>
            </w:rPr>
          </w:pPr>
          <w:hyperlink w:anchor="_Toc234960912" w:history="1">
            <w:r w:rsidRPr="003E6280">
              <w:rPr>
                <w:rStyle w:val="Hyperlink"/>
                <w:noProof/>
              </w:rPr>
              <w:t>Sodium - function and dietary sources</w:t>
            </w:r>
            <w:r>
              <w:rPr>
                <w:noProof/>
                <w:webHidden/>
              </w:rPr>
              <w:tab/>
            </w:r>
            <w:r>
              <w:rPr>
                <w:noProof/>
                <w:webHidden/>
              </w:rPr>
              <w:fldChar w:fldCharType="begin"/>
            </w:r>
            <w:r>
              <w:rPr>
                <w:noProof/>
                <w:webHidden/>
              </w:rPr>
              <w:instrText xml:space="preserve"> PAGEREF _Toc234960912 \h </w:instrText>
            </w:r>
            <w:r>
              <w:rPr>
                <w:noProof/>
                <w:webHidden/>
              </w:rPr>
            </w:r>
            <w:r>
              <w:rPr>
                <w:noProof/>
                <w:webHidden/>
              </w:rPr>
              <w:fldChar w:fldCharType="separate"/>
            </w:r>
            <w:r>
              <w:rPr>
                <w:noProof/>
                <w:webHidden/>
              </w:rPr>
              <w:t>106</w:t>
            </w:r>
            <w:r>
              <w:rPr>
                <w:noProof/>
                <w:webHidden/>
              </w:rPr>
              <w:fldChar w:fldCharType="end"/>
            </w:r>
          </w:hyperlink>
        </w:p>
        <w:p w14:paraId="0BCC2E07" w14:textId="5D4E01C8" w:rsidR="002B71FC" w:rsidRDefault="002B71FC">
          <w:pPr>
            <w:pStyle w:val="TOC3"/>
            <w:tabs>
              <w:tab w:val="right" w:leader="dot" w:pos="9016"/>
            </w:tabs>
            <w:rPr>
              <w:rFonts w:eastAsiaTheme="minorEastAsia"/>
              <w:noProof/>
              <w:sz w:val="24"/>
              <w:szCs w:val="24"/>
              <w:lang w:eastAsia="en-AU"/>
            </w:rPr>
          </w:pPr>
          <w:hyperlink w:anchor="_Toc234960913" w:history="1">
            <w:r w:rsidRPr="003E6280">
              <w:rPr>
                <w:rStyle w:val="Hyperlink"/>
                <w:noProof/>
              </w:rPr>
              <w:t>Criteria for measuring sodium intake</w:t>
            </w:r>
            <w:r>
              <w:rPr>
                <w:noProof/>
                <w:webHidden/>
              </w:rPr>
              <w:tab/>
            </w:r>
            <w:r>
              <w:rPr>
                <w:noProof/>
                <w:webHidden/>
              </w:rPr>
              <w:fldChar w:fldCharType="begin"/>
            </w:r>
            <w:r>
              <w:rPr>
                <w:noProof/>
                <w:webHidden/>
              </w:rPr>
              <w:instrText xml:space="preserve"> PAGEREF _Toc234960913 \h </w:instrText>
            </w:r>
            <w:r>
              <w:rPr>
                <w:noProof/>
                <w:webHidden/>
              </w:rPr>
            </w:r>
            <w:r>
              <w:rPr>
                <w:noProof/>
                <w:webHidden/>
              </w:rPr>
              <w:fldChar w:fldCharType="separate"/>
            </w:r>
            <w:r>
              <w:rPr>
                <w:noProof/>
                <w:webHidden/>
              </w:rPr>
              <w:t>106</w:t>
            </w:r>
            <w:r>
              <w:rPr>
                <w:noProof/>
                <w:webHidden/>
              </w:rPr>
              <w:fldChar w:fldCharType="end"/>
            </w:r>
          </w:hyperlink>
        </w:p>
        <w:p w14:paraId="330E7F89" w14:textId="70D53EC4" w:rsidR="002B71FC" w:rsidRDefault="002B71FC">
          <w:pPr>
            <w:pStyle w:val="TOC3"/>
            <w:tabs>
              <w:tab w:val="right" w:leader="dot" w:pos="9016"/>
            </w:tabs>
            <w:rPr>
              <w:rFonts w:eastAsiaTheme="minorEastAsia"/>
              <w:noProof/>
              <w:sz w:val="24"/>
              <w:szCs w:val="24"/>
              <w:lang w:eastAsia="en-AU"/>
            </w:rPr>
          </w:pPr>
          <w:hyperlink w:anchor="_Toc234960914" w:history="1">
            <w:r w:rsidRPr="003E6280">
              <w:rPr>
                <w:rStyle w:val="Hyperlink"/>
                <w:noProof/>
              </w:rPr>
              <w:t>Evidence to decision tables: Requirements for avoiding deficiency</w:t>
            </w:r>
            <w:r>
              <w:rPr>
                <w:noProof/>
                <w:webHidden/>
              </w:rPr>
              <w:tab/>
            </w:r>
            <w:r>
              <w:rPr>
                <w:noProof/>
                <w:webHidden/>
              </w:rPr>
              <w:fldChar w:fldCharType="begin"/>
            </w:r>
            <w:r>
              <w:rPr>
                <w:noProof/>
                <w:webHidden/>
              </w:rPr>
              <w:instrText xml:space="preserve"> PAGEREF _Toc234960914 \h </w:instrText>
            </w:r>
            <w:r>
              <w:rPr>
                <w:noProof/>
                <w:webHidden/>
              </w:rPr>
            </w:r>
            <w:r>
              <w:rPr>
                <w:noProof/>
                <w:webHidden/>
              </w:rPr>
              <w:fldChar w:fldCharType="separate"/>
            </w:r>
            <w:r>
              <w:rPr>
                <w:noProof/>
                <w:webHidden/>
              </w:rPr>
              <w:t>107</w:t>
            </w:r>
            <w:r>
              <w:rPr>
                <w:noProof/>
                <w:webHidden/>
              </w:rPr>
              <w:fldChar w:fldCharType="end"/>
            </w:r>
          </w:hyperlink>
        </w:p>
        <w:p w14:paraId="4E3F7F10" w14:textId="0A58E958" w:rsidR="002B71FC" w:rsidRDefault="002B71FC">
          <w:pPr>
            <w:pStyle w:val="TOC2"/>
            <w:tabs>
              <w:tab w:val="right" w:leader="dot" w:pos="9016"/>
            </w:tabs>
            <w:rPr>
              <w:rFonts w:eastAsiaTheme="minorEastAsia"/>
              <w:noProof/>
              <w:sz w:val="24"/>
              <w:szCs w:val="24"/>
              <w:lang w:eastAsia="en-AU"/>
            </w:rPr>
          </w:pPr>
          <w:hyperlink w:anchor="_Toc234960915" w:history="1">
            <w:r w:rsidRPr="003E6280">
              <w:rPr>
                <w:rStyle w:val="Hyperlink"/>
                <w:noProof/>
                <w:lang w:eastAsia="en-AU"/>
              </w:rPr>
              <w:t>References</w:t>
            </w:r>
            <w:r>
              <w:rPr>
                <w:noProof/>
                <w:webHidden/>
              </w:rPr>
              <w:tab/>
            </w:r>
            <w:r>
              <w:rPr>
                <w:noProof/>
                <w:webHidden/>
              </w:rPr>
              <w:fldChar w:fldCharType="begin"/>
            </w:r>
            <w:r>
              <w:rPr>
                <w:noProof/>
                <w:webHidden/>
              </w:rPr>
              <w:instrText xml:space="preserve"> PAGEREF _Toc234960915 \h </w:instrText>
            </w:r>
            <w:r>
              <w:rPr>
                <w:noProof/>
                <w:webHidden/>
              </w:rPr>
            </w:r>
            <w:r>
              <w:rPr>
                <w:noProof/>
                <w:webHidden/>
              </w:rPr>
              <w:fldChar w:fldCharType="separate"/>
            </w:r>
            <w:r>
              <w:rPr>
                <w:noProof/>
                <w:webHidden/>
              </w:rPr>
              <w:t>120</w:t>
            </w:r>
            <w:r>
              <w:rPr>
                <w:noProof/>
                <w:webHidden/>
              </w:rPr>
              <w:fldChar w:fldCharType="end"/>
            </w:r>
          </w:hyperlink>
        </w:p>
        <w:p w14:paraId="74FA6FE9" w14:textId="66D1A629" w:rsidR="002B71FC" w:rsidRDefault="002B71FC">
          <w:pPr>
            <w:pStyle w:val="TOC1"/>
            <w:tabs>
              <w:tab w:val="right" w:leader="dot" w:pos="9016"/>
            </w:tabs>
            <w:rPr>
              <w:rFonts w:eastAsiaTheme="minorEastAsia"/>
              <w:noProof/>
              <w:sz w:val="24"/>
              <w:szCs w:val="24"/>
              <w:lang w:eastAsia="en-AU"/>
            </w:rPr>
          </w:pPr>
          <w:hyperlink w:anchor="_Toc234960916" w:history="1">
            <w:r w:rsidRPr="003E6280">
              <w:rPr>
                <w:rStyle w:val="Hyperlink"/>
                <w:noProof/>
              </w:rPr>
              <w:t>Evidence-to-Decision Framework – Chronic disease risk reduction target for sodium</w:t>
            </w:r>
            <w:r>
              <w:rPr>
                <w:noProof/>
                <w:webHidden/>
              </w:rPr>
              <w:tab/>
            </w:r>
            <w:r>
              <w:rPr>
                <w:noProof/>
                <w:webHidden/>
              </w:rPr>
              <w:fldChar w:fldCharType="begin"/>
            </w:r>
            <w:r>
              <w:rPr>
                <w:noProof/>
                <w:webHidden/>
              </w:rPr>
              <w:instrText xml:space="preserve"> PAGEREF _Toc234960916 \h </w:instrText>
            </w:r>
            <w:r>
              <w:rPr>
                <w:noProof/>
                <w:webHidden/>
              </w:rPr>
            </w:r>
            <w:r>
              <w:rPr>
                <w:noProof/>
                <w:webHidden/>
              </w:rPr>
              <w:fldChar w:fldCharType="separate"/>
            </w:r>
            <w:r>
              <w:rPr>
                <w:noProof/>
                <w:webHidden/>
              </w:rPr>
              <w:t>122</w:t>
            </w:r>
            <w:r>
              <w:rPr>
                <w:noProof/>
                <w:webHidden/>
              </w:rPr>
              <w:fldChar w:fldCharType="end"/>
            </w:r>
          </w:hyperlink>
        </w:p>
        <w:p w14:paraId="46A43B73" w14:textId="223C93D2" w:rsidR="002B71FC" w:rsidRDefault="002B71FC">
          <w:pPr>
            <w:pStyle w:val="TOC2"/>
            <w:tabs>
              <w:tab w:val="right" w:leader="dot" w:pos="9016"/>
            </w:tabs>
            <w:rPr>
              <w:rFonts w:eastAsiaTheme="minorEastAsia"/>
              <w:noProof/>
              <w:sz w:val="24"/>
              <w:szCs w:val="24"/>
              <w:lang w:eastAsia="en-AU"/>
            </w:rPr>
          </w:pPr>
          <w:hyperlink w:anchor="_Toc234960917" w:history="1">
            <w:r w:rsidRPr="003E6280">
              <w:rPr>
                <w:rStyle w:val="Hyperlink"/>
                <w:noProof/>
              </w:rPr>
              <w:t>Background</w:t>
            </w:r>
            <w:r>
              <w:rPr>
                <w:noProof/>
                <w:webHidden/>
              </w:rPr>
              <w:tab/>
            </w:r>
            <w:r>
              <w:rPr>
                <w:noProof/>
                <w:webHidden/>
              </w:rPr>
              <w:fldChar w:fldCharType="begin"/>
            </w:r>
            <w:r>
              <w:rPr>
                <w:noProof/>
                <w:webHidden/>
              </w:rPr>
              <w:instrText xml:space="preserve"> PAGEREF _Toc234960917 \h </w:instrText>
            </w:r>
            <w:r>
              <w:rPr>
                <w:noProof/>
                <w:webHidden/>
              </w:rPr>
            </w:r>
            <w:r>
              <w:rPr>
                <w:noProof/>
                <w:webHidden/>
              </w:rPr>
              <w:fldChar w:fldCharType="separate"/>
            </w:r>
            <w:r>
              <w:rPr>
                <w:noProof/>
                <w:webHidden/>
              </w:rPr>
              <w:t>122</w:t>
            </w:r>
            <w:r>
              <w:rPr>
                <w:noProof/>
                <w:webHidden/>
              </w:rPr>
              <w:fldChar w:fldCharType="end"/>
            </w:r>
          </w:hyperlink>
        </w:p>
        <w:p w14:paraId="258983B8" w14:textId="51660716" w:rsidR="002B71FC" w:rsidRDefault="002B71FC">
          <w:pPr>
            <w:pStyle w:val="TOC3"/>
            <w:tabs>
              <w:tab w:val="right" w:leader="dot" w:pos="9016"/>
            </w:tabs>
            <w:rPr>
              <w:rFonts w:eastAsiaTheme="minorEastAsia"/>
              <w:noProof/>
              <w:sz w:val="24"/>
              <w:szCs w:val="24"/>
              <w:lang w:eastAsia="en-AU"/>
            </w:rPr>
          </w:pPr>
          <w:hyperlink w:anchor="_Toc234960918" w:history="1">
            <w:r w:rsidRPr="003E6280">
              <w:rPr>
                <w:rStyle w:val="Hyperlink"/>
                <w:noProof/>
              </w:rPr>
              <w:t>Sodium - function and dietary sources</w:t>
            </w:r>
            <w:r>
              <w:rPr>
                <w:noProof/>
                <w:webHidden/>
              </w:rPr>
              <w:tab/>
            </w:r>
            <w:r>
              <w:rPr>
                <w:noProof/>
                <w:webHidden/>
              </w:rPr>
              <w:fldChar w:fldCharType="begin"/>
            </w:r>
            <w:r>
              <w:rPr>
                <w:noProof/>
                <w:webHidden/>
              </w:rPr>
              <w:instrText xml:space="preserve"> PAGEREF _Toc234960918 \h </w:instrText>
            </w:r>
            <w:r>
              <w:rPr>
                <w:noProof/>
                <w:webHidden/>
              </w:rPr>
            </w:r>
            <w:r>
              <w:rPr>
                <w:noProof/>
                <w:webHidden/>
              </w:rPr>
              <w:fldChar w:fldCharType="separate"/>
            </w:r>
            <w:r>
              <w:rPr>
                <w:noProof/>
                <w:webHidden/>
              </w:rPr>
              <w:t>122</w:t>
            </w:r>
            <w:r>
              <w:rPr>
                <w:noProof/>
                <w:webHidden/>
              </w:rPr>
              <w:fldChar w:fldCharType="end"/>
            </w:r>
          </w:hyperlink>
        </w:p>
        <w:p w14:paraId="278EF4A0" w14:textId="4DFC2873" w:rsidR="002B71FC" w:rsidRDefault="002B71FC">
          <w:pPr>
            <w:pStyle w:val="TOC3"/>
            <w:tabs>
              <w:tab w:val="right" w:leader="dot" w:pos="9016"/>
            </w:tabs>
            <w:rPr>
              <w:rFonts w:eastAsiaTheme="minorEastAsia"/>
              <w:noProof/>
              <w:sz w:val="24"/>
              <w:szCs w:val="24"/>
              <w:lang w:eastAsia="en-AU"/>
            </w:rPr>
          </w:pPr>
          <w:hyperlink w:anchor="_Toc234960919" w:history="1">
            <w:r w:rsidRPr="003E6280">
              <w:rPr>
                <w:rStyle w:val="Hyperlink"/>
                <w:noProof/>
              </w:rPr>
              <w:t>Health effects of excess</w:t>
            </w:r>
            <w:r>
              <w:rPr>
                <w:noProof/>
                <w:webHidden/>
              </w:rPr>
              <w:tab/>
            </w:r>
            <w:r>
              <w:rPr>
                <w:noProof/>
                <w:webHidden/>
              </w:rPr>
              <w:fldChar w:fldCharType="begin"/>
            </w:r>
            <w:r>
              <w:rPr>
                <w:noProof/>
                <w:webHidden/>
              </w:rPr>
              <w:instrText xml:space="preserve"> PAGEREF _Toc234960919 \h </w:instrText>
            </w:r>
            <w:r>
              <w:rPr>
                <w:noProof/>
                <w:webHidden/>
              </w:rPr>
            </w:r>
            <w:r>
              <w:rPr>
                <w:noProof/>
                <w:webHidden/>
              </w:rPr>
              <w:fldChar w:fldCharType="separate"/>
            </w:r>
            <w:r>
              <w:rPr>
                <w:noProof/>
                <w:webHidden/>
              </w:rPr>
              <w:t>122</w:t>
            </w:r>
            <w:r>
              <w:rPr>
                <w:noProof/>
                <w:webHidden/>
              </w:rPr>
              <w:fldChar w:fldCharType="end"/>
            </w:r>
          </w:hyperlink>
        </w:p>
        <w:p w14:paraId="324B5C3E" w14:textId="2C14C125" w:rsidR="002B71FC" w:rsidRDefault="002B71FC">
          <w:pPr>
            <w:pStyle w:val="TOC3"/>
            <w:tabs>
              <w:tab w:val="right" w:leader="dot" w:pos="9016"/>
            </w:tabs>
            <w:rPr>
              <w:rFonts w:eastAsiaTheme="minorEastAsia"/>
              <w:noProof/>
              <w:sz w:val="24"/>
              <w:szCs w:val="24"/>
              <w:lang w:eastAsia="en-AU"/>
            </w:rPr>
          </w:pPr>
          <w:hyperlink w:anchor="_Toc234960920" w:history="1">
            <w:r w:rsidRPr="003E6280">
              <w:rPr>
                <w:rStyle w:val="Hyperlink"/>
                <w:noProof/>
              </w:rPr>
              <w:t>Criteria for measuring sodium intake</w:t>
            </w:r>
            <w:r>
              <w:rPr>
                <w:noProof/>
                <w:webHidden/>
              </w:rPr>
              <w:tab/>
            </w:r>
            <w:r>
              <w:rPr>
                <w:noProof/>
                <w:webHidden/>
              </w:rPr>
              <w:fldChar w:fldCharType="begin"/>
            </w:r>
            <w:r>
              <w:rPr>
                <w:noProof/>
                <w:webHidden/>
              </w:rPr>
              <w:instrText xml:space="preserve"> PAGEREF _Toc234960920 \h </w:instrText>
            </w:r>
            <w:r>
              <w:rPr>
                <w:noProof/>
                <w:webHidden/>
              </w:rPr>
            </w:r>
            <w:r>
              <w:rPr>
                <w:noProof/>
                <w:webHidden/>
              </w:rPr>
              <w:fldChar w:fldCharType="separate"/>
            </w:r>
            <w:r>
              <w:rPr>
                <w:noProof/>
                <w:webHidden/>
              </w:rPr>
              <w:t>123</w:t>
            </w:r>
            <w:r>
              <w:rPr>
                <w:noProof/>
                <w:webHidden/>
              </w:rPr>
              <w:fldChar w:fldCharType="end"/>
            </w:r>
          </w:hyperlink>
        </w:p>
        <w:p w14:paraId="101E8042" w14:textId="17900CB9" w:rsidR="002B71FC" w:rsidRDefault="002B71FC">
          <w:pPr>
            <w:pStyle w:val="TOC2"/>
            <w:tabs>
              <w:tab w:val="right" w:leader="dot" w:pos="9016"/>
            </w:tabs>
            <w:rPr>
              <w:rFonts w:eastAsiaTheme="minorEastAsia"/>
              <w:noProof/>
              <w:sz w:val="24"/>
              <w:szCs w:val="24"/>
              <w:lang w:eastAsia="en-AU"/>
            </w:rPr>
          </w:pPr>
          <w:hyperlink w:anchor="_Toc234960921" w:history="1">
            <w:r w:rsidRPr="003E6280">
              <w:rPr>
                <w:rStyle w:val="Hyperlink"/>
                <w:noProof/>
              </w:rPr>
              <w:t>Evidence to decision tables: Chronic Disease Risk Reduction</w:t>
            </w:r>
            <w:r>
              <w:rPr>
                <w:noProof/>
                <w:webHidden/>
              </w:rPr>
              <w:tab/>
            </w:r>
            <w:r>
              <w:rPr>
                <w:noProof/>
                <w:webHidden/>
              </w:rPr>
              <w:fldChar w:fldCharType="begin"/>
            </w:r>
            <w:r>
              <w:rPr>
                <w:noProof/>
                <w:webHidden/>
              </w:rPr>
              <w:instrText xml:space="preserve"> PAGEREF _Toc234960921 \h </w:instrText>
            </w:r>
            <w:r>
              <w:rPr>
                <w:noProof/>
                <w:webHidden/>
              </w:rPr>
            </w:r>
            <w:r>
              <w:rPr>
                <w:noProof/>
                <w:webHidden/>
              </w:rPr>
              <w:fldChar w:fldCharType="separate"/>
            </w:r>
            <w:r>
              <w:rPr>
                <w:noProof/>
                <w:webHidden/>
              </w:rPr>
              <w:t>124</w:t>
            </w:r>
            <w:r>
              <w:rPr>
                <w:noProof/>
                <w:webHidden/>
              </w:rPr>
              <w:fldChar w:fldCharType="end"/>
            </w:r>
          </w:hyperlink>
        </w:p>
        <w:p w14:paraId="7D2B0D42" w14:textId="45D6931E" w:rsidR="002B71FC" w:rsidRDefault="002B71FC">
          <w:pPr>
            <w:pStyle w:val="TOC2"/>
            <w:tabs>
              <w:tab w:val="right" w:leader="dot" w:pos="9016"/>
            </w:tabs>
            <w:rPr>
              <w:rFonts w:eastAsiaTheme="minorEastAsia"/>
              <w:noProof/>
              <w:sz w:val="24"/>
              <w:szCs w:val="24"/>
              <w:lang w:eastAsia="en-AU"/>
            </w:rPr>
          </w:pPr>
          <w:hyperlink w:anchor="_Toc234960922" w:history="1">
            <w:r w:rsidRPr="003E6280">
              <w:rPr>
                <w:rStyle w:val="Hyperlink"/>
                <w:noProof/>
              </w:rPr>
              <w:t>References</w:t>
            </w:r>
            <w:r>
              <w:rPr>
                <w:noProof/>
                <w:webHidden/>
              </w:rPr>
              <w:tab/>
            </w:r>
            <w:r>
              <w:rPr>
                <w:noProof/>
                <w:webHidden/>
              </w:rPr>
              <w:fldChar w:fldCharType="begin"/>
            </w:r>
            <w:r>
              <w:rPr>
                <w:noProof/>
                <w:webHidden/>
              </w:rPr>
              <w:instrText xml:space="preserve"> PAGEREF _Toc234960922 \h </w:instrText>
            </w:r>
            <w:r>
              <w:rPr>
                <w:noProof/>
                <w:webHidden/>
              </w:rPr>
            </w:r>
            <w:r>
              <w:rPr>
                <w:noProof/>
                <w:webHidden/>
              </w:rPr>
              <w:fldChar w:fldCharType="separate"/>
            </w:r>
            <w:r>
              <w:rPr>
                <w:noProof/>
                <w:webHidden/>
              </w:rPr>
              <w:t>139</w:t>
            </w:r>
            <w:r>
              <w:rPr>
                <w:noProof/>
                <w:webHidden/>
              </w:rPr>
              <w:fldChar w:fldCharType="end"/>
            </w:r>
          </w:hyperlink>
        </w:p>
        <w:p w14:paraId="76F71DFF" w14:textId="77A8A066" w:rsidR="00ED39E6" w:rsidRDefault="00ED39E6" w:rsidP="2145493A">
          <w:pPr>
            <w:spacing w:line="360" w:lineRule="auto"/>
          </w:pPr>
          <w:r w:rsidRPr="2145493A">
            <w:rPr>
              <w:b/>
              <w:bCs/>
              <w:noProof/>
            </w:rPr>
            <w:fldChar w:fldCharType="end"/>
          </w:r>
        </w:p>
      </w:sdtContent>
    </w:sdt>
    <w:p w14:paraId="719BCDB1" w14:textId="77777777" w:rsidR="00ED39E6" w:rsidRDefault="00ED39E6" w:rsidP="2145493A">
      <w:pPr>
        <w:spacing w:line="360" w:lineRule="auto"/>
        <w:rPr>
          <w:rFonts w:asciiTheme="majorHAnsi" w:eastAsiaTheme="majorEastAsia" w:hAnsiTheme="majorHAnsi" w:cstheme="majorBidi"/>
          <w:b/>
          <w:bCs/>
          <w:color w:val="0F4761" w:themeColor="accent1" w:themeShade="BF"/>
          <w:sz w:val="40"/>
          <w:szCs w:val="40"/>
        </w:rPr>
      </w:pPr>
      <w:r w:rsidRPr="2145493A">
        <w:rPr>
          <w:b/>
          <w:bCs/>
        </w:rPr>
        <w:br w:type="page"/>
      </w:r>
    </w:p>
    <w:p w14:paraId="08013D2B" w14:textId="08E5298D" w:rsidR="00214700" w:rsidRDefault="00214700" w:rsidP="005F45FC">
      <w:pPr>
        <w:pStyle w:val="Heading1"/>
        <w:rPr>
          <w:b/>
          <w:bCs/>
        </w:rPr>
      </w:pPr>
      <w:bookmarkStart w:id="0" w:name="_Toc234960802"/>
      <w:r w:rsidRPr="2145493A">
        <w:rPr>
          <w:b/>
          <w:bCs/>
        </w:rPr>
        <w:lastRenderedPageBreak/>
        <w:t>Purpose</w:t>
      </w:r>
      <w:r w:rsidR="009C5578">
        <w:rPr>
          <w:b/>
          <w:bCs/>
        </w:rPr>
        <w:t xml:space="preserve"> and scope</w:t>
      </w:r>
      <w:bookmarkEnd w:id="0"/>
    </w:p>
    <w:p w14:paraId="53C32BE9" w14:textId="5AE21973" w:rsidR="009C5578" w:rsidRDefault="009C5578" w:rsidP="009C5578">
      <w:pPr>
        <w:spacing w:line="276" w:lineRule="auto"/>
      </w:pPr>
      <w:r w:rsidRPr="00186C2F">
        <w:t xml:space="preserve">The review of sodium Nutrient Reference Values (NRVs) for Australia and New Zealand comprises a comprehensive update of existing recommendations, to ensure they continue to reflect contemporary scientific evidence. The review </w:t>
      </w:r>
      <w:r>
        <w:t xml:space="preserve">covers all </w:t>
      </w:r>
      <w:r w:rsidRPr="00186C2F">
        <w:t>NRVs for adults, pregnant and lactating populations, and children and adolescents.  NRV recommen</w:t>
      </w:r>
      <w:r>
        <w:t>d</w:t>
      </w:r>
      <w:r w:rsidRPr="00186C2F">
        <w:t>ations for infants are out of scope for this review.</w:t>
      </w:r>
    </w:p>
    <w:p w14:paraId="6B3D3F9E" w14:textId="77777777" w:rsidR="00A01A46" w:rsidRDefault="0013053A" w:rsidP="00D4099C">
      <w:pPr>
        <w:spacing w:line="276" w:lineRule="auto"/>
      </w:pPr>
      <w:r>
        <w:t xml:space="preserve">The review </w:t>
      </w:r>
      <w:r w:rsidR="009C5578" w:rsidRPr="00186C2F">
        <w:t xml:space="preserve">is guided by the NHMRC methodological framework </w:t>
      </w:r>
      <w:r w:rsidR="009C5578" w:rsidRPr="00186C2F">
        <w:fldChar w:fldCharType="begin"/>
      </w:r>
      <w:r w:rsidR="009C5578" w:rsidRPr="00186C2F">
        <w:instrText xml:space="preserve"> ADDIN EN.CITE &lt;EndNote&gt;&lt;Cite&gt;&lt;Author&gt;National Health and Medical Research Council&lt;/Author&gt;&lt;Year&gt;2026&lt;/Year&gt;&lt;RecNum&gt;4727&lt;/RecNum&gt;&lt;DisplayText&gt;(National Health and Medical Research Council, 2026)&lt;/DisplayText&gt;&lt;record&gt;&lt;rec-number&gt;4727&lt;/rec-number&gt;&lt;foreign-keys&gt;&lt;key app="EN" db-id="wwsdv2wwp29fenerv0kx5tw9zxtx2fdrprx2" timestamp="1780273346"&gt;4727&lt;/key&gt;&lt;/foreign-keys&gt;&lt;ref-type name="Government Document"&gt;46&lt;/ref-type&gt;&lt;contributors&gt;&lt;authors&gt;&lt;author&gt;National Health and Medical Research Council, NHMRC&lt;/author&gt;&lt;/authors&gt;&lt;/contributors&gt;&lt;titles&gt;&lt;title&gt;Methodological Framework for the Review of Nutrient Reference Values&lt;/title&gt;&lt;/titles&gt;&lt;edition&gt;V3.6 May 2026&lt;/edition&gt;&lt;dates&gt;&lt;year&gt;2026&lt;/year&gt;&lt;/dates&gt;&lt;pub-location&gt;Canberra, ACT&lt;/pub-location&gt;&lt;publisher&gt;NHMRC&lt;/publisher&gt;&lt;urls&gt;&lt;related-urls&gt;&lt;url&gt;URL TBC ONCE PUBLISHED&lt;/url&gt;&lt;/related-urls&gt;&lt;/urls&gt;&lt;/record&gt;&lt;/Cite&gt;&lt;/EndNote&gt;</w:instrText>
      </w:r>
      <w:r w:rsidR="009C5578" w:rsidRPr="00186C2F">
        <w:fldChar w:fldCharType="separate"/>
      </w:r>
      <w:r w:rsidR="009C5578" w:rsidRPr="00186C2F">
        <w:rPr>
          <w:noProof/>
        </w:rPr>
        <w:t>(National Health and Medical Research Council, 2026)</w:t>
      </w:r>
      <w:r w:rsidR="009C5578" w:rsidRPr="00186C2F">
        <w:fldChar w:fldCharType="end"/>
      </w:r>
      <w:r w:rsidR="009C5578" w:rsidRPr="00186C2F">
        <w:t>,</w:t>
      </w:r>
      <w:r w:rsidR="009C5578" w:rsidRPr="00FB0DD6">
        <w:rPr>
          <w:rFonts w:ascii="Segoe UI" w:eastAsia="Times New Roman" w:hAnsi="Segoe UI" w:cs="Segoe UI"/>
          <w:kern w:val="0"/>
          <w:sz w:val="21"/>
          <w:szCs w:val="21"/>
          <w:lang w:eastAsia="en-AU"/>
          <w14:ligatures w14:val="none"/>
        </w:rPr>
        <w:t xml:space="preserve"> </w:t>
      </w:r>
      <w:r w:rsidR="009C5578" w:rsidRPr="00FB0DD6">
        <w:t>and draws on multiple evidence sources to examine sodium requirements</w:t>
      </w:r>
      <w:r>
        <w:t xml:space="preserve">, </w:t>
      </w:r>
      <w:r w:rsidR="009C5578" w:rsidRPr="00FB0DD6">
        <w:t>the relationship between sodium intake and health outcomes</w:t>
      </w:r>
      <w:r>
        <w:t xml:space="preserve">, and contextual factors relevant to the Australian and New Zealand populations. </w:t>
      </w:r>
    </w:p>
    <w:p w14:paraId="4D2B800F" w14:textId="02F74F1C" w:rsidR="00F27CBA" w:rsidRDefault="00FD0BA0" w:rsidP="00D4099C">
      <w:pPr>
        <w:spacing w:line="276" w:lineRule="auto"/>
      </w:pPr>
      <w:r>
        <w:t xml:space="preserve">In line with the methodological framework, NRVs for sodium are being adapted/adopted from contemporary NRVs established by the </w:t>
      </w:r>
      <w:r w:rsidR="00AD3D27">
        <w:t xml:space="preserve">US </w:t>
      </w:r>
      <w:r w:rsidR="0035797F" w:rsidRPr="006B1862">
        <w:rPr>
          <w:iCs/>
        </w:rPr>
        <w:t xml:space="preserve">National Academies of Sciences, Engineering, and Medicine </w:t>
      </w:r>
      <w:r w:rsidR="00116F14">
        <w:rPr>
          <w:iCs/>
        </w:rPr>
        <w:fldChar w:fldCharType="begin"/>
      </w:r>
      <w:r w:rsidR="00C74D0C">
        <w:rPr>
          <w:iCs/>
        </w:rPr>
        <w:instrText xml:space="preserve"> ADDIN EN.CITE &lt;EndNote&gt;&lt;Cite ExcludeAuth="1"&gt;&lt;Author&gt;National Academies of Sciences&lt;/Author&gt;&lt;Year&gt;2019&lt;/Year&gt;&lt;RecNum&gt;4618&lt;/RecNum&gt;&lt;Prefix&gt;NASEM`, &lt;/Prefix&gt;&lt;DisplayText&gt;(NASEM, 2019)&lt;/DisplayText&gt;&lt;record&gt;&lt;rec-number&gt;4618&lt;/rec-number&gt;&lt;foreign-keys&gt;&lt;key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sidR="00116F14">
        <w:rPr>
          <w:iCs/>
        </w:rPr>
        <w:fldChar w:fldCharType="separate"/>
      </w:r>
      <w:r w:rsidR="00C74D0C">
        <w:rPr>
          <w:iCs/>
          <w:noProof/>
        </w:rPr>
        <w:t>(NASEM, 2019)</w:t>
      </w:r>
      <w:r w:rsidR="00116F14">
        <w:rPr>
          <w:iCs/>
        </w:rPr>
        <w:fldChar w:fldCharType="end"/>
      </w:r>
      <w:r w:rsidR="0035797F">
        <w:t xml:space="preserve"> </w:t>
      </w:r>
      <w:r w:rsidR="00AD3D27">
        <w:t>and European Food Safety Authority</w:t>
      </w:r>
      <w:r w:rsidR="0035797F">
        <w:t xml:space="preserve"> </w:t>
      </w:r>
      <w:r w:rsidR="0035797F">
        <w:fldChar w:fldCharType="begin"/>
      </w:r>
      <w:r w:rsidR="00116F14">
        <w:instrText xml:space="preserve"> ADDIN EN.CITE &lt;EndNote&gt;&lt;Cite ExcludeAuth="1"&gt;&lt;Author&gt;European Food Safety Authority&lt;/Author&gt;&lt;Year&gt;2019&lt;/Year&gt;&lt;RecNum&gt;4610&lt;/RecNum&gt;&lt;Prefix&gt;EFSA`, &lt;/Prefix&gt;&lt;DisplayText&gt;(EFSA, 2019)&lt;/DisplayText&gt;&lt;record&gt;&lt;rec-number&gt;4610&lt;/rec-number&gt;&lt;foreign-keys&gt;&lt;key app="EN" db-id="wwsdv2wwp29fenerv0kx5tw9zxtx2fdrprx2" timestamp="1774919605"&gt;4610&lt;/key&gt;&lt;/foreign-keys&gt;&lt;ref-type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rsidR="0035797F">
        <w:fldChar w:fldCharType="separate"/>
      </w:r>
      <w:r w:rsidR="00116F14">
        <w:rPr>
          <w:noProof/>
        </w:rPr>
        <w:t>(EFSA, 2019)</w:t>
      </w:r>
      <w:r w:rsidR="0035797F">
        <w:fldChar w:fldCharType="end"/>
      </w:r>
      <w:r w:rsidR="00BC6CC9">
        <w:t xml:space="preserve">. This report has been prepared to </w:t>
      </w:r>
      <w:r w:rsidR="00A01A46">
        <w:t xml:space="preserve">inform </w:t>
      </w:r>
      <w:r w:rsidR="00BC6CC9">
        <w:t>the process of adapting</w:t>
      </w:r>
      <w:r w:rsidR="00BC6CC9" w:rsidRPr="00AD3D27">
        <w:t xml:space="preserve"> </w:t>
      </w:r>
      <w:r w:rsidR="00BC6CC9">
        <w:t xml:space="preserve">these international recommendations to </w:t>
      </w:r>
      <w:r w:rsidR="0014208B">
        <w:t xml:space="preserve">the Australian and New Zealand context. It aims to summarise </w:t>
      </w:r>
      <w:r w:rsidR="006B7D8B">
        <w:t xml:space="preserve">the </w:t>
      </w:r>
      <w:r w:rsidR="00F81577">
        <w:t xml:space="preserve">evidence underpinning the EFSA and NASEM sodium </w:t>
      </w:r>
      <w:r w:rsidR="006B7D8B">
        <w:t xml:space="preserve">NRVs alongside </w:t>
      </w:r>
      <w:r w:rsidR="0014208B">
        <w:t xml:space="preserve">supplementary evidence for consideration by the </w:t>
      </w:r>
      <w:r w:rsidR="00096C6B">
        <w:t xml:space="preserve">Sodium Expert Working Group and </w:t>
      </w:r>
      <w:r w:rsidR="0014208B">
        <w:t>Steering Group Advisory Committee</w:t>
      </w:r>
      <w:r w:rsidR="00F81577">
        <w:t>. This includes consideration of</w:t>
      </w:r>
      <w:r w:rsidR="0014208B">
        <w:t>:</w:t>
      </w:r>
    </w:p>
    <w:p w14:paraId="208FC61B" w14:textId="09C4F7D6" w:rsidR="00A01613" w:rsidRPr="005162DF" w:rsidRDefault="00F81577" w:rsidP="005411B7">
      <w:pPr>
        <w:numPr>
          <w:ilvl w:val="0"/>
          <w:numId w:val="1"/>
        </w:numPr>
        <w:tabs>
          <w:tab w:val="num" w:pos="1080"/>
        </w:tabs>
        <w:spacing w:line="276" w:lineRule="auto"/>
      </w:pPr>
      <w:r>
        <w:t>Recent e</w:t>
      </w:r>
      <w:r w:rsidR="007B4858">
        <w:t xml:space="preserve">vidence reviews commissioned or conducted by comparable international bodies for the purposes of establishing </w:t>
      </w:r>
      <w:r w:rsidR="770BE5F0">
        <w:t>sodium nutrient reference values</w:t>
      </w:r>
      <w:r w:rsidR="008106C3">
        <w:t>, including</w:t>
      </w:r>
      <w:r w:rsidR="00A03793">
        <w:t xml:space="preserve"> the </w:t>
      </w:r>
      <w:r w:rsidR="006B1862">
        <w:t xml:space="preserve">2023 </w:t>
      </w:r>
      <w:r w:rsidR="00A01613">
        <w:t>Nordic Nutrition Recommendations</w:t>
      </w:r>
      <w:r w:rsidR="00036488">
        <w:t xml:space="preserve"> </w:t>
      </w:r>
      <w:r w:rsidR="00A7369D">
        <w:fldChar w:fldCharType="begin">
          <w:fldData xml:space="preserve">PEVuZE5vdGU+PENpdGU+PEF1dGhvcj5KdWxhPC9BdXRob3I+PFllYXI+MjAyNDwvWWVhcj48UmVj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</w:fldData>
        </w:fldChar>
      </w:r>
      <w:r w:rsidR="00D701E4">
        <w:instrText xml:space="preserve"> ADDIN EN.CITE </w:instrText>
      </w:r>
      <w:r w:rsidR="00D701E4">
        <w:fldChar w:fldCharType="begin">
          <w:fldData xml:space="preserve">PEVuZE5vdGU+PENpdGU+PEF1dGhvcj5KdWxhPC9BdXRob3I+PFllYXI+MjAyNDwvWWVhcj48UmVj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</w:fldData>
        </w:fldChar>
      </w:r>
      <w:r w:rsidR="00D701E4">
        <w:instrText xml:space="preserve"> ADDIN EN.CITE.DATA </w:instrText>
      </w:r>
      <w:r w:rsidR="00D701E4">
        <w:fldChar w:fldCharType="end"/>
      </w:r>
      <w:r w:rsidR="00A7369D">
        <w:fldChar w:fldCharType="separate"/>
      </w:r>
      <w:r w:rsidR="00D701E4">
        <w:rPr>
          <w:noProof/>
        </w:rPr>
        <w:t>(Blomhoff et al., 2023; Jula, 2024)</w:t>
      </w:r>
      <w:r w:rsidR="00A7369D">
        <w:fldChar w:fldCharType="end"/>
      </w:r>
      <w:r w:rsidR="00A01613" w:rsidRPr="338E4AEF">
        <w:rPr>
          <w:i/>
        </w:rPr>
        <w:t> </w:t>
      </w:r>
    </w:p>
    <w:p w14:paraId="19F285EB" w14:textId="6B0A3C34" w:rsidR="00A018EF" w:rsidRDefault="00A018EF" w:rsidP="005411B7">
      <w:pPr>
        <w:numPr>
          <w:ilvl w:val="0"/>
          <w:numId w:val="1"/>
        </w:numPr>
        <w:spacing w:line="276" w:lineRule="auto"/>
      </w:pPr>
      <w:r w:rsidRPr="00096C6B">
        <w:t xml:space="preserve">High quality systematic reviews on </w:t>
      </w:r>
      <w:r w:rsidR="00AD32AE" w:rsidRPr="00096C6B">
        <w:t xml:space="preserve">the relationship between sodium intake and </w:t>
      </w:r>
      <w:r w:rsidR="00CD1DA6">
        <w:t>key health outcomes</w:t>
      </w:r>
      <w:r w:rsidR="00AD32AE" w:rsidRPr="00096C6B">
        <w:t xml:space="preserve">, published since </w:t>
      </w:r>
      <w:r w:rsidR="00532D3A">
        <w:t xml:space="preserve">1 January </w:t>
      </w:r>
      <w:r w:rsidR="00AD32AE" w:rsidRPr="00096C6B">
        <w:t>201</w:t>
      </w:r>
      <w:r w:rsidR="001E3A5D">
        <w:t>8</w:t>
      </w:r>
      <w:r w:rsidR="00532D3A">
        <w:t>, to identify evidence published after the EFSA and NASEM reviews</w:t>
      </w:r>
    </w:p>
    <w:p w14:paraId="5F3D186A" w14:textId="017AFED8" w:rsidR="007B4858" w:rsidRPr="00C37434" w:rsidRDefault="00532D3A" w:rsidP="005411B7">
      <w:pPr>
        <w:numPr>
          <w:ilvl w:val="0"/>
          <w:numId w:val="1"/>
        </w:numPr>
        <w:spacing w:line="276" w:lineRule="auto"/>
      </w:pPr>
      <w:r>
        <w:t xml:space="preserve">Contextual evidence </w:t>
      </w:r>
      <w:r w:rsidR="007B4858">
        <w:t xml:space="preserve">relevant to </w:t>
      </w:r>
      <w:r>
        <w:t xml:space="preserve">establishing NRV recommendations for </w:t>
      </w:r>
      <w:r w:rsidR="007B4858">
        <w:t>Australia and New Zealan</w:t>
      </w:r>
      <w:r>
        <w:t>d, including systematic reviews on contextual factors (</w:t>
      </w:r>
      <w:proofErr w:type="spellStart"/>
      <w:r>
        <w:t>eg.</w:t>
      </w:r>
      <w:proofErr w:type="spellEnd"/>
      <w:r>
        <w:t xml:space="preserve"> </w:t>
      </w:r>
      <w:r w:rsidR="005E1420">
        <w:t xml:space="preserve">population </w:t>
      </w:r>
      <w:r>
        <w:t xml:space="preserve">intakes, </w:t>
      </w:r>
      <w:r w:rsidR="009558EB">
        <w:t xml:space="preserve">dietary sources, at </w:t>
      </w:r>
      <w:r w:rsidR="005E1420">
        <w:t>risk populations)</w:t>
      </w:r>
      <w:r>
        <w:t xml:space="preserve">, primary </w:t>
      </w:r>
      <w:r w:rsidR="009558EB">
        <w:t xml:space="preserve">studies </w:t>
      </w:r>
      <w:r>
        <w:t xml:space="preserve">or </w:t>
      </w:r>
      <w:r w:rsidR="009558EB">
        <w:t xml:space="preserve">national population </w:t>
      </w:r>
      <w:r>
        <w:t>data</w:t>
      </w:r>
      <w:r w:rsidR="00E379C1">
        <w:t>.</w:t>
      </w:r>
    </w:p>
    <w:p w14:paraId="1082BEB6" w14:textId="77777777" w:rsidR="00C65598" w:rsidRDefault="00C65598" w:rsidP="005F45FC">
      <w:pPr>
        <w:pStyle w:val="Heading1"/>
        <w:rPr>
          <w:b/>
          <w:bCs/>
        </w:rPr>
      </w:pPr>
      <w:bookmarkStart w:id="1" w:name="_Toc234960803"/>
      <w:r>
        <w:rPr>
          <w:b/>
          <w:bCs/>
        </w:rPr>
        <w:t>Rationale for prioritising this update</w:t>
      </w:r>
      <w:bookmarkEnd w:id="1"/>
    </w:p>
    <w:p w14:paraId="02DB1780" w14:textId="6CB31C44" w:rsidR="002056A0" w:rsidRDefault="00FB7CFE" w:rsidP="00D4099C">
      <w:pPr>
        <w:spacing w:line="276" w:lineRule="auto"/>
      </w:pPr>
      <w:r w:rsidRPr="00FB7CFE">
        <w:t xml:space="preserve">Sodium was identified as a priority </w:t>
      </w:r>
      <w:r w:rsidR="00E84923">
        <w:t xml:space="preserve">nutrient </w:t>
      </w:r>
      <w:r w:rsidRPr="00FB7CFE">
        <w:t xml:space="preserve">for review </w:t>
      </w:r>
      <w:r w:rsidR="001F717F">
        <w:t xml:space="preserve">due to </w:t>
      </w:r>
      <w:r w:rsidR="00E84923">
        <w:t xml:space="preserve">its </w:t>
      </w:r>
      <w:r w:rsidR="005D64E4">
        <w:t xml:space="preserve">significant </w:t>
      </w:r>
      <w:r w:rsidR="001F717F">
        <w:t xml:space="preserve">public health </w:t>
      </w:r>
      <w:r w:rsidR="005D64E4">
        <w:t xml:space="preserve">impact in Australia and New Zealand. Excess </w:t>
      </w:r>
      <w:r w:rsidR="00D95995">
        <w:t xml:space="preserve">sodium intake </w:t>
      </w:r>
      <w:r w:rsidR="00EE6716">
        <w:t xml:space="preserve">is </w:t>
      </w:r>
      <w:r w:rsidR="005D64E4">
        <w:t xml:space="preserve">strongly </w:t>
      </w:r>
      <w:r w:rsidR="00D95995">
        <w:t xml:space="preserve">associated with </w:t>
      </w:r>
      <w:r w:rsidR="005D64E4">
        <w:t xml:space="preserve">elevated </w:t>
      </w:r>
      <w:r w:rsidR="00D95995">
        <w:t>blood pressure</w:t>
      </w:r>
      <w:r w:rsidR="00EE6716">
        <w:t xml:space="preserve">, </w:t>
      </w:r>
      <w:r w:rsidR="00FA4D6A">
        <w:t xml:space="preserve">a major </w:t>
      </w:r>
      <w:r w:rsidR="00D95995" w:rsidRPr="00FB7CFE">
        <w:t xml:space="preserve">risk factor for cardiovascular </w:t>
      </w:r>
      <w:r w:rsidR="00D95995">
        <w:t>and kidney disease</w:t>
      </w:r>
      <w:r w:rsidR="00FA4D6A">
        <w:t xml:space="preserve"> – both leading contributors to morbidity and premature mortality.</w:t>
      </w:r>
      <w:r w:rsidR="002056A0" w:rsidRPr="002056A0">
        <w:t xml:space="preserve"> </w:t>
      </w:r>
      <w:r w:rsidR="002056A0" w:rsidRPr="00D2440B">
        <w:t xml:space="preserve">In 2024, </w:t>
      </w:r>
      <w:r w:rsidR="00B851EF">
        <w:t xml:space="preserve">cardiovascular disease </w:t>
      </w:r>
      <w:r w:rsidR="002056A0" w:rsidRPr="00D2440B">
        <w:t>accounted for 12</w:t>
      </w:r>
      <w:r w:rsidR="00C25C70">
        <w:t>-</w:t>
      </w:r>
      <w:r w:rsidR="00B851EF">
        <w:t>14</w:t>
      </w:r>
      <w:r w:rsidR="002056A0" w:rsidRPr="00D2440B">
        <w:t xml:space="preserve">% of the total burden of disease </w:t>
      </w:r>
      <w:r w:rsidR="00C649C4">
        <w:t xml:space="preserve">across the two countries, with high blood pressure </w:t>
      </w:r>
      <w:r w:rsidR="004E6AE2">
        <w:t xml:space="preserve">and dietary risks </w:t>
      </w:r>
      <w:r w:rsidR="00C649C4">
        <w:t xml:space="preserve">identified </w:t>
      </w:r>
      <w:r w:rsidR="007F1DE4">
        <w:t>a</w:t>
      </w:r>
      <w:r w:rsidR="00C25C70">
        <w:t>mong the</w:t>
      </w:r>
      <w:r w:rsidR="00C649C4">
        <w:t xml:space="preserve"> leading contributing risk factor</w:t>
      </w:r>
      <w:r w:rsidR="004E6AE2">
        <w:t>s</w:t>
      </w:r>
      <w:r w:rsidR="00C649C4">
        <w:t xml:space="preserve"> </w:t>
      </w:r>
      <w:r w:rsidR="002056A0">
        <w:fldChar w:fldCharType="begin">
          <w:fldData xml:space="preserve">PEVuZE5vdGU+PENpdGU+PEF1dGhvcj5BSUhXPC9BdXRob3I+PFllYXI+MjAyNDwvWWVhcj48UmVj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==
</w:fldData>
        </w:fldChar>
      </w:r>
      <w:r w:rsidR="004E6AE2">
        <w:instrText xml:space="preserve"> ADDIN EN.CITE </w:instrText>
      </w:r>
      <w:r w:rsidR="004E6AE2">
        <w:fldChar w:fldCharType="begin">
          <w:fldData xml:space="preserve">PEVuZE5vdGU+PENpdGU+PEF1dGhvcj5BSUhXPC9BdXRob3I+PFllYXI+MjAyNDwvWWVhcj48UmVj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==
</w:fldData>
        </w:fldChar>
      </w:r>
      <w:r w:rsidR="004E6AE2">
        <w:instrText xml:space="preserve"> ADDIN EN.CITE.DATA </w:instrText>
      </w:r>
      <w:r w:rsidR="004E6AE2">
        <w:fldChar w:fldCharType="end"/>
      </w:r>
      <w:r w:rsidR="002056A0">
        <w:fldChar w:fldCharType="separate"/>
      </w:r>
      <w:r w:rsidR="004E6AE2">
        <w:rPr>
          <w:noProof/>
        </w:rPr>
        <w:t>(AIHW, 2024, 2025; Institute for Health Metrics and Evaluation, 2024)</w:t>
      </w:r>
      <w:r w:rsidR="002056A0">
        <w:fldChar w:fldCharType="end"/>
      </w:r>
      <w:r w:rsidR="002056A0">
        <w:t xml:space="preserve">. </w:t>
      </w:r>
      <w:r w:rsidR="001E5A58">
        <w:t>H</w:t>
      </w:r>
      <w:r w:rsidR="0007391C">
        <w:t>ypertension</w:t>
      </w:r>
      <w:r w:rsidR="001E5A58">
        <w:t xml:space="preserve"> </w:t>
      </w:r>
      <w:r w:rsidR="0007391C">
        <w:t xml:space="preserve">is also </w:t>
      </w:r>
      <w:r w:rsidR="00382738">
        <w:t xml:space="preserve">highly </w:t>
      </w:r>
      <w:r w:rsidR="0007391C">
        <w:t>prevalent</w:t>
      </w:r>
      <w:r w:rsidR="00382738">
        <w:t xml:space="preserve">; </w:t>
      </w:r>
      <w:r w:rsidR="0007391C">
        <w:t xml:space="preserve">data from 2022 </w:t>
      </w:r>
      <w:r w:rsidR="00456ED8">
        <w:t xml:space="preserve">suggests </w:t>
      </w:r>
      <w:r w:rsidR="0007391C">
        <w:t xml:space="preserve">that more than </w:t>
      </w:r>
      <w:r w:rsidR="0007391C" w:rsidRPr="009F7560">
        <w:t xml:space="preserve">one in ten Australians (11.6%, or 3 million people) </w:t>
      </w:r>
      <w:r w:rsidR="006C224B">
        <w:t xml:space="preserve">had </w:t>
      </w:r>
      <w:r w:rsidR="0007391C" w:rsidRPr="009F7560">
        <w:t xml:space="preserve">diagnosed hypertension, and almost one in four </w:t>
      </w:r>
      <w:r w:rsidR="006C224B">
        <w:t xml:space="preserve">adults </w:t>
      </w:r>
      <w:r w:rsidR="0007391C" w:rsidRPr="009F7560">
        <w:t>ha</w:t>
      </w:r>
      <w:r w:rsidR="006C224B">
        <w:t>d</w:t>
      </w:r>
      <w:r w:rsidR="0007391C" w:rsidRPr="009F7560">
        <w:t xml:space="preserve"> high measured blood pressure</w:t>
      </w:r>
      <w:r w:rsidR="00DD71FF">
        <w:t xml:space="preserve"> </w:t>
      </w:r>
      <w:r w:rsidR="0007391C">
        <w:fldChar w:fldCharType="begin"/>
      </w:r>
      <w:r w:rsidR="0007391C">
        <w:instrText xml:space="preserve"> ADDIN EN.CITE &lt;EndNote&gt;&lt;Cite ExcludeAuth="1"&gt;&lt;Author&gt;Australian Bureau of Statistics&lt;/Author&gt;&lt;Year&gt;2022&lt;/Year&gt;&lt;RecNum&gt;4731&lt;/RecNum&gt;&lt;Prefix&gt;ABS`, &lt;/Prefix&gt;&lt;DisplayText&gt;(ABS, 2022)&lt;/DisplayText&gt;&lt;record&gt;&lt;rec-number&gt;4731&lt;/rec-number&gt;&lt;foreign-keys&gt;&lt;key app="EN" db-id="wwsdv2wwp29fenerv0kx5tw9zxtx2fdrprx2" timestamp="1780285184"&gt;4731&lt;/key&gt;&lt;/foreign-keys&gt;&lt;ref-type name="Dataset"&gt;59&lt;/ref-type&gt;&lt;contributors&gt;&lt;authors&gt;&lt;author&gt;Australian Bureau of Statistics,&lt;/author&gt;&lt;/authors&gt;&lt;secondary-authors&gt;&lt;author&gt;Australian Bureau of Statistics,&lt;/author&gt;&lt;/secondary-authors&gt;&lt;/contributors&gt;&lt;titles&gt;&lt;title&gt;Hypertension and high measured blood pressure&lt;/title&gt;&lt;/titles&gt;&lt;section&gt;15/12/2023&lt;/section&gt;&lt;dates&gt;&lt;year&gt;2022&lt;/year&gt;&lt;pub-dates&gt;&lt;date&gt;2022&lt;/date&gt;&lt;/pub-dates&gt;&lt;/dates&gt;&lt;pub-location&gt;Canberra, ACT&lt;/pub-location&gt;&lt;urls&gt;&lt;related-urls&gt;&lt;url&gt;https://www.abs.gov.au/statistics/health/health-conditions-and-risks/hypertension-and-high-measured-blood-pressure/latest-release&lt;/url&gt;&lt;/related-urls&gt;&lt;/urls&gt;&lt;/record&gt;&lt;/Cite&gt;&lt;/EndNote&gt;</w:instrText>
      </w:r>
      <w:r w:rsidR="0007391C">
        <w:fldChar w:fldCharType="separate"/>
      </w:r>
      <w:r w:rsidR="0007391C">
        <w:rPr>
          <w:noProof/>
        </w:rPr>
        <w:t>(ABS, 2022)</w:t>
      </w:r>
      <w:r w:rsidR="0007391C">
        <w:fldChar w:fldCharType="end"/>
      </w:r>
      <w:r w:rsidR="0007391C">
        <w:t>.</w:t>
      </w:r>
    </w:p>
    <w:p w14:paraId="2A2132A3" w14:textId="6A4D39CC" w:rsidR="005D46A2" w:rsidRDefault="00676BBA" w:rsidP="00D4099C">
      <w:pPr>
        <w:spacing w:line="276" w:lineRule="auto"/>
      </w:pPr>
      <w:r>
        <w:t xml:space="preserve">Population sodium intakes remain well above recommended levels. </w:t>
      </w:r>
      <w:r w:rsidR="007F1DE4">
        <w:t xml:space="preserve">In </w:t>
      </w:r>
      <w:r w:rsidR="007F1DE4" w:rsidRPr="009F7560">
        <w:t xml:space="preserve">Australia, nearly two </w:t>
      </w:r>
      <w:r w:rsidR="007F1DE4">
        <w:t xml:space="preserve">thirds of </w:t>
      </w:r>
      <w:r w:rsidR="007F1DE4" w:rsidRPr="009F7560">
        <w:t xml:space="preserve">adults (65.6%) </w:t>
      </w:r>
      <w:r w:rsidR="007F1DE4">
        <w:t>exceed the</w:t>
      </w:r>
      <w:r w:rsidR="00496FD3">
        <w:t xml:space="preserve"> current</w:t>
      </w:r>
      <w:r w:rsidR="007F1DE4">
        <w:t xml:space="preserve"> </w:t>
      </w:r>
      <w:r w:rsidR="007F1DE4" w:rsidRPr="009F7560">
        <w:t xml:space="preserve">Suggested Dietary Target </w:t>
      </w:r>
      <w:r w:rsidR="007F1DE4">
        <w:t xml:space="preserve">(SDT) </w:t>
      </w:r>
      <w:r w:rsidR="007F1DE4" w:rsidRPr="009F7560">
        <w:t xml:space="preserve">of 2,000 mg </w:t>
      </w:r>
      <w:r w:rsidR="007F1DE4">
        <w:t>/day</w:t>
      </w:r>
      <w:r w:rsidR="007F1DE4" w:rsidRPr="009F7560">
        <w:t xml:space="preserve">, </w:t>
      </w:r>
      <w:r w:rsidR="007F1DE4">
        <w:t xml:space="preserve">and similar patterns are observed in New Zealand </w:t>
      </w:r>
      <w:r w:rsidR="009F7560">
        <w:fldChar w:fldCharType="begin">
          <w:fldData xml:space="preserve">PEVuZE5vdGU+PENpdGUgRXhjbHVkZUF1dGg9IjEiPjxBdXRob3I+QXVzdHJhbGlhbiBCdXJlYXUg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</w:fldData>
        </w:fldChar>
      </w:r>
      <w:r w:rsidR="0057627F">
        <w:instrText xml:space="preserve"> ADDIN EN.CITE </w:instrText>
      </w:r>
      <w:r w:rsidR="0057627F">
        <w:fldChar w:fldCharType="begin">
          <w:fldData xml:space="preserve">PEVuZE5vdGU+PENpdGUgRXhjbHVkZUF1dGg9IjEiPjxBdXRob3I+QXVzdHJhbGlhbiBCdXJlYXUg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</w:fldData>
        </w:fldChar>
      </w:r>
      <w:r w:rsidR="0057627F">
        <w:instrText xml:space="preserve"> ADDIN EN.CITE.DATA </w:instrText>
      </w:r>
      <w:r w:rsidR="0057627F">
        <w:fldChar w:fldCharType="end"/>
      </w:r>
      <w:r w:rsidR="009F7560">
        <w:fldChar w:fldCharType="separate"/>
      </w:r>
      <w:r w:rsidR="0057627F">
        <w:rPr>
          <w:noProof/>
        </w:rPr>
        <w:t>(ABS, 2023c; Wang et al., 2023)</w:t>
      </w:r>
      <w:r w:rsidR="009F7560">
        <w:fldChar w:fldCharType="end"/>
      </w:r>
      <w:r w:rsidR="007F1DE4">
        <w:t xml:space="preserve">. </w:t>
      </w:r>
      <w:r w:rsidR="00E628D2">
        <w:t xml:space="preserve">Persistently </w:t>
      </w:r>
      <w:r w:rsidR="007F1DE4" w:rsidRPr="00F057D2">
        <w:t xml:space="preserve">high </w:t>
      </w:r>
      <w:r w:rsidR="007F1DE4" w:rsidRPr="00F057D2">
        <w:lastRenderedPageBreak/>
        <w:t xml:space="preserve">levels of sodium in the food supply </w:t>
      </w:r>
      <w:r w:rsidR="00904D38">
        <w:t xml:space="preserve">therefore </w:t>
      </w:r>
      <w:r w:rsidR="007F1DE4">
        <w:t>increase</w:t>
      </w:r>
      <w:r w:rsidR="00E10C54">
        <w:t xml:space="preserve"> </w:t>
      </w:r>
      <w:r w:rsidR="00F057D2" w:rsidRPr="00F057D2">
        <w:t xml:space="preserve">population exposure to a dietary factor strongly linked to elevated blood pressure and cardiovascular disease. </w:t>
      </w:r>
    </w:p>
    <w:p w14:paraId="1779AA3B" w14:textId="5D0B21E1" w:rsidR="00F65551" w:rsidRDefault="001C628D" w:rsidP="00712464">
      <w:pPr>
        <w:spacing w:line="276" w:lineRule="auto"/>
      </w:pPr>
      <w:r>
        <w:t>Since th</w:t>
      </w:r>
      <w:r w:rsidR="00247E8A">
        <w:t xml:space="preserve">e NRVs for Australia and New Zealand were partially updated </w:t>
      </w:r>
      <w:r w:rsidR="0073456D">
        <w:t xml:space="preserve">in 2017 </w:t>
      </w:r>
      <w:r w:rsidR="00247E8A">
        <w:t>(adult</w:t>
      </w:r>
      <w:r w:rsidR="0073456D">
        <w:t xml:space="preserve"> SDT recommendations only)</w:t>
      </w:r>
      <w:r>
        <w:t xml:space="preserve">, </w:t>
      </w:r>
      <w:r w:rsidR="00712464">
        <w:t xml:space="preserve">several major international reviews of sodium NRVs have been completed </w:t>
      </w:r>
      <w:r w:rsidR="00712464">
        <w:fldChar w:fldCharType="begin">
          <w:fldData xml:space="preserve">PEVuZE5vdGU+PENpdGUgRXhjbHVkZUF1dGg9IjEiPjxBdXRob3I+TmF0aW9uYWwgQWNhZGVtaWVz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</w:fldData>
        </w:fldChar>
      </w:r>
      <w:r w:rsidR="00712464">
        <w:instrText xml:space="preserve"> ADDIN EN.CITE </w:instrText>
      </w:r>
      <w:r w:rsidR="00712464">
        <w:fldChar w:fldCharType="begin">
          <w:fldData xml:space="preserve">PEVuZE5vdGU+PENpdGUgRXhjbHVkZUF1dGg9IjEiPjxBdXRob3I+TmF0aW9uYWwgQWNhZGVtaWVz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</w:fldData>
        </w:fldChar>
      </w:r>
      <w:r w:rsidR="00712464">
        <w:instrText xml:space="preserve"> ADDIN EN.CITE.DATA </w:instrText>
      </w:r>
      <w:r w:rsidR="00712464">
        <w:fldChar w:fldCharType="end"/>
      </w:r>
      <w:r w:rsidR="00712464">
        <w:fldChar w:fldCharType="separate"/>
      </w:r>
      <w:r w:rsidR="00712464">
        <w:rPr>
          <w:noProof/>
        </w:rPr>
        <w:t>(Blomhoff et al., 2023; EFSA, 2019; NASEM, 2019)</w:t>
      </w:r>
      <w:r w:rsidR="00712464">
        <w:fldChar w:fldCharType="end"/>
      </w:r>
      <w:r w:rsidR="00712464">
        <w:t xml:space="preserve">. </w:t>
      </w:r>
      <w:r w:rsidR="00F65551">
        <w:t xml:space="preserve">These warrant consideration, </w:t>
      </w:r>
      <w:r w:rsidR="00F31E39">
        <w:t xml:space="preserve">in particular noting </w:t>
      </w:r>
      <w:r w:rsidR="00F65551">
        <w:t xml:space="preserve">differences in values </w:t>
      </w:r>
      <w:r w:rsidR="00B504A4">
        <w:t xml:space="preserve">between </w:t>
      </w:r>
      <w:r w:rsidR="00F65551">
        <w:t xml:space="preserve">jurisdictions. </w:t>
      </w:r>
    </w:p>
    <w:p w14:paraId="3AD9E82C" w14:textId="4901CEDB" w:rsidR="00712464" w:rsidRDefault="0094688D" w:rsidP="00712464">
      <w:pPr>
        <w:spacing w:line="276" w:lineRule="auto"/>
      </w:pPr>
      <w:r>
        <w:t>C</w:t>
      </w:r>
      <w:r w:rsidR="00712464">
        <w:t xml:space="preserve">urrent recommendations for adequacy have not been </w:t>
      </w:r>
      <w:r>
        <w:t xml:space="preserve">revised </w:t>
      </w:r>
      <w:r w:rsidR="00712464">
        <w:t>since 2006</w:t>
      </w:r>
      <w:r>
        <w:t>,</w:t>
      </w:r>
      <w:r w:rsidR="00712464">
        <w:t xml:space="preserve"> </w:t>
      </w:r>
      <w:r w:rsidR="00AA4972">
        <w:t xml:space="preserve">nor have NRVs for children and adolescents. In addition, </w:t>
      </w:r>
      <w:r w:rsidR="00CD2FBE">
        <w:t>internal inconsistencies have arisen following the 2017 partial update</w:t>
      </w:r>
      <w:r w:rsidR="00494B6D">
        <w:t xml:space="preserve">, which </w:t>
      </w:r>
      <w:r w:rsidR="00424222">
        <w:t xml:space="preserve">focused solely on the </w:t>
      </w:r>
      <w:r w:rsidR="00494B6D">
        <w:t xml:space="preserve">SDT and Upper Levels (UL) </w:t>
      </w:r>
      <w:r w:rsidR="00424222">
        <w:t>for adults</w:t>
      </w:r>
      <w:r w:rsidR="00494B6D">
        <w:t>. During this review</w:t>
      </w:r>
      <w:r w:rsidR="00CD2FBE">
        <w:t xml:space="preserve">, </w:t>
      </w:r>
      <w:r w:rsidR="00494B6D">
        <w:t xml:space="preserve">the SDT was increased from 1,600 mg/day to 2,000 mg/day and the </w:t>
      </w:r>
      <w:r w:rsidR="00B2442C">
        <w:t xml:space="preserve">previous </w:t>
      </w:r>
      <w:r w:rsidR="00494B6D">
        <w:t xml:space="preserve">UL </w:t>
      </w:r>
      <w:r w:rsidR="00B2442C">
        <w:t xml:space="preserve">values for adults were replaced with a statement that the UL could not be determined. </w:t>
      </w:r>
      <w:r w:rsidR="00712464">
        <w:t xml:space="preserve">However, </w:t>
      </w:r>
      <w:r w:rsidR="0040382A">
        <w:t xml:space="preserve">as </w:t>
      </w:r>
      <w:r w:rsidR="00712464">
        <w:t>ULs for children and adolescents were not reviewed at th</w:t>
      </w:r>
      <w:r w:rsidR="009B7DE5">
        <w:t>at</w:t>
      </w:r>
      <w:r w:rsidR="00712464">
        <w:t xml:space="preserve"> time</w:t>
      </w:r>
      <w:r w:rsidR="0040382A">
        <w:t xml:space="preserve">, </w:t>
      </w:r>
      <w:r w:rsidR="00712464" w:rsidRPr="005C4295">
        <w:t xml:space="preserve">the current </w:t>
      </w:r>
      <w:r w:rsidR="00712464">
        <w:t xml:space="preserve">SDT only applies to adults and the UL </w:t>
      </w:r>
      <w:r w:rsidR="00712464" w:rsidRPr="005C4295">
        <w:t>for older ch</w:t>
      </w:r>
      <w:r w:rsidR="00712464">
        <w:t xml:space="preserve">ildren </w:t>
      </w:r>
      <w:r w:rsidR="00712464" w:rsidRPr="00CD27CF">
        <w:t xml:space="preserve">is higher than the adult </w:t>
      </w:r>
      <w:r w:rsidR="00712464">
        <w:t>SDT</w:t>
      </w:r>
      <w:r w:rsidR="00712464" w:rsidRPr="00CD27CF">
        <w:t xml:space="preserve">, creating </w:t>
      </w:r>
      <w:r w:rsidR="00712464">
        <w:t xml:space="preserve">potential </w:t>
      </w:r>
      <w:r w:rsidR="00707163">
        <w:t xml:space="preserve">inconsistencies </w:t>
      </w:r>
      <w:r w:rsidR="004820B1">
        <w:t xml:space="preserve">in messaging </w:t>
      </w:r>
      <w:r w:rsidR="00707163">
        <w:t xml:space="preserve">across </w:t>
      </w:r>
      <w:r w:rsidR="00712464">
        <w:t xml:space="preserve">age groups. </w:t>
      </w:r>
    </w:p>
    <w:p w14:paraId="1AECC094" w14:textId="2930D1AC" w:rsidR="007F1DE4" w:rsidRDefault="007F1DE4" w:rsidP="00186C2F">
      <w:pPr>
        <w:spacing w:line="276" w:lineRule="auto"/>
      </w:pPr>
      <w:r w:rsidRPr="00DC312D">
        <w:t xml:space="preserve">Review of child and adolescent recommendations is therefore needed to ensure consistency with the current evidence base and the chronic disease risk–reduction framework adopted for adults. Aligning recommendations across life stages will support clearer public health guidance and strengthen the application of sodium targets in policy and practice. In addition, </w:t>
      </w:r>
      <w:r w:rsidR="00707163">
        <w:t xml:space="preserve">the </w:t>
      </w:r>
      <w:r w:rsidRPr="00DC312D">
        <w:t xml:space="preserve">adequacy </w:t>
      </w:r>
      <w:r w:rsidR="00707163">
        <w:t xml:space="preserve">recommendations warrant reassessment to reflect </w:t>
      </w:r>
      <w:r w:rsidRPr="00DC312D">
        <w:t>contemporary evidence.</w:t>
      </w:r>
    </w:p>
    <w:p w14:paraId="47821D70" w14:textId="5A418EDE" w:rsidR="00C65598" w:rsidRDefault="00C65598" w:rsidP="005F45FC">
      <w:pPr>
        <w:pStyle w:val="Heading1"/>
        <w:rPr>
          <w:b/>
          <w:bCs/>
        </w:rPr>
      </w:pPr>
      <w:bookmarkStart w:id="2" w:name="_Toc234960804"/>
      <w:r>
        <w:rPr>
          <w:b/>
          <w:bCs/>
        </w:rPr>
        <w:t>Methods summary</w:t>
      </w:r>
      <w:bookmarkEnd w:id="2"/>
    </w:p>
    <w:p w14:paraId="4F85BB3B" w14:textId="47E4E532" w:rsidR="009420AB" w:rsidRDefault="009420AB" w:rsidP="009220EC">
      <w:pPr>
        <w:spacing w:line="276" w:lineRule="auto"/>
      </w:pPr>
      <w:r>
        <w:t xml:space="preserve">The NHMRC Methodological Framework establishes </w:t>
      </w:r>
      <w:r w:rsidR="00860AEE">
        <w:t>a</w:t>
      </w:r>
      <w:r w:rsidR="00860AEE" w:rsidRPr="00025ABC">
        <w:rPr>
          <w:szCs w:val="20"/>
        </w:rPr>
        <w:t xml:space="preserve">dministrative and technical criteria for assessing the suitability of existing </w:t>
      </w:r>
      <w:r w:rsidR="00860AEE">
        <w:rPr>
          <w:szCs w:val="20"/>
        </w:rPr>
        <w:t xml:space="preserve">NRVs </w:t>
      </w:r>
      <w:r w:rsidR="00792323">
        <w:rPr>
          <w:szCs w:val="20"/>
        </w:rPr>
        <w:t xml:space="preserve">from comparable international jurisdictions </w:t>
      </w:r>
      <w:r>
        <w:t xml:space="preserve">for </w:t>
      </w:r>
      <w:r w:rsidR="00860AEE">
        <w:t xml:space="preserve">adaptation or adoption </w:t>
      </w:r>
      <w:r w:rsidRPr="00186C2F">
        <w:fldChar w:fldCharType="begin"/>
      </w:r>
      <w:r>
        <w:instrText xml:space="preserve"> ADDIN EN.CITE &lt;EndNote&gt;&lt;Cite ExcludeAuth="1"&gt;&lt;Author&gt;National Health and Medical Research Council&lt;/Author&gt;&lt;Year&gt;2026&lt;/Year&gt;&lt;RecNum&gt;4727&lt;/RecNum&gt;&lt;Prefix&gt;NHMRC`, &lt;/Prefix&gt;&lt;DisplayText&gt;(NHMRC, 2026)&lt;/DisplayText&gt;&lt;record&gt;&lt;rec-number&gt;4727&lt;/rec-number&gt;&lt;foreign-keys&gt;&lt;key app="EN" db-id="wwsdv2wwp29fenerv0kx5tw9zxtx2fdrprx2" timestamp="1780273346"&gt;4727&lt;/key&gt;&lt;/foreign-keys&gt;&lt;ref-type name="Government Document"&gt;46&lt;/ref-type&gt;&lt;contributors&gt;&lt;authors&gt;&lt;author&gt;National Health and Medical Research Council, NHMRC&lt;/author&gt;&lt;/authors&gt;&lt;/contributors&gt;&lt;titles&gt;&lt;title&gt;Methodological Framework for the Review of Nutrient Reference Values&lt;/title&gt;&lt;/titles&gt;&lt;edition&gt;V3.6 May 2026&lt;/edition&gt;&lt;dates&gt;&lt;year&gt;2026&lt;/year&gt;&lt;/dates&gt;&lt;pub-location&gt;Canberra, ACT&lt;/pub-location&gt;&lt;publisher&gt;NHMRC&lt;/publisher&gt;&lt;urls&gt;&lt;related-urls&gt;&lt;url&gt;URL TBC ONCE PUBLISHED&lt;/url&gt;&lt;/related-urls&gt;&lt;/urls&gt;&lt;/record&gt;&lt;/Cite&gt;&lt;/EndNote&gt;</w:instrText>
      </w:r>
      <w:r w:rsidRPr="00186C2F">
        <w:fldChar w:fldCharType="separate"/>
      </w:r>
      <w:r>
        <w:rPr>
          <w:noProof/>
        </w:rPr>
        <w:t>(NHMRC, 2026)</w:t>
      </w:r>
      <w:r w:rsidRPr="00186C2F">
        <w:fldChar w:fldCharType="end"/>
      </w:r>
      <w:r>
        <w:t xml:space="preserve">. These criteria were </w:t>
      </w:r>
      <w:r w:rsidR="009D55C8">
        <w:t xml:space="preserve">used to assess </w:t>
      </w:r>
      <w:r>
        <w:t xml:space="preserve">the </w:t>
      </w:r>
      <w:r w:rsidR="009D55C8">
        <w:t xml:space="preserve">suitability of the </w:t>
      </w:r>
      <w:r>
        <w:t>US NASEM (2019) and EFSA (2019) guideline</w:t>
      </w:r>
      <w:r w:rsidR="00792323">
        <w:t xml:space="preserve">s, with both </w:t>
      </w:r>
      <w:r>
        <w:t xml:space="preserve">guidelines </w:t>
      </w:r>
      <w:r w:rsidR="00792323">
        <w:t xml:space="preserve">identified as </w:t>
      </w:r>
      <w:r>
        <w:t xml:space="preserve">suitable (see </w:t>
      </w:r>
      <w:r w:rsidR="00203655">
        <w:fldChar w:fldCharType="begin"/>
      </w:r>
      <w:r w:rsidR="00203655">
        <w:instrText xml:space="preserve"> REF _Ref233719705 \h </w:instrText>
      </w:r>
      <w:r w:rsidR="00203655">
        <w:fldChar w:fldCharType="separate"/>
      </w:r>
      <w:r w:rsidR="00004852" w:rsidRPr="005F45FC">
        <w:rPr>
          <w:b/>
          <w:bCs/>
        </w:rPr>
        <w:t xml:space="preserve">Appendix A </w:t>
      </w:r>
      <w:r w:rsidR="00004852">
        <w:rPr>
          <w:b/>
          <w:bCs/>
        </w:rPr>
        <w:t>–</w:t>
      </w:r>
      <w:r w:rsidR="00004852" w:rsidRPr="005F45FC">
        <w:rPr>
          <w:b/>
          <w:bCs/>
        </w:rPr>
        <w:t xml:space="preserve"> </w:t>
      </w:r>
      <w:r w:rsidR="00004852">
        <w:rPr>
          <w:b/>
          <w:bCs/>
        </w:rPr>
        <w:t>Assessment of guideline suitability</w:t>
      </w:r>
      <w:r w:rsidR="00203655">
        <w:fldChar w:fldCharType="end"/>
      </w:r>
      <w:r w:rsidR="00203655">
        <w:t>)</w:t>
      </w:r>
      <w:r>
        <w:t>.</w:t>
      </w:r>
    </w:p>
    <w:p w14:paraId="7B6CFB4F" w14:textId="09E372B9" w:rsidR="00F53ADD" w:rsidRDefault="00CA46FF" w:rsidP="009220EC">
      <w:pPr>
        <w:spacing w:line="276" w:lineRule="auto"/>
      </w:pPr>
      <w:r>
        <w:t>However, n</w:t>
      </w:r>
      <w:r w:rsidR="003D23CB">
        <w:t xml:space="preserve">either set of recommendations were </w:t>
      </w:r>
      <w:r>
        <w:t xml:space="preserve">wholly </w:t>
      </w:r>
      <w:r w:rsidR="003D23CB">
        <w:t>suited to ad</w:t>
      </w:r>
      <w:r>
        <w:t>option or ad</w:t>
      </w:r>
      <w:r w:rsidR="003D23CB">
        <w:t>aptation; a</w:t>
      </w:r>
      <w:r w:rsidR="00891D74">
        <w:t>lthough EFSA’s methods for developing its NRVs – and country-specific contextual factors - align</w:t>
      </w:r>
      <w:r w:rsidR="00C67E54">
        <w:t>ed</w:t>
      </w:r>
      <w:r w:rsidR="00891D74">
        <w:t xml:space="preserve"> more directly with NHMRC criteria, the 2019 EFSA recommendations </w:t>
      </w:r>
      <w:r w:rsidR="00C67E54">
        <w:t xml:space="preserve">do not specify distinct recommendations for </w:t>
      </w:r>
      <w:r w:rsidR="00891D74">
        <w:t xml:space="preserve">nutritional adequacy and </w:t>
      </w:r>
      <w:r w:rsidR="00D332D9">
        <w:t>r</w:t>
      </w:r>
      <w:r w:rsidR="00891D74">
        <w:t>isk-reduction</w:t>
      </w:r>
      <w:r w:rsidR="00C67E54">
        <w:t>, instead presenting a single ‘safe and adequate’ value</w:t>
      </w:r>
      <w:r w:rsidR="00891D74">
        <w:t xml:space="preserve">. This approach does not align with the </w:t>
      </w:r>
      <w:r w:rsidR="00FC3E16">
        <w:t xml:space="preserve">required approach for </w:t>
      </w:r>
      <w:r w:rsidR="00891D74">
        <w:t xml:space="preserve">NRVs for Australia and New Zealand. </w:t>
      </w:r>
      <w:r w:rsidR="00FC3E16">
        <w:t xml:space="preserve">Although </w:t>
      </w:r>
      <w:r w:rsidR="00891D74">
        <w:t xml:space="preserve">the US NASEM </w:t>
      </w:r>
      <w:r w:rsidR="00FC3E16">
        <w:t>provides recommendations for</w:t>
      </w:r>
      <w:r w:rsidR="00891D74">
        <w:t xml:space="preserve"> both </w:t>
      </w:r>
      <w:r w:rsidR="00FC3E16">
        <w:t xml:space="preserve">adequacy and risk reduction, </w:t>
      </w:r>
      <w:r w:rsidR="00CE4984">
        <w:t xml:space="preserve">the public health nutrition context in the </w:t>
      </w:r>
      <w:r w:rsidR="008E20A4">
        <w:t xml:space="preserve">United States </w:t>
      </w:r>
      <w:r w:rsidR="00CE4984">
        <w:t>differ</w:t>
      </w:r>
      <w:r w:rsidR="00923E06">
        <w:t>s</w:t>
      </w:r>
      <w:r w:rsidR="00CE4984">
        <w:t xml:space="preserve"> to that of Australia and New Zealand</w:t>
      </w:r>
      <w:r w:rsidR="00891D74">
        <w:t xml:space="preserve">. Consequently, </w:t>
      </w:r>
      <w:r w:rsidR="00CE4984">
        <w:t xml:space="preserve">it was determined that </w:t>
      </w:r>
      <w:r w:rsidR="00891D74">
        <w:t xml:space="preserve">both </w:t>
      </w:r>
      <w:r w:rsidR="00923E06">
        <w:t>the EFSA and US NASEM</w:t>
      </w:r>
      <w:r w:rsidR="00891D74">
        <w:t xml:space="preserve"> recommendations </w:t>
      </w:r>
      <w:r w:rsidR="00CE4984">
        <w:t xml:space="preserve">– and their underpinning evidence – would be considered </w:t>
      </w:r>
      <w:r w:rsidR="00891D74">
        <w:t>collectively to derive recommendations that</w:t>
      </w:r>
      <w:r w:rsidR="00F53ADD">
        <w:t xml:space="preserve"> </w:t>
      </w:r>
      <w:r w:rsidR="00891D74">
        <w:t>best suit the Australian and New Zealand context.</w:t>
      </w:r>
      <w:r w:rsidR="00F53ADD">
        <w:t xml:space="preserve"> </w:t>
      </w:r>
    </w:p>
    <w:p w14:paraId="3347A68F" w14:textId="77777777" w:rsidR="00FB54EC" w:rsidRDefault="00F53ADD" w:rsidP="00FB54EC">
      <w:pPr>
        <w:spacing w:line="276" w:lineRule="auto"/>
      </w:pPr>
      <w:r>
        <w:t xml:space="preserve">Given the time elapsed since these guidelines were issued, an additional search for systematic reviews published since 1 January 2018 was undertaken, to consider any recently published evidence during the Evidence-to-Decision process. </w:t>
      </w:r>
      <w:r w:rsidR="00155F2B">
        <w:t xml:space="preserve">Systematic reviews were identified </w:t>
      </w:r>
      <w:r w:rsidR="00F0167C">
        <w:t xml:space="preserve">based on </w:t>
      </w:r>
      <w:r w:rsidR="00155F2B">
        <w:t xml:space="preserve">a priori inclusion criteria specified by the Sodium Expert Working Group (see </w:t>
      </w:r>
      <w:r w:rsidR="00004852" w:rsidRPr="00004852">
        <w:rPr>
          <w:b/>
          <w:bCs/>
        </w:rPr>
        <w:fldChar w:fldCharType="begin"/>
      </w:r>
      <w:r w:rsidR="00004852" w:rsidRPr="00004852">
        <w:rPr>
          <w:b/>
          <w:bCs/>
        </w:rPr>
        <w:instrText xml:space="preserve"> REF _Ref234950990 \h  \* MERGEFORMAT </w:instrText>
      </w:r>
      <w:r w:rsidR="00004852" w:rsidRPr="00004852">
        <w:rPr>
          <w:b/>
          <w:bCs/>
        </w:rPr>
      </w:r>
      <w:r w:rsidR="00004852" w:rsidRPr="00004852">
        <w:rPr>
          <w:b/>
          <w:bCs/>
        </w:rPr>
        <w:fldChar w:fldCharType="separate"/>
      </w:r>
      <w:r w:rsidR="00004852" w:rsidRPr="00004852">
        <w:rPr>
          <w:b/>
          <w:bCs/>
        </w:rPr>
        <w:t>Appendix B – Methods for supplementary evidence searches</w:t>
      </w:r>
      <w:r w:rsidR="00004852" w:rsidRPr="00004852">
        <w:rPr>
          <w:b/>
          <w:bCs/>
        </w:rPr>
        <w:fldChar w:fldCharType="end"/>
      </w:r>
      <w:r w:rsidR="00004852">
        <w:t>)</w:t>
      </w:r>
      <w:r w:rsidR="00FB54EC">
        <w:t xml:space="preserve">. Evidence relevant to the Australian or New Zealand context was also sought to support adaptation of these international </w:t>
      </w:r>
      <w:r w:rsidR="00FB54EC">
        <w:lastRenderedPageBreak/>
        <w:t>recommendations to the local nutrition context</w:t>
      </w:r>
      <w:r w:rsidR="00FB54EC" w:rsidRPr="00AB42D5">
        <w:t xml:space="preserve">. </w:t>
      </w:r>
      <w:r w:rsidR="00FB54EC">
        <w:t>This included systematic reviews on relevant contextual factors along with primary studies, national data or statistics. This Evidence Summary Report presents the evidence underpinning current international recommendations, along with supplementary evidence sources, to inform the process of deriving NRVs for sodium for the Australian and New Zealand context.</w:t>
      </w:r>
    </w:p>
    <w:p w14:paraId="4ACB9462" w14:textId="28AEB716" w:rsidR="00F30A3E" w:rsidRPr="00AB42D5" w:rsidRDefault="00FB54EC" w:rsidP="00FB54EC">
      <w:pPr>
        <w:spacing w:line="276" w:lineRule="auto"/>
      </w:pPr>
      <w:r>
        <w:t xml:space="preserve">Further information about the methods utilised in developing this Evidence Summary Report are presented in </w:t>
      </w:r>
      <w:r w:rsidRPr="00004852">
        <w:rPr>
          <w:b/>
          <w:bCs/>
        </w:rPr>
        <w:fldChar w:fldCharType="begin"/>
      </w:r>
      <w:r w:rsidRPr="00004852">
        <w:rPr>
          <w:b/>
          <w:bCs/>
        </w:rPr>
        <w:instrText xml:space="preserve"> REF _Ref234950990 \h  \* MERGEFORMAT </w:instrText>
      </w:r>
      <w:r w:rsidRPr="00004852">
        <w:rPr>
          <w:b/>
          <w:bCs/>
        </w:rPr>
      </w:r>
      <w:r w:rsidRPr="00004852">
        <w:rPr>
          <w:b/>
          <w:bCs/>
        </w:rPr>
        <w:fldChar w:fldCharType="separate"/>
      </w:r>
      <w:r w:rsidRPr="00004852">
        <w:rPr>
          <w:b/>
          <w:bCs/>
        </w:rPr>
        <w:t>Appendix B – Methods for supplementary evidence searches</w:t>
      </w:r>
      <w:r w:rsidRPr="00004852">
        <w:rPr>
          <w:b/>
          <w:bCs/>
        </w:rPr>
        <w:fldChar w:fldCharType="end"/>
      </w:r>
      <w:r w:rsidRPr="00FB54EC">
        <w:t>.</w:t>
      </w:r>
    </w:p>
    <w:p w14:paraId="0AE796F6" w14:textId="795D4850" w:rsidR="00C65598" w:rsidRDefault="00C65598" w:rsidP="005F45FC">
      <w:pPr>
        <w:pStyle w:val="Heading1"/>
        <w:rPr>
          <w:b/>
          <w:bCs/>
        </w:rPr>
      </w:pPr>
      <w:bookmarkStart w:id="3" w:name="_Toc234960805"/>
      <w:r>
        <w:rPr>
          <w:b/>
          <w:bCs/>
        </w:rPr>
        <w:t>Governance</w:t>
      </w:r>
      <w:bookmarkEnd w:id="3"/>
    </w:p>
    <w:p w14:paraId="2302E397" w14:textId="11D5E5E4" w:rsidR="00BF2A44" w:rsidRPr="007516A2" w:rsidRDefault="00BF2A44" w:rsidP="00D4099C">
      <w:pPr>
        <w:spacing w:line="276" w:lineRule="auto"/>
        <w:rPr>
          <w:rFonts w:cs="Calibri"/>
        </w:rPr>
      </w:pPr>
      <w:r w:rsidRPr="007516A2">
        <w:rPr>
          <w:rFonts w:cs="Calibri"/>
        </w:rPr>
        <w:t xml:space="preserve">Governance processes for the </w:t>
      </w:r>
      <w:r>
        <w:rPr>
          <w:rFonts w:cs="Calibri"/>
        </w:rPr>
        <w:t>sodium</w:t>
      </w:r>
      <w:r w:rsidR="00A26C81">
        <w:rPr>
          <w:rFonts w:cs="Calibri"/>
        </w:rPr>
        <w:t xml:space="preserve"> NRV</w:t>
      </w:r>
      <w:r w:rsidRPr="007516A2">
        <w:rPr>
          <w:rFonts w:cs="Calibri"/>
        </w:rPr>
        <w:t xml:space="preserve"> reviews comprise</w:t>
      </w:r>
      <w:r w:rsidR="004F6617">
        <w:rPr>
          <w:rFonts w:cs="Calibri"/>
        </w:rPr>
        <w:t>d</w:t>
      </w:r>
      <w:r w:rsidRPr="007516A2">
        <w:rPr>
          <w:rFonts w:cs="Calibri"/>
        </w:rPr>
        <w:t>:</w:t>
      </w:r>
    </w:p>
    <w:p w14:paraId="7BC310C0" w14:textId="235E6EEA" w:rsidR="003A4E15" w:rsidRPr="00773AF1" w:rsidRDefault="003A4E15" w:rsidP="005411B7">
      <w:pPr>
        <w:pStyle w:val="ListParagraph"/>
        <w:numPr>
          <w:ilvl w:val="0"/>
          <w:numId w:val="5"/>
        </w:numPr>
        <w:spacing w:line="276" w:lineRule="auto"/>
        <w:rPr>
          <w:rFonts w:cstheme="minorHAnsi"/>
        </w:rPr>
      </w:pPr>
      <w:r w:rsidRPr="00773AF1">
        <w:rPr>
          <w:rFonts w:cstheme="minorHAnsi"/>
        </w:rPr>
        <w:t>NHMRC CEO</w:t>
      </w:r>
      <w:r w:rsidR="00CC0C5B">
        <w:rPr>
          <w:rFonts w:cstheme="minorHAnsi"/>
        </w:rPr>
        <w:t xml:space="preserve">: </w:t>
      </w:r>
      <w:r w:rsidRPr="00773AF1">
        <w:rPr>
          <w:rFonts w:cstheme="minorHAnsi"/>
        </w:rPr>
        <w:t xml:space="preserve">responsible for issuing </w:t>
      </w:r>
      <w:r>
        <w:rPr>
          <w:rFonts w:cstheme="minorHAnsi"/>
        </w:rPr>
        <w:t xml:space="preserve">NRVs </w:t>
      </w:r>
      <w:r w:rsidRPr="00773AF1">
        <w:rPr>
          <w:rFonts w:cstheme="minorHAnsi"/>
        </w:rPr>
        <w:t>under the National Health and Medical Research Council Act 1992</w:t>
      </w:r>
    </w:p>
    <w:p w14:paraId="6FB2F4A2" w14:textId="59118D08" w:rsidR="003A4E15" w:rsidRPr="00773AF1" w:rsidRDefault="003A4E15" w:rsidP="005411B7">
      <w:pPr>
        <w:pStyle w:val="ListParagraph"/>
        <w:numPr>
          <w:ilvl w:val="0"/>
          <w:numId w:val="5"/>
        </w:numPr>
        <w:spacing w:line="276" w:lineRule="auto"/>
        <w:rPr>
          <w:rFonts w:cstheme="minorHAnsi"/>
        </w:rPr>
      </w:pPr>
      <w:r>
        <w:rPr>
          <w:rFonts w:cstheme="minorHAnsi"/>
        </w:rPr>
        <w:t xml:space="preserve">NHMRC </w:t>
      </w:r>
      <w:proofErr w:type="gramStart"/>
      <w:r w:rsidRPr="00773AF1">
        <w:rPr>
          <w:rFonts w:cstheme="minorHAnsi"/>
        </w:rPr>
        <w:t>Council</w:t>
      </w:r>
      <w:r w:rsidR="00CC0C5B">
        <w:rPr>
          <w:rFonts w:cstheme="minorHAnsi"/>
        </w:rPr>
        <w:t>:</w:t>
      </w:r>
      <w:proofErr w:type="gramEnd"/>
      <w:r>
        <w:rPr>
          <w:rFonts w:cstheme="minorHAnsi"/>
        </w:rPr>
        <w:t xml:space="preserve"> advises the CEO</w:t>
      </w:r>
    </w:p>
    <w:p w14:paraId="16196553" w14:textId="2EA3522F" w:rsidR="003A4E15" w:rsidRPr="00510960" w:rsidRDefault="003A4E15" w:rsidP="005411B7">
      <w:pPr>
        <w:pStyle w:val="ListParagraph"/>
        <w:numPr>
          <w:ilvl w:val="0"/>
          <w:numId w:val="5"/>
        </w:numPr>
        <w:spacing w:line="276" w:lineRule="auto"/>
        <w:rPr>
          <w:rFonts w:cstheme="minorHAnsi"/>
        </w:rPr>
      </w:pPr>
      <w:r w:rsidRPr="00773AF1">
        <w:rPr>
          <w:rFonts w:cstheme="minorHAnsi"/>
        </w:rPr>
        <w:t>Office of NHMRC</w:t>
      </w:r>
      <w:r w:rsidR="00CC0C5B">
        <w:rPr>
          <w:rFonts w:cstheme="minorHAnsi"/>
        </w:rPr>
        <w:t>:</w:t>
      </w:r>
      <w:r w:rsidRPr="00773AF1">
        <w:rPr>
          <w:rFonts w:cstheme="minorHAnsi"/>
        </w:rPr>
        <w:t xml:space="preserve"> responsible for the ongoing project management of NRVs reviews</w:t>
      </w:r>
      <w:r>
        <w:rPr>
          <w:rFonts w:cstheme="minorHAnsi"/>
        </w:rPr>
        <w:t xml:space="preserve"> and supports t</w:t>
      </w:r>
      <w:r w:rsidRPr="00773AF1">
        <w:rPr>
          <w:rFonts w:cstheme="minorHAnsi"/>
        </w:rPr>
        <w:t xml:space="preserve">he CEO, Council and Committees </w:t>
      </w:r>
    </w:p>
    <w:p w14:paraId="40E1ECF9" w14:textId="1E8CD348" w:rsidR="00BF2A44" w:rsidRPr="00773AF1" w:rsidRDefault="00BF2A44" w:rsidP="005411B7">
      <w:pPr>
        <w:pStyle w:val="ListParagraph"/>
        <w:numPr>
          <w:ilvl w:val="0"/>
          <w:numId w:val="5"/>
        </w:numPr>
        <w:spacing w:line="276" w:lineRule="auto"/>
        <w:rPr>
          <w:rFonts w:cstheme="minorHAnsi"/>
        </w:rPr>
      </w:pPr>
      <w:r w:rsidRPr="00773AF1">
        <w:rPr>
          <w:rFonts w:cstheme="minorHAnsi"/>
        </w:rPr>
        <w:t>Steering Group</w:t>
      </w:r>
      <w:r w:rsidR="00CC0C5B">
        <w:rPr>
          <w:rFonts w:cstheme="minorHAnsi"/>
        </w:rPr>
        <w:t>:</w:t>
      </w:r>
      <w:r w:rsidRPr="00773AF1">
        <w:rPr>
          <w:rFonts w:cstheme="minorHAnsi"/>
        </w:rPr>
        <w:t xml:space="preserve"> comprising NHMRC, the Department and New Zealand Ministry of Health</w:t>
      </w:r>
      <w:r w:rsidR="00CC0C5B">
        <w:rPr>
          <w:rFonts w:cstheme="minorHAnsi"/>
        </w:rPr>
        <w:t xml:space="preserve">, with responsibility for </w:t>
      </w:r>
      <w:r w:rsidR="00CC0C5B" w:rsidRPr="006776E6">
        <w:rPr>
          <w:rFonts w:cs="Calibri"/>
        </w:rPr>
        <w:t>strategic leadership, funding and resourcing elements of NRV updates</w:t>
      </w:r>
    </w:p>
    <w:p w14:paraId="4F801994" w14:textId="2748DA9F" w:rsidR="00A1163D" w:rsidRPr="00773AF1" w:rsidRDefault="00BF2A44" w:rsidP="005411B7">
      <w:pPr>
        <w:pStyle w:val="ListParagraph"/>
        <w:numPr>
          <w:ilvl w:val="0"/>
          <w:numId w:val="5"/>
        </w:numPr>
        <w:spacing w:line="276" w:lineRule="auto"/>
        <w:rPr>
          <w:rFonts w:cstheme="minorHAnsi"/>
        </w:rPr>
      </w:pPr>
      <w:r w:rsidRPr="00773AF1">
        <w:rPr>
          <w:rFonts w:cstheme="minorHAnsi"/>
        </w:rPr>
        <w:t>Steering Group Advisory Committee (Advisory Committee)</w:t>
      </w:r>
      <w:r w:rsidR="00CC0C5B">
        <w:rPr>
          <w:rFonts w:cstheme="minorHAnsi"/>
        </w:rPr>
        <w:t>:</w:t>
      </w:r>
      <w:r w:rsidRPr="00773AF1">
        <w:rPr>
          <w:rFonts w:cstheme="minorHAnsi"/>
        </w:rPr>
        <w:t xml:space="preserve"> advis</w:t>
      </w:r>
      <w:r w:rsidR="00CC0C5B">
        <w:rPr>
          <w:rFonts w:cstheme="minorHAnsi"/>
        </w:rPr>
        <w:t>ing</w:t>
      </w:r>
      <w:r w:rsidRPr="00773AF1">
        <w:rPr>
          <w:rFonts w:cstheme="minorHAnsi"/>
        </w:rPr>
        <w:t xml:space="preserve"> the Steering Group </w:t>
      </w:r>
      <w:r w:rsidR="00A26C81" w:rsidRPr="00773AF1">
        <w:rPr>
          <w:rFonts w:cstheme="minorHAnsi"/>
        </w:rPr>
        <w:t xml:space="preserve">on methods and </w:t>
      </w:r>
      <w:r w:rsidR="007516A2" w:rsidRPr="00773AF1">
        <w:rPr>
          <w:rFonts w:cstheme="minorHAnsi"/>
        </w:rPr>
        <w:t>prioritisation</w:t>
      </w:r>
    </w:p>
    <w:p w14:paraId="248F2749" w14:textId="4C53E246" w:rsidR="00510960" w:rsidRDefault="00823859" w:rsidP="005411B7">
      <w:pPr>
        <w:pStyle w:val="ListParagraph"/>
        <w:numPr>
          <w:ilvl w:val="0"/>
          <w:numId w:val="5"/>
        </w:numPr>
        <w:spacing w:line="276" w:lineRule="auto"/>
        <w:rPr>
          <w:rFonts w:cstheme="minorHAnsi"/>
        </w:rPr>
      </w:pPr>
      <w:r>
        <w:rPr>
          <w:rFonts w:cstheme="minorHAnsi"/>
        </w:rPr>
        <w:t xml:space="preserve">Sodium </w:t>
      </w:r>
      <w:r w:rsidR="00A1163D" w:rsidRPr="00773AF1">
        <w:rPr>
          <w:rFonts w:cstheme="minorHAnsi"/>
        </w:rPr>
        <w:t>Expert Working Group</w:t>
      </w:r>
      <w:r w:rsidR="00CC0C5B">
        <w:rPr>
          <w:rFonts w:cstheme="minorHAnsi"/>
        </w:rPr>
        <w:t>:</w:t>
      </w:r>
      <w:r w:rsidR="00FA6D5E" w:rsidRPr="00773AF1">
        <w:rPr>
          <w:rFonts w:cstheme="minorHAnsi"/>
        </w:rPr>
        <w:t xml:space="preserve"> </w:t>
      </w:r>
      <w:r w:rsidR="00BF2A44" w:rsidRPr="00773AF1">
        <w:rPr>
          <w:rFonts w:cstheme="minorHAnsi"/>
        </w:rPr>
        <w:t>s</w:t>
      </w:r>
      <w:r w:rsidR="00FA6D5E" w:rsidRPr="00773AF1">
        <w:rPr>
          <w:rFonts w:cstheme="minorHAnsi"/>
        </w:rPr>
        <w:t>odium e</w:t>
      </w:r>
      <w:r w:rsidR="00BF2A44" w:rsidRPr="00773AF1">
        <w:rPr>
          <w:rFonts w:cstheme="minorHAnsi"/>
        </w:rPr>
        <w:t>xperts to provide nutrient-specific advice</w:t>
      </w:r>
      <w:r w:rsidRPr="00823859">
        <w:rPr>
          <w:rFonts w:cstheme="minorHAnsi"/>
        </w:rPr>
        <w:t xml:space="preserve"> </w:t>
      </w:r>
      <w:r w:rsidR="00CC0C5B">
        <w:rPr>
          <w:rFonts w:cstheme="minorHAnsi"/>
        </w:rPr>
        <w:t>and guide the development of revised NRVs.</w:t>
      </w:r>
    </w:p>
    <w:p w14:paraId="0A4D2ECA" w14:textId="6569885D" w:rsidR="00C44EA6" w:rsidRPr="001F4097" w:rsidRDefault="006776E6" w:rsidP="00D4099C">
      <w:pPr>
        <w:pStyle w:val="ListBullet"/>
        <w:numPr>
          <w:ilvl w:val="0"/>
          <w:numId w:val="0"/>
        </w:numPr>
        <w:spacing w:after="160" w:line="276" w:lineRule="auto"/>
        <w:rPr>
          <w:rFonts w:asciiTheme="minorHAnsi" w:hAnsiTheme="minorHAnsi" w:cs="Calibri"/>
          <w:sz w:val="22"/>
          <w:szCs w:val="22"/>
        </w:rPr>
      </w:pPr>
      <w:r w:rsidRPr="00D4099C">
        <w:rPr>
          <w:rFonts w:asciiTheme="minorHAnsi" w:eastAsiaTheme="minorHAnsi" w:hAnsiTheme="minorHAnsi" w:cstheme="minorBidi"/>
          <w:kern w:val="2"/>
          <w:sz w:val="22"/>
          <w:szCs w:val="22"/>
          <w:lang w:eastAsia="en-US"/>
          <w14:ligatures w14:val="standardContextual"/>
        </w:rPr>
        <w:t xml:space="preserve">The </w:t>
      </w:r>
      <w:r w:rsidR="005B2551" w:rsidRPr="00D4099C">
        <w:rPr>
          <w:rFonts w:asciiTheme="minorHAnsi" w:eastAsiaTheme="minorHAnsi" w:hAnsiTheme="minorHAnsi" w:cstheme="minorBidi"/>
          <w:kern w:val="2"/>
          <w:sz w:val="22"/>
          <w:szCs w:val="22"/>
          <w:lang w:eastAsia="en-US"/>
          <w14:ligatures w14:val="standardContextual"/>
        </w:rPr>
        <w:t>S</w:t>
      </w:r>
      <w:r w:rsidRPr="00D4099C">
        <w:rPr>
          <w:rFonts w:asciiTheme="minorHAnsi" w:eastAsiaTheme="minorHAnsi" w:hAnsiTheme="minorHAnsi" w:cstheme="minorBidi"/>
          <w:kern w:val="2"/>
          <w:sz w:val="22"/>
          <w:szCs w:val="22"/>
          <w:lang w:eastAsia="en-US"/>
          <w14:ligatures w14:val="standardContextual"/>
        </w:rPr>
        <w:t xml:space="preserve">teering Group </w:t>
      </w:r>
      <w:r w:rsidR="00BF2A44" w:rsidRPr="00D4099C">
        <w:rPr>
          <w:rFonts w:asciiTheme="minorHAnsi" w:eastAsiaTheme="minorHAnsi" w:hAnsiTheme="minorHAnsi" w:cstheme="minorBidi"/>
          <w:kern w:val="2"/>
          <w:sz w:val="22"/>
          <w:szCs w:val="22"/>
          <w:lang w:eastAsia="en-US"/>
          <w14:ligatures w14:val="standardContextual"/>
        </w:rPr>
        <w:t xml:space="preserve">prioritised updating the </w:t>
      </w:r>
      <w:r w:rsidR="00FA6D5E" w:rsidRPr="00D4099C">
        <w:rPr>
          <w:rFonts w:asciiTheme="minorHAnsi" w:eastAsiaTheme="minorHAnsi" w:hAnsiTheme="minorHAnsi" w:cstheme="minorBidi"/>
          <w:kern w:val="2"/>
          <w:sz w:val="22"/>
          <w:szCs w:val="22"/>
          <w:lang w:eastAsia="en-US"/>
          <w14:ligatures w14:val="standardContextual"/>
        </w:rPr>
        <w:t xml:space="preserve">sodium as part of the </w:t>
      </w:r>
      <w:r w:rsidR="009A773C">
        <w:rPr>
          <w:rFonts w:asciiTheme="minorHAnsi" w:eastAsiaTheme="minorHAnsi" w:hAnsiTheme="minorHAnsi" w:cstheme="minorBidi"/>
          <w:kern w:val="2"/>
          <w:sz w:val="22"/>
          <w:szCs w:val="22"/>
          <w:lang w:eastAsia="en-US"/>
          <w14:ligatures w14:val="standardContextual"/>
        </w:rPr>
        <w:t xml:space="preserve">2018 schedule </w:t>
      </w:r>
      <w:r w:rsidR="00A4695C">
        <w:rPr>
          <w:rFonts w:asciiTheme="minorHAnsi" w:eastAsiaTheme="minorHAnsi" w:hAnsiTheme="minorHAnsi" w:cstheme="minorBidi"/>
          <w:kern w:val="2"/>
          <w:sz w:val="22"/>
          <w:szCs w:val="22"/>
          <w:lang w:eastAsia="en-US"/>
          <w14:ligatures w14:val="standardContextual"/>
        </w:rPr>
        <w:t>to the</w:t>
      </w:r>
      <w:r w:rsidR="00FA6D5E" w:rsidRPr="00D4099C">
        <w:rPr>
          <w:rFonts w:asciiTheme="minorHAnsi" w:eastAsiaTheme="minorHAnsi" w:hAnsiTheme="minorHAnsi" w:cstheme="minorBidi"/>
          <w:kern w:val="2"/>
          <w:sz w:val="22"/>
          <w:szCs w:val="22"/>
          <w:lang w:eastAsia="en-US"/>
          <w14:ligatures w14:val="standardContextual"/>
        </w:rPr>
        <w:t xml:space="preserve"> </w:t>
      </w:r>
      <w:r w:rsidR="001F4097" w:rsidRPr="00D4099C">
        <w:rPr>
          <w:rFonts w:asciiTheme="minorHAnsi" w:eastAsiaTheme="minorHAnsi" w:hAnsiTheme="minorHAnsi" w:cstheme="minorBidi"/>
          <w:kern w:val="2"/>
          <w:sz w:val="22"/>
          <w:szCs w:val="22"/>
          <w:lang w:eastAsia="en-US"/>
          <w14:ligatures w14:val="standardContextual"/>
        </w:rPr>
        <w:t>Memorandum</w:t>
      </w:r>
      <w:r w:rsidR="00FA6D5E" w:rsidRPr="00D4099C">
        <w:rPr>
          <w:rFonts w:asciiTheme="minorHAnsi" w:eastAsiaTheme="minorHAnsi" w:hAnsiTheme="minorHAnsi" w:cstheme="minorBidi"/>
          <w:kern w:val="2"/>
          <w:sz w:val="22"/>
          <w:szCs w:val="22"/>
          <w:lang w:eastAsia="en-US"/>
          <w14:ligatures w14:val="standardContextual"/>
        </w:rPr>
        <w:t xml:space="preserve"> of Understanding when NHMRC agreed to take on </w:t>
      </w:r>
      <w:r w:rsidR="001F4097" w:rsidRPr="00D4099C">
        <w:rPr>
          <w:rFonts w:asciiTheme="minorHAnsi" w:eastAsiaTheme="minorHAnsi" w:hAnsiTheme="minorHAnsi" w:cstheme="minorBidi"/>
          <w:kern w:val="2"/>
          <w:sz w:val="22"/>
          <w:szCs w:val="22"/>
          <w:lang w:eastAsia="en-US"/>
          <w14:ligatures w14:val="standardContextual"/>
        </w:rPr>
        <w:t xml:space="preserve">the </w:t>
      </w:r>
      <w:r w:rsidR="00FA6D5E" w:rsidRPr="00D4099C">
        <w:rPr>
          <w:rFonts w:asciiTheme="minorHAnsi" w:eastAsiaTheme="minorHAnsi" w:hAnsiTheme="minorHAnsi" w:cstheme="minorBidi"/>
          <w:kern w:val="2"/>
          <w:sz w:val="22"/>
          <w:szCs w:val="22"/>
          <w:lang w:eastAsia="en-US"/>
          <w14:ligatures w14:val="standardContextual"/>
        </w:rPr>
        <w:t>priority rolling review of NRVs</w:t>
      </w:r>
      <w:r w:rsidR="00BF2A44" w:rsidRPr="00D4099C">
        <w:rPr>
          <w:rFonts w:asciiTheme="minorHAnsi" w:eastAsiaTheme="minorHAnsi" w:hAnsiTheme="minorHAnsi" w:cstheme="minorBidi"/>
          <w:kern w:val="2"/>
          <w:sz w:val="22"/>
          <w:szCs w:val="22"/>
          <w:lang w:eastAsia="en-US"/>
          <w14:ligatures w14:val="standardContextual"/>
        </w:rPr>
        <w:t xml:space="preserve">. Throughout the review, the Advisory Committee provided advice on the application of the methodological framework and methods for deriving NRVs, whilst the </w:t>
      </w:r>
      <w:r w:rsidR="001F4097" w:rsidRPr="00D4099C">
        <w:rPr>
          <w:rFonts w:asciiTheme="minorHAnsi" w:eastAsiaTheme="minorHAnsi" w:hAnsiTheme="minorHAnsi" w:cstheme="minorBidi"/>
          <w:kern w:val="2"/>
          <w:sz w:val="22"/>
          <w:szCs w:val="22"/>
          <w:lang w:eastAsia="en-US"/>
          <w14:ligatures w14:val="standardContextual"/>
        </w:rPr>
        <w:t>Sodium Expert Working Group</w:t>
      </w:r>
      <w:r w:rsidR="00BF2A44" w:rsidRPr="00D4099C">
        <w:rPr>
          <w:rFonts w:asciiTheme="minorHAnsi" w:eastAsiaTheme="minorHAnsi" w:hAnsiTheme="minorHAnsi" w:cstheme="minorBidi"/>
          <w:kern w:val="2"/>
          <w:sz w:val="22"/>
          <w:szCs w:val="22"/>
          <w:lang w:eastAsia="en-US"/>
          <w14:ligatures w14:val="standardContextual"/>
        </w:rPr>
        <w:t xml:space="preserve"> provided technical advice on considerations specific to </w:t>
      </w:r>
      <w:r w:rsidR="00E72CCF" w:rsidRPr="00D4099C">
        <w:rPr>
          <w:rFonts w:asciiTheme="minorHAnsi" w:eastAsiaTheme="minorHAnsi" w:hAnsiTheme="minorHAnsi" w:cstheme="minorBidi"/>
          <w:kern w:val="2"/>
          <w:sz w:val="22"/>
          <w:szCs w:val="22"/>
          <w:lang w:eastAsia="en-US"/>
          <w14:ligatures w14:val="standardContextual"/>
        </w:rPr>
        <w:t>sodium</w:t>
      </w:r>
      <w:r w:rsidR="00BF2A44" w:rsidRPr="00D4099C">
        <w:rPr>
          <w:rFonts w:asciiTheme="minorHAnsi" w:eastAsiaTheme="minorHAnsi" w:hAnsiTheme="minorHAnsi" w:cstheme="minorBidi"/>
          <w:kern w:val="2"/>
          <w:sz w:val="22"/>
          <w:szCs w:val="22"/>
          <w:lang w:eastAsia="en-US"/>
          <w14:ligatures w14:val="standardContextual"/>
        </w:rPr>
        <w:t xml:space="preserve"> nutrition. Members’ interests were declared and managed in line with NHMRC’s Policy on the Disclosure of Interests Requirements for Prospective and Appointed NHMRC Committee Members</w:t>
      </w:r>
      <w:r w:rsidR="004631DD">
        <w:rPr>
          <w:rFonts w:asciiTheme="minorHAnsi" w:hAnsiTheme="minorHAnsi" w:cs="Calibri"/>
          <w:sz w:val="22"/>
          <w:szCs w:val="22"/>
        </w:rPr>
        <w:t xml:space="preserve"> </w:t>
      </w:r>
      <w:r w:rsidR="004631DD">
        <w:rPr>
          <w:rFonts w:asciiTheme="minorHAnsi" w:hAnsiTheme="minorHAnsi" w:cs="Calibri"/>
          <w:sz w:val="22"/>
          <w:szCs w:val="22"/>
        </w:rPr>
        <w:fldChar w:fldCharType="begin"/>
      </w:r>
      <w:r w:rsidR="00C44EA6">
        <w:rPr>
          <w:rFonts w:asciiTheme="minorHAnsi" w:hAnsiTheme="minorHAnsi" w:cs="Calibri"/>
          <w:sz w:val="22"/>
          <w:szCs w:val="22"/>
        </w:rPr>
        <w:instrText xml:space="preserve"> ADDIN EN.CITE &lt;EndNote&gt;&lt;Cite ExcludeAuth="1"&gt;&lt;Author&gt;National Health and Medical Research Council&lt;/Author&gt;&lt;Year&gt;2019&lt;/Year&gt;&lt;RecNum&gt;4740&lt;/RecNum&gt;&lt;Prefix&gt;NHMRC`, &lt;/Prefix&gt;&lt;DisplayText&gt;(NHMRC, 2019)&lt;/DisplayText&gt;&lt;record&gt;&lt;rec-number&gt;4740&lt;/rec-number&gt;&lt;foreign-keys&gt;&lt;key app="EN" db-id="wwsdv2wwp29fenerv0kx5tw9zxtx2fdrprx2" timestamp="1780391338"&gt;4740&lt;/key&gt;&lt;/foreign-keys&gt;&lt;ref-type name="Government Document"&gt;46&lt;/ref-type&gt;&lt;contributors&gt;&lt;authors&gt;&lt;author&gt;National Health and Medical Research Council, NHMRC&lt;/author&gt;&lt;/authors&gt;&lt;/contributors&gt;&lt;titles&gt;&lt;title&gt;Policy on the Disclosure of Interests Requirements for Prospective and Appointed NHMRC Committee Members&lt;/title&gt;&lt;/titles&gt;&lt;dates&gt;&lt;year&gt;2019&lt;/year&gt;&lt;/dates&gt;&lt;urls&gt;&lt;related-urls&gt;&lt;url&gt;https://www.nhmrc.gov.au/sites/default/files/documents/attachments/publications/policy-on-the-disclosure-of-interests-requirements.pdf&lt;/url&gt;&lt;/related-urls&gt;&lt;/urls&gt;&lt;/record&gt;&lt;/Cite&gt;&lt;/EndNote&gt;</w:instrText>
      </w:r>
      <w:r w:rsidR="004631DD">
        <w:rPr>
          <w:rFonts w:asciiTheme="minorHAnsi" w:hAnsiTheme="minorHAnsi" w:cs="Calibri"/>
          <w:sz w:val="22"/>
          <w:szCs w:val="22"/>
        </w:rPr>
        <w:fldChar w:fldCharType="separate"/>
      </w:r>
      <w:r w:rsidR="00C44EA6">
        <w:rPr>
          <w:rFonts w:asciiTheme="minorHAnsi" w:hAnsiTheme="minorHAnsi" w:cs="Calibri"/>
          <w:noProof/>
          <w:sz w:val="22"/>
          <w:szCs w:val="22"/>
        </w:rPr>
        <w:t>(NHMRC, 2019)</w:t>
      </w:r>
      <w:r w:rsidR="004631DD">
        <w:rPr>
          <w:rFonts w:asciiTheme="minorHAnsi" w:hAnsiTheme="minorHAnsi" w:cs="Calibri"/>
          <w:sz w:val="22"/>
          <w:szCs w:val="22"/>
        </w:rPr>
        <w:fldChar w:fldCharType="end"/>
      </w:r>
      <w:r w:rsidR="00C44EA6">
        <w:rPr>
          <w:rFonts w:asciiTheme="minorHAnsi" w:hAnsiTheme="minorHAnsi" w:cs="Calibri"/>
          <w:sz w:val="22"/>
          <w:szCs w:val="22"/>
        </w:rPr>
        <w:t>.</w:t>
      </w:r>
    </w:p>
    <w:p w14:paraId="46AA8B08" w14:textId="2D47F0E9" w:rsidR="00FE27D1" w:rsidRPr="00CE79CF" w:rsidRDefault="002D2F6E" w:rsidP="00D4099C">
      <w:pPr>
        <w:pStyle w:val="Heading1"/>
        <w:spacing w:line="276" w:lineRule="auto"/>
        <w:rPr>
          <w:b/>
          <w:bCs/>
        </w:rPr>
      </w:pPr>
      <w:r w:rsidRPr="2145493A">
        <w:rPr>
          <w:b/>
          <w:bCs/>
        </w:rPr>
        <w:br w:type="page"/>
      </w:r>
      <w:bookmarkStart w:id="4" w:name="_Toc234960806"/>
      <w:r w:rsidR="00AE72D4" w:rsidRPr="338E4AEF">
        <w:rPr>
          <w:b/>
          <w:bCs/>
        </w:rPr>
        <w:lastRenderedPageBreak/>
        <w:t>S</w:t>
      </w:r>
      <w:r w:rsidR="605953DE" w:rsidRPr="338E4AEF">
        <w:rPr>
          <w:b/>
          <w:bCs/>
        </w:rPr>
        <w:t>odium</w:t>
      </w:r>
      <w:r w:rsidR="00923AE9" w:rsidRPr="2145493A">
        <w:rPr>
          <w:b/>
          <w:bCs/>
        </w:rPr>
        <w:t xml:space="preserve"> background</w:t>
      </w:r>
      <w:bookmarkEnd w:id="4"/>
    </w:p>
    <w:p w14:paraId="4068D9F6" w14:textId="191F82C9" w:rsidR="00C939DD" w:rsidRDefault="00C939DD" w:rsidP="00C44EA6">
      <w:pPr>
        <w:pStyle w:val="Heading2"/>
        <w:tabs>
          <w:tab w:val="left" w:pos="5546"/>
        </w:tabs>
      </w:pPr>
      <w:bookmarkStart w:id="5" w:name="_Toc234960807"/>
      <w:r w:rsidRPr="2145493A">
        <w:rPr>
          <w:b/>
          <w:bCs/>
        </w:rPr>
        <w:t>Function</w:t>
      </w:r>
      <w:r w:rsidR="001425AD" w:rsidRPr="2145493A">
        <w:rPr>
          <w:b/>
          <w:bCs/>
        </w:rPr>
        <w:t>, physiology</w:t>
      </w:r>
      <w:r w:rsidRPr="2145493A">
        <w:rPr>
          <w:b/>
          <w:bCs/>
        </w:rPr>
        <w:t xml:space="preserve"> and metabolism</w:t>
      </w:r>
      <w:bookmarkEnd w:id="5"/>
    </w:p>
    <w:p w14:paraId="030DF480" w14:textId="35BBA282" w:rsidR="0044366E" w:rsidRDefault="00064AFC" w:rsidP="00D4099C">
      <w:pPr>
        <w:spacing w:line="276" w:lineRule="auto"/>
      </w:pPr>
      <w:r w:rsidRPr="003737CB">
        <w:t>Sodium</w:t>
      </w:r>
      <w:r w:rsidR="003737CB">
        <w:t xml:space="preserve"> is an essential </w:t>
      </w:r>
      <w:r w:rsidR="008834E4">
        <w:t>mineral</w:t>
      </w:r>
      <w:r w:rsidRPr="003737CB">
        <w:t xml:space="preserve"> </w:t>
      </w:r>
      <w:r w:rsidR="00C739DD">
        <w:t xml:space="preserve">that plays a central role in maintaining the body’s fluid balance and supporting normal cellular function. It </w:t>
      </w:r>
      <w:r w:rsidRPr="003737CB">
        <w:t xml:space="preserve">is the main </w:t>
      </w:r>
      <w:r w:rsidR="001E3334">
        <w:t xml:space="preserve">extracellular </w:t>
      </w:r>
      <w:r w:rsidRPr="003737CB">
        <w:t>cation</w:t>
      </w:r>
      <w:r w:rsidR="001E3334">
        <w:t xml:space="preserve">, working closely with chloride to regulate extracellular volume and osmotic pressure. </w:t>
      </w:r>
      <w:r w:rsidR="00EF5072">
        <w:t xml:space="preserve">By controlling the movement of water between body compartments, sodium helps stabilise blood volume and supports adequate circulation to tissues. These functions are tightly co-ordinated with </w:t>
      </w:r>
      <w:r w:rsidR="0044366E">
        <w:t xml:space="preserve">intracellular </w:t>
      </w:r>
      <w:r w:rsidR="00EF5072">
        <w:t xml:space="preserve">potassium, </w:t>
      </w:r>
      <w:r w:rsidR="0044366E">
        <w:t xml:space="preserve">allowing the body to maintain distinct internal and external fluid environments. </w:t>
      </w:r>
    </w:p>
    <w:p w14:paraId="7B26B116" w14:textId="1B1BF1E8" w:rsidR="001A3BB5" w:rsidRDefault="0044366E" w:rsidP="00D4099C">
      <w:pPr>
        <w:spacing w:line="276" w:lineRule="auto"/>
      </w:pPr>
      <w:r>
        <w:t>At the cellular level, sodium plays a critical role in nutrient transport and enabling electrical activity. Specialised transport systems use sodium gradients to move</w:t>
      </w:r>
      <w:r w:rsidR="001A3BB5">
        <w:t xml:space="preserve"> </w:t>
      </w:r>
      <w:r w:rsidR="001A3BB5" w:rsidRPr="001A3BB5">
        <w:t xml:space="preserve">substances such as glucose and amino acids into cells, particularly in the </w:t>
      </w:r>
      <w:r w:rsidR="00C35CB1">
        <w:t>bowel</w:t>
      </w:r>
      <w:r w:rsidR="001A3BB5" w:rsidRPr="001A3BB5">
        <w:t xml:space="preserve"> and kidneys. Maintaining these gradients requires active energy use, reflecting sodium’s fundamental role in metabolism. Differences in sodium and potassium concentrations across cell membranes also generate electrical signals that underpin nerve transmission, muscle contraction, and heart rhythm, making sodium indispensable for neuromuscular and cardiovascular function.</w:t>
      </w:r>
    </w:p>
    <w:p w14:paraId="1605A37D" w14:textId="0431D306" w:rsidR="00637BB0" w:rsidRDefault="00637BB0" w:rsidP="00D4099C">
      <w:pPr>
        <w:spacing w:line="276" w:lineRule="auto"/>
      </w:pPr>
      <w:r w:rsidRPr="00637BB0">
        <w:t>Sodium balance is maintained through closely integrated hormonal and neural control systems</w:t>
      </w:r>
      <w:r w:rsidR="00F91C72">
        <w:t xml:space="preserve">, with </w:t>
      </w:r>
      <w:r w:rsidR="004D5F44">
        <w:t>the kidneys playing a central role in homeostasis, adjusting s</w:t>
      </w:r>
      <w:r w:rsidRPr="00637BB0">
        <w:t xml:space="preserve">odium excretion to </w:t>
      </w:r>
      <w:r w:rsidR="00F91C72">
        <w:t xml:space="preserve">maintain stable plasma sodium concentration despite </w:t>
      </w:r>
      <w:r w:rsidR="007426ED">
        <w:t>large day-to-day variation in intake</w:t>
      </w:r>
      <w:r w:rsidRPr="00637BB0">
        <w:t xml:space="preserve">. Hormones such as aldosterone and angiotensin regulate how much sodium is conserved or lost in urine, while thirst and water retention respond to changes in blood concentration and volume. In healthy individuals, these systems are highly effective, </w:t>
      </w:r>
      <w:r w:rsidR="00A73A67">
        <w:t xml:space="preserve">with </w:t>
      </w:r>
      <w:r w:rsidR="00187AC8">
        <w:t>h</w:t>
      </w:r>
      <w:r w:rsidR="00896645">
        <w:t>yponatraemia (low sodium concentration</w:t>
      </w:r>
      <w:r w:rsidR="00880AF3">
        <w:t xml:space="preserve"> in blood</w:t>
      </w:r>
      <w:r w:rsidR="00896645">
        <w:t xml:space="preserve">) </w:t>
      </w:r>
      <w:r w:rsidR="00A73A67">
        <w:t xml:space="preserve">typically </w:t>
      </w:r>
      <w:r w:rsidR="00070384">
        <w:t>occur</w:t>
      </w:r>
      <w:r w:rsidR="00A73A67">
        <w:t>ring</w:t>
      </w:r>
      <w:r w:rsidR="00070384">
        <w:t xml:space="preserve"> in the context of</w:t>
      </w:r>
      <w:r w:rsidR="0059009B">
        <w:t xml:space="preserve"> disorders of water or electrolyte balance rather than due to inadequate </w:t>
      </w:r>
      <w:r w:rsidR="00A73A67">
        <w:t xml:space="preserve">dietary sodium </w:t>
      </w:r>
      <w:r w:rsidR="0059009B">
        <w:t>intake</w:t>
      </w:r>
      <w:r w:rsidR="00863A6C">
        <w:t xml:space="preserve"> </w:t>
      </w:r>
      <w:r w:rsidR="00863A6C">
        <w:fldChar w:fldCharType="begin"/>
      </w:r>
      <w:r w:rsidR="00185BC5">
        <w:instrText xml:space="preserve"> ADDIN EN.CITE &lt;EndNote&gt;&lt;Cite ExcludeAuth="1"&gt;&lt;Author&gt;European Food Safety Authority&lt;/Author&gt;&lt;Year&gt;2019&lt;/Year&gt;&lt;RecNum&gt;1&lt;/RecNum&gt;&lt;Prefix&gt;EFSA`,&lt;/Prefix&gt;&lt;DisplayText&gt;(EFSA,2019)&lt;/DisplayText&gt;&lt;record&gt;&lt;rec-number&gt;1&lt;/rec-number&gt;&lt;foreign-keys&gt;&lt;key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rsidR="00863A6C">
        <w:fldChar w:fldCharType="separate"/>
      </w:r>
      <w:r w:rsidR="00863A6C">
        <w:rPr>
          <w:noProof/>
        </w:rPr>
        <w:t>(EFSA,2019)</w:t>
      </w:r>
      <w:r w:rsidR="00863A6C">
        <w:fldChar w:fldCharType="end"/>
      </w:r>
      <w:r w:rsidR="0059009B">
        <w:t>.</w:t>
      </w:r>
      <w:r w:rsidR="00070384">
        <w:t xml:space="preserve"> </w:t>
      </w:r>
      <w:r w:rsidR="00062EA3">
        <w:t xml:space="preserve">Similarly, </w:t>
      </w:r>
      <w:r w:rsidR="00917753">
        <w:t xml:space="preserve">these </w:t>
      </w:r>
      <w:r w:rsidR="00CD6176">
        <w:t xml:space="preserve">homeostatic mechanisms mean that </w:t>
      </w:r>
      <w:r w:rsidR="00062EA3">
        <w:t>acute effects of sodium excess</w:t>
      </w:r>
      <w:r w:rsidR="00026A80">
        <w:t xml:space="preserve"> </w:t>
      </w:r>
      <w:r w:rsidR="00A931B4">
        <w:t xml:space="preserve">from dietary intake are uncommon, typically arising from high sodium chloride ingestion (e.g. self-poisoning) or from clinical parenteral nutrition. </w:t>
      </w:r>
      <w:r w:rsidR="0081267B">
        <w:t xml:space="preserve">Indeed, </w:t>
      </w:r>
      <w:r w:rsidR="00917753">
        <w:t>hypernatremia</w:t>
      </w:r>
      <w:r w:rsidR="0081267B">
        <w:t xml:space="preserve"> (high serum sodium concentration) typically results from dehydration rather than high sodium intake. </w:t>
      </w:r>
      <w:r w:rsidRPr="00637BB0">
        <w:t>In contrast, long</w:t>
      </w:r>
      <w:r w:rsidRPr="00637BB0">
        <w:noBreakHyphen/>
        <w:t xml:space="preserve">term high sodium intake is strongly linked to increased </w:t>
      </w:r>
      <w:r w:rsidR="00B31731">
        <w:t xml:space="preserve">systolic </w:t>
      </w:r>
      <w:r w:rsidRPr="00637BB0">
        <w:t>blood pressure</w:t>
      </w:r>
      <w:r w:rsidR="00B31731">
        <w:t xml:space="preserve">, which is an independent risk factor for </w:t>
      </w:r>
      <w:r w:rsidRPr="00637BB0">
        <w:t>cardiovascular disease</w:t>
      </w:r>
      <w:r w:rsidR="00B31731">
        <w:t xml:space="preserve"> morbidity and mortality</w:t>
      </w:r>
      <w:r w:rsidRPr="00637BB0">
        <w:t>, highlighting the importance of maintaining sodium intake within a range that supports physiological needs without promoting chronic disease.</w:t>
      </w:r>
    </w:p>
    <w:p w14:paraId="7E3BE939" w14:textId="49FB3320" w:rsidR="0069258E" w:rsidRDefault="0069258E" w:rsidP="0069258E">
      <w:pPr>
        <w:spacing w:line="276" w:lineRule="auto"/>
      </w:pPr>
      <w:r>
        <w:t xml:space="preserve">These paragraphs provide a summary of the function, physiology and metabolism of sodium in humans, based on the information provided in EFSA’s Dietary Reference Values for sodium </w:t>
      </w:r>
      <w:r>
        <w:fldChar w:fldCharType="begin"/>
      </w:r>
      <w:r>
        <w:instrText xml:space="preserve"> ADDIN EN.CITE &lt;EndNote&gt;&lt;Cite ExcludeAuth="1"&gt;&lt;Author&gt;European Food Safety Authority&lt;/Author&gt;&lt;Year&gt;2019&lt;/Year&gt;&lt;RecNum&gt;1&lt;/RecNum&gt;&lt;Prefix&gt;EFSA`,&lt;/Prefix&gt;&lt;DisplayText&gt;(EFSA,2019)&lt;/DisplayText&gt;&lt;record&gt;&lt;rec-number&gt;1&lt;/rec-number&gt;&lt;foreign-keys&gt;&lt;key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fldChar w:fldCharType="separate"/>
      </w:r>
      <w:r>
        <w:rPr>
          <w:noProof/>
        </w:rPr>
        <w:t>(EFSA,2019)</w:t>
      </w:r>
      <w:r>
        <w:fldChar w:fldCharType="end"/>
      </w:r>
      <w:r>
        <w:t>. Refer to Section 2 of EFSA’s report for more comprehensive information.</w:t>
      </w:r>
    </w:p>
    <w:p w14:paraId="055F1E38" w14:textId="5B32B888" w:rsidR="000B079E" w:rsidRDefault="00C939DD" w:rsidP="00C44EA6">
      <w:pPr>
        <w:pStyle w:val="Heading2"/>
        <w:tabs>
          <w:tab w:val="left" w:pos="5546"/>
        </w:tabs>
        <w:rPr>
          <w:b/>
          <w:bCs/>
        </w:rPr>
      </w:pPr>
      <w:bookmarkStart w:id="6" w:name="_Toc234960808"/>
      <w:r w:rsidRPr="2145493A">
        <w:rPr>
          <w:b/>
          <w:bCs/>
        </w:rPr>
        <w:t xml:space="preserve">Dietary sources of </w:t>
      </w:r>
      <w:r w:rsidR="00C85052" w:rsidRPr="2145493A">
        <w:rPr>
          <w:b/>
          <w:bCs/>
        </w:rPr>
        <w:t>s</w:t>
      </w:r>
      <w:r w:rsidR="00E80839">
        <w:rPr>
          <w:b/>
          <w:bCs/>
        </w:rPr>
        <w:t>odium</w:t>
      </w:r>
      <w:bookmarkEnd w:id="6"/>
    </w:p>
    <w:p w14:paraId="4D586EC6" w14:textId="5097A745" w:rsidR="00AD1242" w:rsidRDefault="00AE3FBC" w:rsidP="00D4099C">
      <w:pPr>
        <w:spacing w:line="276" w:lineRule="auto"/>
      </w:pPr>
      <w:r w:rsidRPr="00776D7C">
        <w:t>Sodium is present in small amounts in all unprocessed foods</w:t>
      </w:r>
      <w:r w:rsidR="00A426CA" w:rsidRPr="00776D7C">
        <w:t>, including meat and fish</w:t>
      </w:r>
      <w:r w:rsidR="00940F6B" w:rsidRPr="00776D7C">
        <w:t xml:space="preserve"> </w:t>
      </w:r>
      <w:r w:rsidR="00A426CA" w:rsidRPr="00776D7C">
        <w:t>(between 30 and 150mg per 100g) and fruits and vegetables (less than 50mg per 100g)</w:t>
      </w:r>
      <w:r w:rsidR="00863A6C" w:rsidRPr="00863A6C">
        <w:t xml:space="preserve"> </w:t>
      </w:r>
      <w:r w:rsidR="00863A6C">
        <w:fldChar w:fldCharType="begin"/>
      </w:r>
      <w:r w:rsidR="00185BC5">
        <w:instrText xml:space="preserve"> ADDIN EN.CITE &lt;EndNote&gt;&lt;Cite ExcludeAuth="1"&gt;&lt;Author&gt;European Food Safety Authority&lt;/Author&gt;&lt;Year&gt;2019&lt;/Year&gt;&lt;RecNum&gt;1&lt;/RecNum&gt;&lt;Prefix&gt;EFSA`,&lt;/Prefix&gt;&lt;DisplayText&gt;(EFSA,2019)&lt;/DisplayText&gt;&lt;record&gt;&lt;rec-number&gt;1&lt;/rec-number&gt;&lt;foreign-keys&gt;&lt;key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rsidR="00863A6C">
        <w:fldChar w:fldCharType="separate"/>
      </w:r>
      <w:r w:rsidR="00863A6C">
        <w:rPr>
          <w:noProof/>
        </w:rPr>
        <w:t>(EFSA,2019)</w:t>
      </w:r>
      <w:r w:rsidR="00863A6C">
        <w:fldChar w:fldCharType="end"/>
      </w:r>
      <w:r w:rsidR="00A426CA" w:rsidRPr="00776D7C">
        <w:t xml:space="preserve">. </w:t>
      </w:r>
      <w:r w:rsidR="00B470FF" w:rsidRPr="00776D7C">
        <w:t xml:space="preserve">However, </w:t>
      </w:r>
      <w:r w:rsidR="000819F1" w:rsidRPr="00776D7C">
        <w:t xml:space="preserve">the predominant source of dietary sodium is </w:t>
      </w:r>
      <w:r w:rsidR="00EE0A8E" w:rsidRPr="00776D7C">
        <w:t>through the addition of sodium chloride or ‘salt’ to foods during manufacturing or processing, cooking or at the table</w:t>
      </w:r>
      <w:r w:rsidR="00766ADB">
        <w:t xml:space="preserve">. </w:t>
      </w:r>
      <w:r w:rsidR="008A4704">
        <w:t>Specific d</w:t>
      </w:r>
      <w:r w:rsidR="00EC2ECA">
        <w:t xml:space="preserve">ata on </w:t>
      </w:r>
      <w:r w:rsidR="00EC2ECA">
        <w:lastRenderedPageBreak/>
        <w:t xml:space="preserve">the sodium content of diet or the food supply in Australia and New Zealand is </w:t>
      </w:r>
      <w:r w:rsidR="008A4704">
        <w:t xml:space="preserve">presented </w:t>
      </w:r>
      <w:r w:rsidR="00EC2ECA">
        <w:t xml:space="preserve">under </w:t>
      </w:r>
      <w:r w:rsidR="008A4704">
        <w:t>‘</w:t>
      </w:r>
      <w:r w:rsidR="008A4704">
        <w:fldChar w:fldCharType="begin"/>
      </w:r>
      <w:r w:rsidR="008A4704">
        <w:instrText xml:space="preserve"> REF _Ref228784226 \h  \* MERGEFORMAT </w:instrText>
      </w:r>
      <w:r w:rsidR="008A4704">
        <w:fldChar w:fldCharType="separate"/>
      </w:r>
      <w:r w:rsidR="00074E84" w:rsidRPr="00074E84">
        <w:t>Australian and New Zealand nutrition context</w:t>
      </w:r>
      <w:r w:rsidR="008A4704">
        <w:fldChar w:fldCharType="end"/>
      </w:r>
      <w:r w:rsidR="008A4704">
        <w:t xml:space="preserve">’ on page </w:t>
      </w:r>
      <w:r w:rsidR="008A4704">
        <w:fldChar w:fldCharType="begin"/>
      </w:r>
      <w:r w:rsidR="008A4704">
        <w:instrText xml:space="preserve"> PAGEREF _Ref228784254 \h </w:instrText>
      </w:r>
      <w:r w:rsidR="008A4704">
        <w:fldChar w:fldCharType="separate"/>
      </w:r>
      <w:r w:rsidR="00074E84">
        <w:rPr>
          <w:noProof/>
        </w:rPr>
        <w:t>27</w:t>
      </w:r>
      <w:r w:rsidR="008A4704">
        <w:fldChar w:fldCharType="end"/>
      </w:r>
      <w:r w:rsidR="008A4704">
        <w:t>.</w:t>
      </w:r>
    </w:p>
    <w:p w14:paraId="2F823720" w14:textId="27FB6A7C" w:rsidR="00923AE9" w:rsidRDefault="00923AE9" w:rsidP="00C44EA6">
      <w:pPr>
        <w:pStyle w:val="Heading2"/>
        <w:tabs>
          <w:tab w:val="left" w:pos="5546"/>
        </w:tabs>
        <w:rPr>
          <w:b/>
          <w:bCs/>
        </w:rPr>
      </w:pPr>
      <w:bookmarkStart w:id="7" w:name="_Toc234960809"/>
      <w:r w:rsidRPr="2145493A">
        <w:rPr>
          <w:b/>
          <w:bCs/>
        </w:rPr>
        <w:t>Bioavailability</w:t>
      </w:r>
      <w:r w:rsidR="00C939DD" w:rsidRPr="2145493A">
        <w:rPr>
          <w:b/>
          <w:bCs/>
        </w:rPr>
        <w:t xml:space="preserve"> </w:t>
      </w:r>
      <w:r w:rsidR="007D7D68">
        <w:rPr>
          <w:b/>
          <w:bCs/>
        </w:rPr>
        <w:t xml:space="preserve">and other </w:t>
      </w:r>
      <w:r w:rsidR="00C939DD" w:rsidRPr="2145493A">
        <w:rPr>
          <w:b/>
          <w:bCs/>
        </w:rPr>
        <w:t>factors</w:t>
      </w:r>
      <w:bookmarkEnd w:id="7"/>
      <w:r w:rsidRPr="2145493A">
        <w:rPr>
          <w:b/>
          <w:bCs/>
        </w:rPr>
        <w:t xml:space="preserve"> </w:t>
      </w:r>
    </w:p>
    <w:p w14:paraId="1003D63A" w14:textId="5076C5E6" w:rsidR="000B5C57" w:rsidRDefault="000B5C57" w:rsidP="00D4099C">
      <w:pPr>
        <w:spacing w:line="276" w:lineRule="auto"/>
      </w:pPr>
      <w:r w:rsidRPr="000B5C57">
        <w:t xml:space="preserve">Most dietary sodium is efficiently absorbed from the gastrointestinal tract, regardless of intake level, and is rapidly distributed throughout the extracellular fluid. While </w:t>
      </w:r>
      <w:r w:rsidR="00BF491B" w:rsidRPr="000B5C57">
        <w:t xml:space="preserve">most </w:t>
      </w:r>
      <w:r w:rsidRPr="000B5C57">
        <w:t>sodium remains outside cells, substantial amounts are also stored in bone, muscle, and skin</w:t>
      </w:r>
      <w:r w:rsidR="008361B5">
        <w:t xml:space="preserve"> </w:t>
      </w:r>
      <w:r w:rsidR="008361B5">
        <w:fldChar w:fldCharType="begin">
          <w:fldData xml:space="preserve">PEVuZE5vdGU+PENpdGU+PEF1dGhvcj5XYW5nPC9BdXRob3I+PFllYXI+MjAxNzwvWWVhcj48UmVj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</w:fldData>
        </w:fldChar>
      </w:r>
      <w:r w:rsidR="008361B5">
        <w:instrText xml:space="preserve"> ADDIN EN.CITE </w:instrText>
      </w:r>
      <w:r w:rsidR="008361B5">
        <w:fldChar w:fldCharType="begin">
          <w:fldData xml:space="preserve">PEVuZE5vdGU+PENpdGU+PEF1dGhvcj5XYW5nPC9BdXRob3I+PFllYXI+MjAxNzwvWWVhcj48UmVj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</w:fldData>
        </w:fldChar>
      </w:r>
      <w:r w:rsidR="008361B5">
        <w:instrText xml:space="preserve"> ADDIN EN.CITE.DATA </w:instrText>
      </w:r>
      <w:r w:rsidR="008361B5">
        <w:fldChar w:fldCharType="end"/>
      </w:r>
      <w:r w:rsidR="008361B5">
        <w:fldChar w:fldCharType="separate"/>
      </w:r>
      <w:r w:rsidR="008361B5">
        <w:rPr>
          <w:noProof/>
        </w:rPr>
        <w:t>(Wang et al., 2017)</w:t>
      </w:r>
      <w:r w:rsidR="008361B5">
        <w:fldChar w:fldCharType="end"/>
      </w:r>
      <w:r w:rsidR="008361B5">
        <w:t xml:space="preserve">. </w:t>
      </w:r>
      <w:r w:rsidRPr="000B5C57">
        <w:t>These tissue stores appear to act as flexible reservoirs, allowing the body to buffer changes in intake without large shifts in blood sodium levels or body weight. Emerging evidence suggests that sodium content in these tissues can vary over time and may influence long</w:t>
      </w:r>
      <w:r w:rsidRPr="000B5C57">
        <w:noBreakHyphen/>
        <w:t>term blood pressure regulation.</w:t>
      </w:r>
    </w:p>
    <w:p w14:paraId="02227371" w14:textId="33A97B78" w:rsidR="00B33CD5" w:rsidRPr="00B33CD5" w:rsidRDefault="00CA4F89" w:rsidP="00C44EA6">
      <w:pPr>
        <w:pStyle w:val="Heading2"/>
        <w:tabs>
          <w:tab w:val="left" w:pos="5546"/>
        </w:tabs>
        <w:rPr>
          <w:b/>
          <w:bCs/>
        </w:rPr>
      </w:pPr>
      <w:bookmarkStart w:id="8" w:name="_Toc179801720"/>
      <w:bookmarkStart w:id="9" w:name="_Toc234960810"/>
      <w:r>
        <w:rPr>
          <w:b/>
          <w:bCs/>
        </w:rPr>
        <w:t>Measur</w:t>
      </w:r>
      <w:r w:rsidR="00C70824">
        <w:rPr>
          <w:b/>
          <w:bCs/>
        </w:rPr>
        <w:t xml:space="preserve">ement of </w:t>
      </w:r>
      <w:r w:rsidR="00E80839">
        <w:rPr>
          <w:b/>
          <w:bCs/>
        </w:rPr>
        <w:t>sodium</w:t>
      </w:r>
      <w:r w:rsidR="005849D4" w:rsidRPr="2145493A">
        <w:rPr>
          <w:b/>
          <w:bCs/>
        </w:rPr>
        <w:t xml:space="preserve"> intake</w:t>
      </w:r>
      <w:bookmarkEnd w:id="8"/>
      <w:bookmarkEnd w:id="9"/>
    </w:p>
    <w:p w14:paraId="7F4BF8CB" w14:textId="77777777" w:rsidR="00290D97" w:rsidRPr="00701EF4" w:rsidRDefault="00290D97" w:rsidP="00E532F6">
      <w:pPr>
        <w:pStyle w:val="Heading3"/>
        <w:spacing w:line="240" w:lineRule="auto"/>
      </w:pPr>
      <w:bookmarkStart w:id="10" w:name="_Toc234960811"/>
      <w:r w:rsidRPr="00701EF4">
        <w:t>Biomarkers of sodium intake</w:t>
      </w:r>
      <w:bookmarkEnd w:id="10"/>
      <w:r w:rsidRPr="00701EF4">
        <w:t> </w:t>
      </w:r>
    </w:p>
    <w:p w14:paraId="4C663205" w14:textId="7A55302A" w:rsidR="00290D97" w:rsidRPr="007E13FC" w:rsidRDefault="00290D97" w:rsidP="00D4099C">
      <w:pPr>
        <w:spacing w:line="276" w:lineRule="auto"/>
      </w:pPr>
      <w:r w:rsidRPr="00A84E25">
        <w:rPr>
          <w:lang w:val="en-NZ"/>
        </w:rPr>
        <w:t xml:space="preserve">In healthy </w:t>
      </w:r>
      <w:r w:rsidR="0018407A" w:rsidRPr="00A84E25">
        <w:rPr>
          <w:lang w:val="en-NZ"/>
        </w:rPr>
        <w:t>people</w:t>
      </w:r>
      <w:r w:rsidR="006D0C0A" w:rsidRPr="00A84E25">
        <w:rPr>
          <w:lang w:val="en-NZ"/>
        </w:rPr>
        <w:t xml:space="preserve"> most dietary sodium is excreted via urine (around 90%)</w:t>
      </w:r>
      <w:r w:rsidR="00266BD7" w:rsidRPr="00A84E25">
        <w:rPr>
          <w:lang w:val="en-NZ"/>
        </w:rPr>
        <w:t>, with s</w:t>
      </w:r>
      <w:r w:rsidR="00F7027A" w:rsidRPr="00A84E25">
        <w:rPr>
          <w:lang w:val="en-NZ"/>
        </w:rPr>
        <w:t xml:space="preserve">ome </w:t>
      </w:r>
      <w:r w:rsidRPr="00A84E25">
        <w:rPr>
          <w:lang w:val="en-NZ"/>
        </w:rPr>
        <w:t xml:space="preserve">sodium lost in sweat and faeces </w:t>
      </w:r>
      <w:r w:rsidR="001E5A84" w:rsidRPr="00A84E25">
        <w:rPr>
          <w:lang w:val="en-NZ"/>
        </w:rPr>
        <w:fldChar w:fldCharType="begin"/>
      </w:r>
      <w:r w:rsidR="00185BC5">
        <w:rPr>
          <w:lang w:val="en-NZ"/>
        </w:rPr>
        <w:instrText xml:space="preserve"> ADDIN EN.CITE &lt;EndNote&gt;&lt;Cite&gt;&lt;Author&gt;He&lt;/Author&gt;&lt;Year&gt;2010&lt;/Year&gt;&lt;RecNum&gt;2&lt;/RecNum&gt;&lt;DisplayText&gt;(He &amp;amp; MacGregor, 2010)&lt;/DisplayText&gt;&lt;record&gt;&lt;rec-number&gt;2&lt;/rec-number&gt;&lt;foreign-keys&gt;&lt;key app="EN" db-id="s590v22vexrwt2e9f9pxtw9mrep5aa2dr2s0" timestamp="1774919572"&gt;2&lt;/key&gt;&lt;/foreign-keys&gt;&lt;ref-type name="Journal Article"&gt;17&lt;/ref-type&gt;&lt;contributors&gt;&lt;authors&gt;&lt;author&gt;He, F. J.&lt;/author&gt;&lt;author&gt;MacGregor, G. A.&lt;/author&gt;&lt;/authors&gt;&lt;/contributors&gt;&lt;auth-address&gt;Wolfson Institute of Preventive Medicine, Barts and The London School of Medicine and Dentistry, Queen Mary University of London, London, UK. f.he@qmul.ac.uk&lt;/auth-address&gt;&lt;titles&gt;&lt;title&gt;Reducing population salt intake worldwide: from evidence to implementation&lt;/title&gt;&lt;secondary-title&gt;Prog Cardiovasc Dis&lt;/secondary-title&gt;&lt;/titles&gt;&lt;periodical&gt;&lt;full-title&gt;Prog Cardiovasc Dis&lt;/full-title&gt;&lt;/periodical&gt;&lt;pages&gt;363-82&lt;/pages&gt;&lt;volume&gt;52&lt;/volume&gt;&lt;number&gt;5&lt;/number&gt;&lt;keywords&gt;&lt;keyword&gt;Animals&lt;/keyword&gt;&lt;keyword&gt;Blood Pressure&lt;/keyword&gt;&lt;keyword&gt;Cardiovascular Diseases/economics/etiology/physiopathology/*prevention &amp;amp; control&lt;/keyword&gt;&lt;keyword&gt;Cost-Benefit Analysis&lt;/keyword&gt;&lt;keyword&gt;*Diet, Sodium-Restricted/economics&lt;/keyword&gt;&lt;keyword&gt;Evidence-Based Medicine&lt;/keyword&gt;&lt;keyword&gt;Food Industry&lt;/keyword&gt;&lt;keyword&gt;*Global Health&lt;/keyword&gt;&lt;keyword&gt;Health Care Costs&lt;/keyword&gt;&lt;keyword&gt;Health Promotion&lt;/keyword&gt;&lt;keyword&gt;Humans&lt;/keyword&gt;&lt;keyword&gt;Hypertension/economics/etiology/physiopathology/*prevention &amp;amp; control&lt;/keyword&gt;&lt;keyword&gt;*Nutrition Policy&lt;/keyword&gt;&lt;keyword&gt;Public Health&lt;/keyword&gt;&lt;keyword&gt;Risk Assessment&lt;/keyword&gt;&lt;keyword&gt;Risk Factors&lt;/keyword&gt;&lt;keyword&gt;Risk Reduction Behavior&lt;/keyword&gt;&lt;keyword&gt;Sodium Chloride, Dietary/*adverse effects&lt;/keyword&gt;&lt;/keywords&gt;&lt;dates&gt;&lt;year&gt;2010&lt;/year&gt;&lt;pub-dates&gt;&lt;date&gt;Mar-Apr&lt;/date&gt;&lt;/pub-dates&gt;&lt;/dates&gt;&lt;isbn&gt;0033-0620&lt;/isbn&gt;&lt;accession-num&gt;20226955&lt;/accession-num&gt;&lt;urls&gt;&lt;/urls&gt;&lt;electronic-resource-num&gt;10.1016/j.pcad.2009.12.006&lt;/electronic-resource-num&gt;&lt;remote-database-provider&gt;NLM&lt;/remote-database-provider&gt;&lt;language&gt;eng&lt;/language&gt;&lt;/record&gt;&lt;/Cite&gt;&lt;/EndNote&gt;</w:instrText>
      </w:r>
      <w:r w:rsidR="001E5A84" w:rsidRPr="00A84E25">
        <w:rPr>
          <w:lang w:val="en-NZ"/>
        </w:rPr>
        <w:fldChar w:fldCharType="separate"/>
      </w:r>
      <w:r w:rsidR="001E5A84" w:rsidRPr="00A84E25">
        <w:rPr>
          <w:noProof/>
          <w:lang w:val="en-NZ"/>
        </w:rPr>
        <w:t>(He &amp; MacGregor, 2010)</w:t>
      </w:r>
      <w:r w:rsidR="001E5A84" w:rsidRPr="00A84E25">
        <w:rPr>
          <w:lang w:val="en-NZ"/>
        </w:rPr>
        <w:fldChar w:fldCharType="end"/>
      </w:r>
      <w:r w:rsidRPr="00A84E25">
        <w:rPr>
          <w:lang w:val="en-NZ"/>
        </w:rPr>
        <w:t xml:space="preserve">. </w:t>
      </w:r>
      <w:r w:rsidR="00FE02CA" w:rsidRPr="00A84E25">
        <w:rPr>
          <w:lang w:val="en-NZ"/>
        </w:rPr>
        <w:t>Estimating</w:t>
      </w:r>
      <w:r w:rsidR="00F7027A" w:rsidRPr="00A84E25">
        <w:rPr>
          <w:lang w:val="en-NZ"/>
        </w:rPr>
        <w:t xml:space="preserve"> </w:t>
      </w:r>
      <w:r w:rsidRPr="00A84E25">
        <w:rPr>
          <w:lang w:val="en-NZ"/>
        </w:rPr>
        <w:t xml:space="preserve">sodium </w:t>
      </w:r>
      <w:r w:rsidR="00CD6E6A">
        <w:rPr>
          <w:lang w:val="en-NZ"/>
        </w:rPr>
        <w:t xml:space="preserve">intake </w:t>
      </w:r>
      <w:r w:rsidR="004A6532" w:rsidRPr="00A84E25">
        <w:rPr>
          <w:lang w:val="en-NZ"/>
        </w:rPr>
        <w:t xml:space="preserve">from </w:t>
      </w:r>
      <w:r w:rsidRPr="00A84E25">
        <w:rPr>
          <w:lang w:val="en-NZ"/>
        </w:rPr>
        <w:t>24-hour urine sample</w:t>
      </w:r>
      <w:r w:rsidR="00CD6E6A">
        <w:rPr>
          <w:lang w:val="en-NZ"/>
        </w:rPr>
        <w:t>s</w:t>
      </w:r>
      <w:r w:rsidRPr="00A84E25">
        <w:rPr>
          <w:lang w:val="en-NZ"/>
        </w:rPr>
        <w:t xml:space="preserve"> is </w:t>
      </w:r>
      <w:r w:rsidR="004A6532" w:rsidRPr="00A84E25">
        <w:rPr>
          <w:lang w:val="en-NZ"/>
        </w:rPr>
        <w:t xml:space="preserve">generally </w:t>
      </w:r>
      <w:r w:rsidRPr="00A84E25">
        <w:rPr>
          <w:lang w:val="en-NZ"/>
        </w:rPr>
        <w:t>considered to be the</w:t>
      </w:r>
      <w:r w:rsidR="002A7AD0" w:rsidRPr="00A84E25">
        <w:rPr>
          <w:lang w:val="en-NZ"/>
        </w:rPr>
        <w:t xml:space="preserve"> </w:t>
      </w:r>
      <w:r w:rsidR="002C403F" w:rsidRPr="00A84E25">
        <w:rPr>
          <w:lang w:val="en-NZ"/>
        </w:rPr>
        <w:t xml:space="preserve">best available </w:t>
      </w:r>
      <w:r w:rsidRPr="00A84E25">
        <w:rPr>
          <w:lang w:val="en-NZ"/>
        </w:rPr>
        <w:t xml:space="preserve">method </w:t>
      </w:r>
      <w:r w:rsidR="008643C1" w:rsidRPr="00A84E25">
        <w:rPr>
          <w:lang w:val="en-NZ"/>
        </w:rPr>
        <w:fldChar w:fldCharType="begin">
          <w:fldData xml:space="preserve">PEVuZE5vdGU+PENpdGU+PEF1dGhvcj5NY0xlYW48L0F1dGhvcj48WWVhcj4yMDE4PC9ZZWFyPjxS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</w:fldData>
        </w:fldChar>
      </w:r>
      <w:r w:rsidR="00403A9D">
        <w:rPr>
          <w:lang w:val="en-NZ"/>
        </w:rPr>
        <w:instrText xml:space="preserve"> ADDIN EN.CITE </w:instrText>
      </w:r>
      <w:r w:rsidR="00403A9D">
        <w:rPr>
          <w:lang w:val="en-NZ"/>
        </w:rPr>
        <w:fldChar w:fldCharType="begin">
          <w:fldData xml:space="preserve">PEVuZE5vdGU+PENpdGU+PEF1dGhvcj5NY0xlYW48L0F1dGhvcj48WWVhcj4yMDE4PC9ZZWFyPjxS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</w:fldData>
        </w:fldChar>
      </w:r>
      <w:r w:rsidR="00403A9D">
        <w:rPr>
          <w:lang w:val="en-NZ"/>
        </w:rPr>
        <w:instrText xml:space="preserve"> ADDIN EN.CITE.DATA </w:instrText>
      </w:r>
      <w:r w:rsidR="00403A9D">
        <w:rPr>
          <w:lang w:val="en-NZ"/>
        </w:rPr>
      </w:r>
      <w:r w:rsidR="00403A9D">
        <w:rPr>
          <w:lang w:val="en-NZ"/>
        </w:rPr>
        <w:fldChar w:fldCharType="end"/>
      </w:r>
      <w:r w:rsidR="008643C1" w:rsidRPr="00A84E25">
        <w:rPr>
          <w:lang w:val="en-NZ"/>
        </w:rPr>
      </w:r>
      <w:r w:rsidR="008643C1" w:rsidRPr="00A84E25">
        <w:rPr>
          <w:lang w:val="en-NZ"/>
        </w:rPr>
        <w:fldChar w:fldCharType="separate"/>
      </w:r>
      <w:r w:rsidR="00403A9D">
        <w:rPr>
          <w:noProof/>
          <w:lang w:val="en-NZ"/>
        </w:rPr>
        <w:t>(McLean, Farmer, et al., 2018)</w:t>
      </w:r>
      <w:r w:rsidR="008643C1" w:rsidRPr="00A84E25">
        <w:rPr>
          <w:lang w:val="en-NZ"/>
        </w:rPr>
        <w:fldChar w:fldCharType="end"/>
      </w:r>
      <w:r w:rsidRPr="00A84E25">
        <w:rPr>
          <w:lang w:val="en-NZ"/>
        </w:rPr>
        <w:t xml:space="preserve">. </w:t>
      </w:r>
    </w:p>
    <w:p w14:paraId="4230B736" w14:textId="7247637A" w:rsidR="00290D97" w:rsidRDefault="00290D97" w:rsidP="00D4099C">
      <w:pPr>
        <w:spacing w:line="276" w:lineRule="auto"/>
        <w:rPr>
          <w:lang w:val="en-NZ"/>
        </w:rPr>
      </w:pPr>
      <w:proofErr w:type="gramStart"/>
      <w:r w:rsidRPr="007E13FC">
        <w:rPr>
          <w:lang w:val="en-NZ"/>
        </w:rPr>
        <w:t>Twenty-four hour</w:t>
      </w:r>
      <w:proofErr w:type="gramEnd"/>
      <w:r w:rsidRPr="007E13FC">
        <w:rPr>
          <w:lang w:val="en-NZ"/>
        </w:rPr>
        <w:t xml:space="preserve"> urine samples can be affected by day-to-day variation</w:t>
      </w:r>
      <w:r w:rsidR="00193F85">
        <w:rPr>
          <w:lang w:val="en-NZ"/>
        </w:rPr>
        <w:t>s</w:t>
      </w:r>
      <w:r w:rsidR="002A340E">
        <w:rPr>
          <w:lang w:val="en-NZ"/>
        </w:rPr>
        <w:t>.</w:t>
      </w:r>
      <w:r w:rsidR="00DE7A15">
        <w:rPr>
          <w:lang w:val="en-NZ"/>
        </w:rPr>
        <w:t xml:space="preserve"> </w:t>
      </w:r>
      <w:r w:rsidR="002A340E">
        <w:rPr>
          <w:lang w:val="en-NZ"/>
        </w:rPr>
        <w:t xml:space="preserve">Indeed, </w:t>
      </w:r>
      <w:r w:rsidR="007C412D">
        <w:rPr>
          <w:lang w:val="en-NZ"/>
        </w:rPr>
        <w:t xml:space="preserve">evidence suggests that salt intake may increase by up to 14% over weekends compared with week-day intakes </w:t>
      </w:r>
      <w:r w:rsidR="007C412D">
        <w:rPr>
          <w:lang w:val="en-NZ"/>
        </w:rPr>
        <w:fldChar w:fldCharType="begin">
          <w:fldData xml:space="preserve">PEVuZE5vdGU+PENpdGU+PEF1dGhvcj5Ob3dzb248L0F1dGhvcj48WWVhcj4yMDE4PC9ZZWFyPjxS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</w:fldData>
        </w:fldChar>
      </w:r>
      <w:r w:rsidR="007C412D">
        <w:rPr>
          <w:lang w:val="en-NZ"/>
        </w:rPr>
        <w:instrText xml:space="preserve"> ADDIN EN.CITE </w:instrText>
      </w:r>
      <w:r w:rsidR="007C412D">
        <w:rPr>
          <w:lang w:val="en-NZ"/>
        </w:rPr>
        <w:fldChar w:fldCharType="begin">
          <w:fldData xml:space="preserve">PEVuZE5vdGU+PENpdGU+PEF1dGhvcj5Ob3dzb248L0F1dGhvcj48WWVhcj4yMDE4PC9ZZWFyPjxS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</w:fldData>
        </w:fldChar>
      </w:r>
      <w:r w:rsidR="007C412D">
        <w:rPr>
          <w:lang w:val="en-NZ"/>
        </w:rPr>
        <w:instrText xml:space="preserve"> ADDIN EN.CITE.DATA </w:instrText>
      </w:r>
      <w:r w:rsidR="007C412D">
        <w:rPr>
          <w:lang w:val="en-NZ"/>
        </w:rPr>
      </w:r>
      <w:r w:rsidR="007C412D">
        <w:rPr>
          <w:lang w:val="en-NZ"/>
        </w:rPr>
        <w:fldChar w:fldCharType="end"/>
      </w:r>
      <w:r w:rsidR="007C412D">
        <w:rPr>
          <w:lang w:val="en-NZ"/>
        </w:rPr>
      </w:r>
      <w:r w:rsidR="007C412D">
        <w:rPr>
          <w:lang w:val="en-NZ"/>
        </w:rPr>
        <w:fldChar w:fldCharType="separate"/>
      </w:r>
      <w:r w:rsidR="007C412D">
        <w:rPr>
          <w:noProof/>
          <w:lang w:val="en-NZ"/>
        </w:rPr>
        <w:t>(Nowson et al., 2018)</w:t>
      </w:r>
      <w:r w:rsidR="007C412D">
        <w:rPr>
          <w:lang w:val="en-NZ"/>
        </w:rPr>
        <w:fldChar w:fldCharType="end"/>
      </w:r>
      <w:r w:rsidR="007C412D">
        <w:rPr>
          <w:lang w:val="en-NZ"/>
        </w:rPr>
        <w:t xml:space="preserve">. </w:t>
      </w:r>
      <w:r w:rsidR="00EF7EF6">
        <w:rPr>
          <w:lang w:val="en-NZ"/>
        </w:rPr>
        <w:t>Consequently, whilst a single collection is sufficient for estimating population mean intake, r</w:t>
      </w:r>
      <w:r w:rsidRPr="007E13FC">
        <w:rPr>
          <w:lang w:val="en-NZ"/>
        </w:rPr>
        <w:t>epeat 24-h</w:t>
      </w:r>
      <w:r w:rsidR="002A340E">
        <w:rPr>
          <w:lang w:val="en-NZ"/>
        </w:rPr>
        <w:t>our</w:t>
      </w:r>
      <w:r w:rsidRPr="007E13FC">
        <w:rPr>
          <w:lang w:val="en-NZ"/>
        </w:rPr>
        <w:t xml:space="preserve"> collections </w:t>
      </w:r>
      <w:r w:rsidR="00F33F1E" w:rsidRPr="007E13FC">
        <w:rPr>
          <w:lang w:val="en-NZ"/>
        </w:rPr>
        <w:t>provid</w:t>
      </w:r>
      <w:r w:rsidR="002A340E">
        <w:rPr>
          <w:lang w:val="en-NZ"/>
        </w:rPr>
        <w:t>e</w:t>
      </w:r>
      <w:r w:rsidR="00F33F1E" w:rsidRPr="007E13FC">
        <w:rPr>
          <w:lang w:val="en-NZ"/>
        </w:rPr>
        <w:t xml:space="preserve"> better estimates of </w:t>
      </w:r>
      <w:r w:rsidR="00EF7EF6">
        <w:rPr>
          <w:lang w:val="en-NZ"/>
        </w:rPr>
        <w:t xml:space="preserve">individual </w:t>
      </w:r>
      <w:r w:rsidR="00C1238B">
        <w:rPr>
          <w:lang w:val="en-NZ"/>
        </w:rPr>
        <w:t xml:space="preserve">usual (habitual) intake. However, this </w:t>
      </w:r>
      <w:r w:rsidR="005A6C31" w:rsidRPr="007E13FC">
        <w:rPr>
          <w:lang w:val="en-NZ"/>
        </w:rPr>
        <w:t>significantly</w:t>
      </w:r>
      <w:r w:rsidR="009B16DC" w:rsidRPr="007E13FC">
        <w:rPr>
          <w:lang w:val="en-NZ"/>
        </w:rPr>
        <w:t xml:space="preserve"> increases </w:t>
      </w:r>
      <w:r w:rsidR="007E13FC" w:rsidRPr="007E13FC">
        <w:rPr>
          <w:lang w:val="en-NZ"/>
        </w:rPr>
        <w:t xml:space="preserve">the </w:t>
      </w:r>
      <w:r w:rsidR="009B16DC" w:rsidRPr="007E13FC">
        <w:rPr>
          <w:lang w:val="en-NZ"/>
        </w:rPr>
        <w:t xml:space="preserve">burden </w:t>
      </w:r>
      <w:r w:rsidR="007E13FC" w:rsidRPr="007E13FC">
        <w:rPr>
          <w:lang w:val="en-NZ"/>
        </w:rPr>
        <w:t xml:space="preserve">on respondents </w:t>
      </w:r>
      <w:r w:rsidR="005A6C31" w:rsidRPr="007E13FC">
        <w:rPr>
          <w:lang w:val="en-NZ"/>
        </w:rPr>
        <w:t xml:space="preserve">and the risk of </w:t>
      </w:r>
      <w:r w:rsidRPr="007E13FC">
        <w:rPr>
          <w:lang w:val="en-NZ"/>
        </w:rPr>
        <w:t xml:space="preserve">incomplete collection. </w:t>
      </w:r>
      <w:r w:rsidR="00D02FE9" w:rsidRPr="007E13FC">
        <w:rPr>
          <w:lang w:val="en-NZ"/>
        </w:rPr>
        <w:t xml:space="preserve">Several quality control measures can reduce the risk of bias from incomplete collection, including </w:t>
      </w:r>
      <w:r w:rsidR="00E1467E" w:rsidRPr="007E13FC">
        <w:rPr>
          <w:lang w:val="en-NZ"/>
        </w:rPr>
        <w:t xml:space="preserve">self-report of </w:t>
      </w:r>
      <w:r w:rsidR="00E1467E" w:rsidRPr="004166F7">
        <w:rPr>
          <w:lang w:val="en-NZ"/>
        </w:rPr>
        <w:t xml:space="preserve">missed voids, </w:t>
      </w:r>
      <w:r w:rsidR="000E4079" w:rsidRPr="004166F7">
        <w:rPr>
          <w:lang w:val="en-NZ"/>
        </w:rPr>
        <w:t xml:space="preserve">total urine volume, 24-hr urinary creatinine excretion, </w:t>
      </w:r>
      <w:r w:rsidRPr="004166F7">
        <w:rPr>
          <w:lang w:val="en-NZ"/>
        </w:rPr>
        <w:t xml:space="preserve">urinary recovery of ingested para-aminobenzoic acid (PABA) and </w:t>
      </w:r>
      <w:r w:rsidR="00EB67FB" w:rsidRPr="004166F7">
        <w:rPr>
          <w:lang w:val="en-NZ"/>
        </w:rPr>
        <w:t xml:space="preserve">a longer </w:t>
      </w:r>
      <w:r w:rsidRPr="004166F7">
        <w:rPr>
          <w:lang w:val="en-NZ"/>
        </w:rPr>
        <w:t>duration of collection time</w:t>
      </w:r>
      <w:r w:rsidR="007E13FC" w:rsidRPr="004166F7">
        <w:rPr>
          <w:lang w:val="en-NZ"/>
        </w:rPr>
        <w:fldChar w:fldCharType="begin"/>
      </w:r>
      <w:r w:rsidR="00185BC5">
        <w:rPr>
          <w:lang w:val="en-NZ"/>
        </w:rPr>
        <w:instrText xml:space="preserve"> ADDIN EN.CITE &lt;EndNote&gt;&lt;Cite ExcludeAuth="1"&gt;&lt;Author&gt;European Food Safety Authority&lt;/Author&gt;&lt;Year&gt;2019&lt;/Year&gt;&lt;RecNum&gt;1&lt;/RecNum&gt;&lt;Prefix&gt;EFSA`, &lt;/Prefix&gt;&lt;DisplayText&gt;(EFSA, 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rsidR="007E13FC" w:rsidRPr="004166F7">
        <w:rPr>
          <w:lang w:val="en-NZ"/>
        </w:rPr>
        <w:fldChar w:fldCharType="separate"/>
      </w:r>
      <w:r w:rsidR="007E13FC" w:rsidRPr="004166F7">
        <w:rPr>
          <w:noProof/>
          <w:lang w:val="en-NZ"/>
        </w:rPr>
        <w:t>(EFSA, 2019)</w:t>
      </w:r>
      <w:r w:rsidR="007E13FC" w:rsidRPr="004166F7">
        <w:rPr>
          <w:lang w:val="en-NZ"/>
        </w:rPr>
        <w:fldChar w:fldCharType="end"/>
      </w:r>
      <w:r w:rsidR="007E13FC" w:rsidRPr="004166F7">
        <w:rPr>
          <w:lang w:val="en-NZ"/>
        </w:rPr>
        <w:t>.</w:t>
      </w:r>
    </w:p>
    <w:p w14:paraId="219BDFFB" w14:textId="73EC5BF9" w:rsidR="00B53585" w:rsidRDefault="00B53585" w:rsidP="00D4099C">
      <w:pPr>
        <w:spacing w:line="276" w:lineRule="auto"/>
        <w:rPr>
          <w:lang w:val="en-NZ"/>
        </w:rPr>
      </w:pPr>
      <w:r w:rsidRPr="00A84E25">
        <w:rPr>
          <w:lang w:val="en-NZ"/>
        </w:rPr>
        <w:t>Methods such as spot collection or timed collection (for example, overnight) are subject to greater intra-person variability than 24-hr collections</w:t>
      </w:r>
      <w:r>
        <w:rPr>
          <w:lang w:val="en-NZ"/>
        </w:rPr>
        <w:t xml:space="preserve"> and are </w:t>
      </w:r>
      <w:r w:rsidRPr="00A84E25">
        <w:rPr>
          <w:lang w:val="en-NZ"/>
        </w:rPr>
        <w:t xml:space="preserve">not considered to be reliable </w:t>
      </w:r>
      <w:r w:rsidRPr="007E13FC">
        <w:rPr>
          <w:lang w:val="en-NZ"/>
        </w:rPr>
        <w:t xml:space="preserve">biomarkers of individual sodium intake </w:t>
      </w:r>
      <w:r w:rsidRPr="007E13FC">
        <w:rPr>
          <w:lang w:val="en-NZ"/>
        </w:rPr>
        <w:fldChar w:fldCharType="begin">
          <w:fldData xml:space="preserve">PEVuZE5vdGU+PENpdGU+PEF1dGhvcj5DYW1wYmVsbDwvQXV0aG9yPjxZZWFyPjIwMTk8L1llYXI+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==
</w:fldData>
        </w:fldChar>
      </w:r>
      <w:r>
        <w:rPr>
          <w:lang w:val="en-NZ"/>
        </w:rPr>
        <w:instrText xml:space="preserve"> ADDIN EN.CITE </w:instrText>
      </w:r>
      <w:r>
        <w:rPr>
          <w:lang w:val="en-NZ"/>
        </w:rPr>
        <w:fldChar w:fldCharType="begin">
          <w:fldData xml:space="preserve">PEVuZE5vdGU+PENpdGU+PEF1dGhvcj5DYW1wYmVsbDwvQXV0aG9yPjxZZWFyPjIwMTk8L1llYXI+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==
</w:fldData>
        </w:fldChar>
      </w:r>
      <w:r>
        <w:rPr>
          <w:lang w:val="en-NZ"/>
        </w:rPr>
        <w:instrText xml:space="preserve"> ADDIN EN.CITE.DATA </w:instrText>
      </w:r>
      <w:r>
        <w:rPr>
          <w:lang w:val="en-NZ"/>
        </w:rPr>
      </w:r>
      <w:r>
        <w:rPr>
          <w:lang w:val="en-NZ"/>
        </w:rPr>
        <w:fldChar w:fldCharType="end"/>
      </w:r>
      <w:r w:rsidRPr="007E13FC">
        <w:rPr>
          <w:lang w:val="en-NZ"/>
        </w:rPr>
      </w:r>
      <w:r w:rsidRPr="007E13FC">
        <w:rPr>
          <w:lang w:val="en-NZ"/>
        </w:rPr>
        <w:fldChar w:fldCharType="separate"/>
      </w:r>
      <w:r w:rsidRPr="007E13FC">
        <w:rPr>
          <w:noProof/>
          <w:lang w:val="en-NZ"/>
        </w:rPr>
        <w:t>(Campbell et al., 2019)</w:t>
      </w:r>
      <w:r w:rsidRPr="007E13FC">
        <w:rPr>
          <w:lang w:val="en-NZ"/>
        </w:rPr>
        <w:fldChar w:fldCharType="end"/>
      </w:r>
      <w:r w:rsidRPr="007E13FC">
        <w:rPr>
          <w:lang w:val="en-NZ"/>
        </w:rPr>
        <w:t>.  </w:t>
      </w:r>
      <w:r w:rsidRPr="007E13FC">
        <w:t> </w:t>
      </w:r>
    </w:p>
    <w:p w14:paraId="2EE73085" w14:textId="461154B7" w:rsidR="00C70824" w:rsidRPr="00701EF4" w:rsidRDefault="00C70824" w:rsidP="00E532F6">
      <w:pPr>
        <w:pStyle w:val="Heading3"/>
        <w:spacing w:line="240" w:lineRule="auto"/>
      </w:pPr>
      <w:bookmarkStart w:id="11" w:name="_Toc234960812"/>
      <w:r>
        <w:t>Dietary assessment methods</w:t>
      </w:r>
      <w:bookmarkEnd w:id="11"/>
    </w:p>
    <w:p w14:paraId="6729C55D" w14:textId="09CE8780" w:rsidR="00B40D6F" w:rsidRPr="00B40D6F" w:rsidRDefault="004F1060" w:rsidP="00D4099C">
      <w:pPr>
        <w:spacing w:line="276" w:lineRule="auto"/>
      </w:pPr>
      <w:r>
        <w:rPr>
          <w:lang w:val="en-NZ"/>
        </w:rPr>
        <w:t xml:space="preserve">Sodium poses specific challenges for </w:t>
      </w:r>
      <w:r w:rsidR="00C42552" w:rsidRPr="004166F7">
        <w:rPr>
          <w:lang w:val="en-NZ"/>
        </w:rPr>
        <w:t>dietary assessment of sodium</w:t>
      </w:r>
      <w:r w:rsidR="004166F7" w:rsidRPr="004166F7">
        <w:rPr>
          <w:lang w:val="en-NZ"/>
        </w:rPr>
        <w:t>,</w:t>
      </w:r>
      <w:r w:rsidR="00C42552" w:rsidRPr="004166F7">
        <w:rPr>
          <w:lang w:val="en-NZ"/>
        </w:rPr>
        <w:t xml:space="preserve"> in addition to</w:t>
      </w:r>
      <w:r>
        <w:rPr>
          <w:lang w:val="en-NZ"/>
        </w:rPr>
        <w:t xml:space="preserve"> the</w:t>
      </w:r>
      <w:r w:rsidR="00C42552" w:rsidRPr="004166F7">
        <w:rPr>
          <w:lang w:val="en-NZ"/>
        </w:rPr>
        <w:t xml:space="preserve"> known limitations</w:t>
      </w:r>
      <w:r>
        <w:rPr>
          <w:lang w:val="en-NZ"/>
        </w:rPr>
        <w:t xml:space="preserve">, </w:t>
      </w:r>
      <w:r w:rsidR="004166F7" w:rsidRPr="004166F7">
        <w:rPr>
          <w:lang w:val="en-NZ"/>
        </w:rPr>
        <w:t xml:space="preserve">such as </w:t>
      </w:r>
      <w:r w:rsidR="00C42552" w:rsidRPr="004166F7">
        <w:rPr>
          <w:lang w:val="en-NZ"/>
        </w:rPr>
        <w:t xml:space="preserve">accuracy of reporting </w:t>
      </w:r>
      <w:r w:rsidR="00C42552" w:rsidRPr="004166F7">
        <w:rPr>
          <w:lang w:val="en-NZ"/>
        </w:rPr>
        <w:fldChar w:fldCharType="begin">
          <w:fldData xml:space="preserve">PEVuZE5vdGU+PENpdGU+PEF1dGhvcj5TaGltPC9BdXRob3I+PFllYXI+MjAxNDwvWWVhcj48UmVj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</w:fldData>
        </w:fldChar>
      </w:r>
      <w:r w:rsidR="00185BC5">
        <w:rPr>
          <w:lang w:val="en-NZ"/>
        </w:rPr>
        <w:instrText xml:space="preserve"> ADDIN EN.CITE </w:instrText>
      </w:r>
      <w:r w:rsidR="00185BC5">
        <w:rPr>
          <w:lang w:val="en-NZ"/>
        </w:rPr>
        <w:fldChar w:fldCharType="begin">
          <w:fldData xml:space="preserve">PEVuZE5vdGU+PENpdGU+PEF1dGhvcj5TaGltPC9BdXRob3I+PFllYXI+MjAxNDwvWWVhcj48UmVj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</w:fldData>
        </w:fldChar>
      </w:r>
      <w:r w:rsidR="00185BC5">
        <w:rPr>
          <w:lang w:val="en-NZ"/>
        </w:rPr>
        <w:instrText xml:space="preserve"> ADDIN EN.CITE.DATA </w:instrText>
      </w:r>
      <w:r w:rsidR="00185BC5">
        <w:rPr>
          <w:lang w:val="en-NZ"/>
        </w:rPr>
      </w:r>
      <w:r w:rsidR="00185BC5">
        <w:rPr>
          <w:lang w:val="en-NZ"/>
        </w:rPr>
        <w:fldChar w:fldCharType="end"/>
      </w:r>
      <w:r w:rsidR="00C42552" w:rsidRPr="004166F7">
        <w:rPr>
          <w:lang w:val="en-NZ"/>
        </w:rPr>
      </w:r>
      <w:r w:rsidR="00C42552" w:rsidRPr="004166F7">
        <w:rPr>
          <w:lang w:val="en-NZ"/>
        </w:rPr>
        <w:fldChar w:fldCharType="separate"/>
      </w:r>
      <w:r w:rsidR="00A5021A" w:rsidRPr="004166F7">
        <w:rPr>
          <w:noProof/>
          <w:lang w:val="en-NZ"/>
        </w:rPr>
        <w:t>(Shim et al., 2014; Subar et al., 2015)</w:t>
      </w:r>
      <w:r w:rsidR="00C42552" w:rsidRPr="004166F7">
        <w:rPr>
          <w:lang w:val="en-NZ"/>
        </w:rPr>
        <w:fldChar w:fldCharType="end"/>
      </w:r>
      <w:r w:rsidR="00C42552" w:rsidRPr="004166F7">
        <w:rPr>
          <w:lang w:val="en-NZ"/>
        </w:rPr>
        <w:t xml:space="preserve">. Dietary surveys often fail to include or accurately quantify sodium chloride added to foods </w:t>
      </w:r>
      <w:r w:rsidR="00A552B2" w:rsidRPr="004166F7">
        <w:rPr>
          <w:lang w:val="en-NZ"/>
        </w:rPr>
        <w:t xml:space="preserve">during cooking and </w:t>
      </w:r>
      <w:r w:rsidR="00C42552" w:rsidRPr="004166F7">
        <w:rPr>
          <w:lang w:val="en-NZ"/>
        </w:rPr>
        <w:t xml:space="preserve">at the table. </w:t>
      </w:r>
      <w:r w:rsidR="00A034EF">
        <w:rPr>
          <w:lang w:val="en-NZ"/>
        </w:rPr>
        <w:t>In addition, f</w:t>
      </w:r>
      <w:r w:rsidR="00C42552" w:rsidRPr="004166F7">
        <w:rPr>
          <w:lang w:val="en-NZ"/>
        </w:rPr>
        <w:t xml:space="preserve">ood composition tables </w:t>
      </w:r>
      <w:r w:rsidR="00A034EF">
        <w:rPr>
          <w:lang w:val="en-NZ"/>
        </w:rPr>
        <w:t xml:space="preserve">aligned with dietary surveys </w:t>
      </w:r>
      <w:r w:rsidR="00C42552" w:rsidRPr="004166F7">
        <w:rPr>
          <w:lang w:val="en-NZ"/>
        </w:rPr>
        <w:t xml:space="preserve">may not reflect the sodium content of all foods available in the food supply, </w:t>
      </w:r>
      <w:r w:rsidR="004500E8" w:rsidRPr="004166F7">
        <w:rPr>
          <w:lang w:val="en-NZ"/>
        </w:rPr>
        <w:t xml:space="preserve">including new products and product </w:t>
      </w:r>
      <w:r w:rsidR="00C42552" w:rsidRPr="004166F7">
        <w:rPr>
          <w:lang w:val="en-NZ"/>
        </w:rPr>
        <w:t>reformulation.</w:t>
      </w:r>
      <w:r w:rsidR="00C42552" w:rsidRPr="004166F7">
        <w:t> </w:t>
      </w:r>
    </w:p>
    <w:p w14:paraId="1D56884A" w14:textId="5E1C59AA" w:rsidR="00B33CD5" w:rsidRPr="00B73C6D" w:rsidRDefault="00D1240D" w:rsidP="00C44EA6">
      <w:pPr>
        <w:pStyle w:val="Heading2"/>
        <w:tabs>
          <w:tab w:val="left" w:pos="5546"/>
        </w:tabs>
        <w:rPr>
          <w:b/>
          <w:bCs/>
        </w:rPr>
      </w:pPr>
      <w:bookmarkStart w:id="12" w:name="_Toc234960813"/>
      <w:r w:rsidRPr="00B73C6D">
        <w:rPr>
          <w:b/>
          <w:bCs/>
        </w:rPr>
        <w:t xml:space="preserve">Health effects of </w:t>
      </w:r>
      <w:r w:rsidR="00FE7C9E" w:rsidRPr="00B73C6D">
        <w:rPr>
          <w:b/>
          <w:bCs/>
        </w:rPr>
        <w:t xml:space="preserve">insufficiency or </w:t>
      </w:r>
      <w:r w:rsidR="00A2295B" w:rsidRPr="00B73C6D">
        <w:rPr>
          <w:b/>
          <w:bCs/>
        </w:rPr>
        <w:t>excess</w:t>
      </w:r>
      <w:bookmarkEnd w:id="12"/>
    </w:p>
    <w:p w14:paraId="6849246E" w14:textId="2F982FB7" w:rsidR="00B73C6D" w:rsidRDefault="00B73C6D" w:rsidP="00B73C6D">
      <w:pPr>
        <w:pStyle w:val="Heading3"/>
      </w:pPr>
      <w:bookmarkStart w:id="13" w:name="_Toc234960814"/>
      <w:r w:rsidRPr="00B73C6D">
        <w:t>Insufficiency</w:t>
      </w:r>
      <w:bookmarkEnd w:id="13"/>
    </w:p>
    <w:p w14:paraId="16847DA8" w14:textId="164732F0" w:rsidR="00A5157E" w:rsidRPr="00A91FD1" w:rsidRDefault="00A5157E" w:rsidP="00A5157E">
      <w:r>
        <w:t xml:space="preserve">Hyponatraemia –a serum sodium concentration below the normal range of 135 mmol/L – is indicative of systemic sodium </w:t>
      </w:r>
      <w:proofErr w:type="gramStart"/>
      <w:r>
        <w:t>imbalance, but</w:t>
      </w:r>
      <w:proofErr w:type="gramEnd"/>
      <w:r>
        <w:t xml:space="preserve"> does not necessarily reflect systemic sodium deficiency. </w:t>
      </w:r>
      <w:r w:rsidRPr="00DB7F95">
        <w:t xml:space="preserve">Overall, the symptoms </w:t>
      </w:r>
      <w:r>
        <w:t xml:space="preserve">of hyponatraemia </w:t>
      </w:r>
      <w:r w:rsidRPr="00DB7F95">
        <w:t xml:space="preserve">progress from malaise, nausea, vomiting </w:t>
      </w:r>
      <w:r w:rsidRPr="00DB7F95">
        <w:lastRenderedPageBreak/>
        <w:t>and headache to lethargy, impaired consciousness, seizures and coma</w:t>
      </w:r>
      <w:r>
        <w:t>.</w:t>
      </w:r>
      <w:r w:rsidR="006B1389">
        <w:t xml:space="preserve"> </w:t>
      </w:r>
      <w:r w:rsidR="006B1389" w:rsidRPr="00DB7F95">
        <w:t>Severe neurological symptoms are generally associated with serum sodium concentrations &lt; 120 mmol/L, at which level cerebral oedema develops.</w:t>
      </w:r>
    </w:p>
    <w:p w14:paraId="12115A58" w14:textId="34A57548" w:rsidR="00A91FD1" w:rsidRDefault="00A5157E" w:rsidP="00A91FD1">
      <w:r>
        <w:t>However, d</w:t>
      </w:r>
      <w:r w:rsidR="00A91FD1" w:rsidRPr="00A91FD1">
        <w:t xml:space="preserve">ietary sodium deficiency is uncommon in healthy populations in Australia and New Zealand. Sodium </w:t>
      </w:r>
      <w:r w:rsidR="00474CE7">
        <w:t xml:space="preserve">is </w:t>
      </w:r>
      <w:r w:rsidR="00A91FD1" w:rsidRPr="00A91FD1">
        <w:t>widely present in the food supply, and physiological adaptation mechanisms help to conserve sodium by reducing losses in urine, faeces and sweat when intake is low.</w:t>
      </w:r>
      <w:r w:rsidR="00E614A4">
        <w:t xml:space="preserve"> </w:t>
      </w:r>
    </w:p>
    <w:p w14:paraId="0F85052E" w14:textId="125CCDB6" w:rsidR="00B73C6D" w:rsidRPr="00B73C6D" w:rsidRDefault="00B73C6D" w:rsidP="00B73C6D">
      <w:pPr>
        <w:pStyle w:val="Heading3"/>
      </w:pPr>
      <w:bookmarkStart w:id="14" w:name="_Toc234960815"/>
      <w:r>
        <w:t>Excess</w:t>
      </w:r>
      <w:bookmarkEnd w:id="14"/>
    </w:p>
    <w:p w14:paraId="4523BDEA" w14:textId="06FBB8D2" w:rsidR="006F7032" w:rsidRPr="00750AC6" w:rsidRDefault="006F7032" w:rsidP="006F7032">
      <w:pPr>
        <w:spacing w:line="276" w:lineRule="auto"/>
      </w:pPr>
      <w:r w:rsidRPr="00750AC6">
        <w:t xml:space="preserve">Acute </w:t>
      </w:r>
      <w:r w:rsidR="00A71790">
        <w:t xml:space="preserve">sodium </w:t>
      </w:r>
      <w:r w:rsidRPr="00750AC6">
        <w:t xml:space="preserve">toxicity is rare but may occur in situations of very high sodium exposure, most often involving ingestion (such as deliberate self-poisoning) or </w:t>
      </w:r>
      <w:r w:rsidR="00D72752">
        <w:t>pare</w:t>
      </w:r>
      <w:r w:rsidR="005D7DA7">
        <w:t xml:space="preserve">nteral </w:t>
      </w:r>
      <w:r w:rsidRPr="00750AC6">
        <w:t>administration in clinical settings. Hypernatraemia</w:t>
      </w:r>
      <w:r w:rsidR="00A417DC" w:rsidRPr="00750AC6">
        <w:t xml:space="preserve"> - </w:t>
      </w:r>
      <w:r w:rsidRPr="00750AC6">
        <w:t xml:space="preserve">a </w:t>
      </w:r>
      <w:r w:rsidR="00A417DC" w:rsidRPr="00750AC6">
        <w:t xml:space="preserve">high </w:t>
      </w:r>
      <w:r w:rsidRPr="00750AC6">
        <w:t>serum sodium concentration above 145 mmol/L</w:t>
      </w:r>
      <w:r w:rsidR="00A417DC" w:rsidRPr="00750AC6">
        <w:t xml:space="preserve"> - </w:t>
      </w:r>
      <w:r w:rsidRPr="00750AC6">
        <w:t>is generally associated with inadequate fluid balance (e.g. dehydration) rather than excessive sodium intake. Clinical features are broadly similar to those observed in hyponatraemia</w:t>
      </w:r>
      <w:r w:rsidR="00BC52EA">
        <w:t xml:space="preserve"> </w:t>
      </w:r>
      <w:r w:rsidR="00BC52EA">
        <w:fldChar w:fldCharType="begin"/>
      </w:r>
      <w:r w:rsidR="000C1540">
        <w:instrText xml:space="preserve"> ADDIN EN.CITE &lt;EndNote&gt;&lt;Cite ExcludeAuth="1"&gt;&lt;Author&gt;European Food Safety Authority&lt;/Author&gt;&lt;Year&gt;2019&lt;/Year&gt;&lt;RecNum&gt;4610&lt;/RecNum&gt;&lt;Prefix&gt;EFSA`, &lt;/Prefix&gt;&lt;DisplayText&gt;(EFSA, 2019; Sterns, 2015)&lt;/DisplayText&gt;&lt;record&gt;&lt;rec-number&gt;4610&lt;/rec-number&gt;&lt;foreign-keys&gt;&lt;key app="EN" db-id="wwsdv2wwp29fenerv0kx5tw9zxtx2fdrprx2" timestamp="1774919605"&gt;4610&lt;/key&gt;&lt;/foreign-keys&gt;&lt;ref-type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Cite&gt;&lt;Author&gt;Sterns&lt;/Author&gt;&lt;Year&gt;2015&lt;/Year&gt;&lt;RecNum&gt;4755&lt;/RecNum&gt;&lt;record&gt;&lt;rec-number&gt;4755&lt;/rec-number&gt;&lt;foreign-keys&gt;&lt;key app="EN" db-id="wwsdv2wwp29fenerv0kx5tw9zxtx2fdrprx2" timestamp="1781759095"&gt;4755&lt;/key&gt;&lt;/foreign-keys&gt;&lt;ref-type name="Journal Article"&gt;17&lt;/ref-type&gt;&lt;contributors&gt;&lt;authors&gt;&lt;author&gt;Richard H. Sterns&lt;/author&gt;&lt;/authors&gt;&lt;/contributors&gt;&lt;titles&gt;&lt;title&gt;Disorders of Plasma Sodium — Causes, Consequences, and Correction&lt;/title&gt;&lt;secondary-title&gt;New England Journal of Medicine&lt;/secondary-title&gt;&lt;/titles&gt;&lt;periodical&gt;&lt;full-title&gt;New England Journal of Medicine&lt;/full-title&gt;&lt;/periodical&gt;&lt;pages&gt;55-65&lt;/pages&gt;&lt;volume&gt;372&lt;/volume&gt;&lt;number&gt;1&lt;/number&gt;&lt;dates&gt;&lt;year&gt;2015&lt;/year&gt;&lt;/dates&gt;&lt;urls&gt;&lt;related-urls&gt;&lt;url&gt;https://www.nejm.org/doi/full/10.1056/NEJMra1404489&lt;/url&gt;&lt;/related-urls&gt;&lt;/urls&gt;&lt;electronic-resource-num&gt;doi:10.1056/NEJMra1404489&lt;/electronic-resource-num&gt;&lt;/record&gt;&lt;/Cite&gt;&lt;/EndNote&gt;</w:instrText>
      </w:r>
      <w:r w:rsidR="00BC52EA">
        <w:fldChar w:fldCharType="separate"/>
      </w:r>
      <w:r w:rsidR="000C1540">
        <w:rPr>
          <w:noProof/>
        </w:rPr>
        <w:t>(EFSA, 2019; Sterns, 2015)</w:t>
      </w:r>
      <w:r w:rsidR="00BC52EA">
        <w:fldChar w:fldCharType="end"/>
      </w:r>
      <w:r w:rsidRPr="00750AC6">
        <w:t>.</w:t>
      </w:r>
    </w:p>
    <w:p w14:paraId="2CA2B79B" w14:textId="14760505" w:rsidR="00AE2B42" w:rsidRPr="007633C2" w:rsidRDefault="00171B90" w:rsidP="00AE2B42">
      <w:pPr>
        <w:spacing w:line="276" w:lineRule="auto"/>
      </w:pPr>
      <w:r>
        <w:t xml:space="preserve">Sodium plays a critical role in fluid balance and maintaining </w:t>
      </w:r>
      <w:r w:rsidR="008B21A6" w:rsidRPr="00750AC6">
        <w:t xml:space="preserve">normal physiological function, </w:t>
      </w:r>
      <w:r>
        <w:t xml:space="preserve">and homeostatic mechanisms allow the body to tolerate a wide range of sodium intakes in the short term. Consequently, transient changes in intake may elicit short-term physiological responses, including alterations in hormonal systems involved in fluid and electrolyte regulation. Evidence from short-duration studies suggests that such responses may reflect acute adaptation rather than </w:t>
      </w:r>
      <w:r w:rsidR="008B21A6" w:rsidRPr="00750AC6">
        <w:t xml:space="preserve">sustained </w:t>
      </w:r>
      <w:r>
        <w:t>effects</w:t>
      </w:r>
      <w:r w:rsidR="00B67FB9">
        <w:t xml:space="preserve"> </w:t>
      </w:r>
      <w:r w:rsidR="00B67FB9">
        <w:fldChar w:fldCharType="begin">
          <w:fldData xml:space="preserve">PEVuZE5vdGU+PENpdGU+PEF1dGhvcj5IdWFuZzwvQXV0aG9yPjxZZWFyPjIwMTk8L1llYXI+PFJl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</w:fldData>
        </w:fldChar>
      </w:r>
      <w:r w:rsidR="00883E99">
        <w:instrText xml:space="preserve"> ADDIN EN.CITE </w:instrText>
      </w:r>
      <w:r w:rsidR="00883E99">
        <w:fldChar w:fldCharType="begin">
          <w:fldData xml:space="preserve">PEVuZE5vdGU+PENpdGU+PEF1dGhvcj5IdWFuZzwvQXV0aG9yPjxZZWFyPjIwMTk8L1llYXI+PFJl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</w:fldData>
        </w:fldChar>
      </w:r>
      <w:r w:rsidR="00883E99">
        <w:instrText xml:space="preserve"> ADDIN EN.CITE.DATA </w:instrText>
      </w:r>
      <w:r w:rsidR="00883E99">
        <w:fldChar w:fldCharType="end"/>
      </w:r>
      <w:r w:rsidR="00B67FB9">
        <w:fldChar w:fldCharType="separate"/>
      </w:r>
      <w:r w:rsidR="00883E99">
        <w:rPr>
          <w:noProof/>
        </w:rPr>
        <w:t>(EFSA, 2019; Huang et al., 2019; NASEM, 2019)</w:t>
      </w:r>
      <w:r w:rsidR="00B67FB9">
        <w:fldChar w:fldCharType="end"/>
      </w:r>
      <w:r>
        <w:t xml:space="preserve">. </w:t>
      </w:r>
    </w:p>
    <w:p w14:paraId="50F699C8" w14:textId="3732C67F" w:rsidR="00750AC6" w:rsidRDefault="00171B90" w:rsidP="00750AC6">
      <w:pPr>
        <w:spacing w:line="276" w:lineRule="auto"/>
      </w:pPr>
      <w:r>
        <w:t xml:space="preserve">However, </w:t>
      </w:r>
      <w:r w:rsidR="008B21A6" w:rsidRPr="00750AC6">
        <w:t xml:space="preserve">sustained </w:t>
      </w:r>
      <w:r>
        <w:t xml:space="preserve">sodium </w:t>
      </w:r>
      <w:r w:rsidR="008B21A6" w:rsidRPr="00750AC6">
        <w:t>intake</w:t>
      </w:r>
      <w:r w:rsidR="001A29A9">
        <w:t>s</w:t>
      </w:r>
      <w:r w:rsidR="008B21A6" w:rsidRPr="00750AC6">
        <w:t xml:space="preserve"> </w:t>
      </w:r>
      <w:r w:rsidR="001A29A9">
        <w:t xml:space="preserve">above </w:t>
      </w:r>
      <w:r w:rsidR="008B21A6">
        <w:t>r</w:t>
      </w:r>
      <w:r w:rsidR="008B21A6" w:rsidRPr="00750AC6">
        <w:t xml:space="preserve">equirements </w:t>
      </w:r>
      <w:r w:rsidR="00F65760">
        <w:t>increas</w:t>
      </w:r>
      <w:r w:rsidR="001A29A9">
        <w:t>e</w:t>
      </w:r>
      <w:r w:rsidR="00F65760">
        <w:t xml:space="preserve"> the risk of </w:t>
      </w:r>
      <w:r w:rsidR="008B21A6" w:rsidRPr="00750AC6">
        <w:t>chronic disease</w:t>
      </w:r>
      <w:r>
        <w:t>, with</w:t>
      </w:r>
      <w:r w:rsidR="00F65760">
        <w:t xml:space="preserve"> h</w:t>
      </w:r>
      <w:r w:rsidR="002311B7" w:rsidRPr="00750AC6">
        <w:t xml:space="preserve">igh intake </w:t>
      </w:r>
      <w:r w:rsidR="00583309" w:rsidRPr="00750AC6">
        <w:t xml:space="preserve">associated with </w:t>
      </w:r>
      <w:r w:rsidR="001A29A9">
        <w:t xml:space="preserve">elevated </w:t>
      </w:r>
      <w:r w:rsidR="00583309" w:rsidRPr="00750AC6">
        <w:t xml:space="preserve">blood </w:t>
      </w:r>
      <w:r w:rsidR="00F65760">
        <w:t>pressure</w:t>
      </w:r>
      <w:r w:rsidR="001A29A9">
        <w:t xml:space="preserve"> - </w:t>
      </w:r>
      <w:r w:rsidR="00583309" w:rsidRPr="00750AC6">
        <w:t xml:space="preserve">a major risk factor for cardiovascular </w:t>
      </w:r>
      <w:r w:rsidR="002378C5">
        <w:t xml:space="preserve">and kidney </w:t>
      </w:r>
      <w:r w:rsidR="00583309" w:rsidRPr="00750AC6">
        <w:t>disease</w:t>
      </w:r>
      <w:r w:rsidR="003B0CAB">
        <w:t xml:space="preserve"> -</w:t>
      </w:r>
      <w:r w:rsidR="003C4E81">
        <w:t xml:space="preserve"> along </w:t>
      </w:r>
      <w:r w:rsidR="00A43689">
        <w:t xml:space="preserve">with other outcomes including </w:t>
      </w:r>
      <w:r w:rsidR="003C4E81">
        <w:t xml:space="preserve">gastric cancer, obesity, osteoporosis and Meniere’s disease </w:t>
      </w:r>
      <w:r w:rsidR="006A172B">
        <w:fldChar w:fldCharType="begin">
          <w:fldData xml:space="preserve">PEVuZE5vdGU+PENpdGUgRXhjbHVkZUF1dGg9IjEiPjxBdXRob3I+RXVyb3BlYW4gRm9vZCBTYWZl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</w:fldData>
        </w:fldChar>
      </w:r>
      <w:r w:rsidR="003C4E81">
        <w:instrText xml:space="preserve"> ADDIN EN.CITE </w:instrText>
      </w:r>
      <w:r w:rsidR="003C4E81">
        <w:fldChar w:fldCharType="begin">
          <w:fldData xml:space="preserve">PEVuZE5vdGU+PENpdGUgRXhjbHVkZUF1dGg9IjEiPjxBdXRob3I+RXVyb3BlYW4gRm9vZCBTYWZl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</w:fldData>
        </w:fldChar>
      </w:r>
      <w:r w:rsidR="003C4E81">
        <w:instrText xml:space="preserve"> ADDIN EN.CITE.DATA </w:instrText>
      </w:r>
      <w:r w:rsidR="003C4E81">
        <w:fldChar w:fldCharType="end"/>
      </w:r>
      <w:r w:rsidR="006A172B">
        <w:fldChar w:fldCharType="separate"/>
      </w:r>
      <w:r w:rsidR="003C4E81">
        <w:rPr>
          <w:noProof/>
        </w:rPr>
        <w:t>(EFSA, 2019; NASEM, 2019; Newberry et al., 2018; WHO, 2026)</w:t>
      </w:r>
      <w:r w:rsidR="006A172B">
        <w:fldChar w:fldCharType="end"/>
      </w:r>
      <w:r w:rsidR="005B7DC3" w:rsidRPr="00750AC6">
        <w:t>.</w:t>
      </w:r>
    </w:p>
    <w:p w14:paraId="38C78D29" w14:textId="3D4A8B92" w:rsidR="00CA5C9E" w:rsidRDefault="00CA5C9E" w:rsidP="00CA5C9E">
      <w:pPr>
        <w:pStyle w:val="Heading4"/>
      </w:pPr>
      <w:r>
        <w:t>End points</w:t>
      </w:r>
    </w:p>
    <w:p w14:paraId="6457EFB9" w14:textId="434492FB" w:rsidR="00D06621" w:rsidRDefault="005D68D7" w:rsidP="00D06621">
      <w:pPr>
        <w:rPr>
          <w:rFonts w:cstheme="minorHAnsi"/>
          <w:lang w:val="en-NZ"/>
        </w:rPr>
      </w:pPr>
      <w:r>
        <w:t>The k</w:t>
      </w:r>
      <w:r w:rsidR="00D06621">
        <w:t xml:space="preserve">ey end point </w:t>
      </w:r>
      <w:r w:rsidR="00D06621" w:rsidRPr="00B070B6">
        <w:rPr>
          <w:rFonts w:cstheme="minorHAnsi"/>
          <w:lang w:val="en-NZ"/>
        </w:rPr>
        <w:t xml:space="preserve">related to excess sodium consumption </w:t>
      </w:r>
      <w:r>
        <w:rPr>
          <w:rFonts w:cstheme="minorHAnsi"/>
          <w:lang w:val="en-NZ"/>
        </w:rPr>
        <w:t xml:space="preserve">is </w:t>
      </w:r>
      <w:r w:rsidR="00D06621" w:rsidRPr="00B070B6">
        <w:rPr>
          <w:rFonts w:cstheme="minorHAnsi"/>
          <w:lang w:val="en-NZ"/>
        </w:rPr>
        <w:t>blood pressure</w:t>
      </w:r>
      <w:r>
        <w:rPr>
          <w:rFonts w:cstheme="minorHAnsi"/>
          <w:lang w:val="en-NZ"/>
        </w:rPr>
        <w:t>, with strong evidence of a</w:t>
      </w:r>
      <w:r w:rsidR="00AE2B42">
        <w:rPr>
          <w:rFonts w:cstheme="minorHAnsi"/>
          <w:lang w:val="en-NZ"/>
        </w:rPr>
        <w:t xml:space="preserve"> relationship between increasing sodium intake and elevated blood pressure</w:t>
      </w:r>
      <w:r w:rsidR="00A055D1">
        <w:rPr>
          <w:rFonts w:cstheme="minorHAnsi"/>
          <w:lang w:val="en-NZ"/>
        </w:rPr>
        <w:t xml:space="preserve"> which is in turn a key risk factor for a range of cardiovascular disease outcomes. </w:t>
      </w:r>
      <w:r w:rsidR="00AE2B42">
        <w:rPr>
          <w:rFonts w:cstheme="minorHAnsi"/>
          <w:lang w:val="en-NZ"/>
        </w:rPr>
        <w:t xml:space="preserve">Other relevant end points </w:t>
      </w:r>
      <w:r w:rsidR="00A055D1">
        <w:rPr>
          <w:rFonts w:cstheme="minorHAnsi"/>
          <w:lang w:val="en-NZ"/>
        </w:rPr>
        <w:t xml:space="preserve">include other cardiovascular outcomes including </w:t>
      </w:r>
      <w:r w:rsidR="00D06621" w:rsidRPr="00B070B6">
        <w:rPr>
          <w:rFonts w:cstheme="minorHAnsi"/>
          <w:lang w:val="en-NZ"/>
        </w:rPr>
        <w:t>arterial stiffness, blood lipids</w:t>
      </w:r>
      <w:r w:rsidR="00A055D1">
        <w:rPr>
          <w:rFonts w:cstheme="minorHAnsi"/>
          <w:lang w:val="en-NZ"/>
        </w:rPr>
        <w:t xml:space="preserve"> and cardiovascular disease, as well as kidney </w:t>
      </w:r>
      <w:r w:rsidR="00D06621" w:rsidRPr="00B070B6">
        <w:rPr>
          <w:rFonts w:cstheme="minorHAnsi"/>
          <w:lang w:val="en-NZ"/>
        </w:rPr>
        <w:t xml:space="preserve">function </w:t>
      </w:r>
      <w:r w:rsidR="00A055D1">
        <w:rPr>
          <w:rFonts w:cstheme="minorHAnsi"/>
          <w:lang w:val="en-NZ"/>
        </w:rPr>
        <w:t xml:space="preserve">or kidney </w:t>
      </w:r>
      <w:r w:rsidR="00D06621" w:rsidRPr="00B070B6">
        <w:rPr>
          <w:rFonts w:cstheme="minorHAnsi"/>
          <w:lang w:val="en-NZ"/>
        </w:rPr>
        <w:t>disease</w:t>
      </w:r>
      <w:r w:rsidR="00A055D1">
        <w:rPr>
          <w:rFonts w:cstheme="minorHAnsi"/>
          <w:lang w:val="en-NZ"/>
        </w:rPr>
        <w:t>.</w:t>
      </w:r>
    </w:p>
    <w:p w14:paraId="329A51C2" w14:textId="6940288C" w:rsidR="00A055D1" w:rsidRPr="00B070B6" w:rsidRDefault="00A055D1" w:rsidP="00CA5C9E">
      <w:pPr>
        <w:spacing w:line="276" w:lineRule="auto"/>
        <w:rPr>
          <w:rFonts w:cstheme="minorHAnsi"/>
          <w:lang w:val="en-NZ"/>
        </w:rPr>
      </w:pPr>
      <w:r w:rsidRPr="007633C2">
        <w:t xml:space="preserve">To capture stable effects on blood pressure, a minimum intervention duration of four weeks was adopted in this evidence evaluation. This distinction is important when interpreting findings from shorter-term studies, which may </w:t>
      </w:r>
      <w:r w:rsidR="00847CDB">
        <w:t xml:space="preserve">reflect adaptive changes or </w:t>
      </w:r>
      <w:r w:rsidRPr="007633C2">
        <w:t>be more relevant to acute clinical responses than to long-term population health outcomes.</w:t>
      </w:r>
    </w:p>
    <w:p w14:paraId="48E1ACDA" w14:textId="77777777" w:rsidR="007D7D68" w:rsidRDefault="007D7D68" w:rsidP="00C44EA6">
      <w:pPr>
        <w:pStyle w:val="Heading2"/>
        <w:tabs>
          <w:tab w:val="left" w:pos="5546"/>
        </w:tabs>
        <w:rPr>
          <w:b/>
          <w:bCs/>
        </w:rPr>
      </w:pPr>
      <w:bookmarkStart w:id="15" w:name="_Toc234960816"/>
      <w:r w:rsidRPr="2145493A">
        <w:rPr>
          <w:b/>
          <w:bCs/>
        </w:rPr>
        <w:t>Sensitive or at-risk groups</w:t>
      </w:r>
      <w:bookmarkEnd w:id="15"/>
    </w:p>
    <w:p w14:paraId="67DA060E" w14:textId="3F7CD3E5" w:rsidR="00CC5E7A" w:rsidRPr="00603574" w:rsidRDefault="00CC5E7A" w:rsidP="00CC5E7A">
      <w:pPr>
        <w:spacing w:line="276" w:lineRule="auto"/>
      </w:pPr>
      <w:r w:rsidRPr="00603574">
        <w:t>Sensitivity of blood pressure to sodium varies considerably between individuals</w:t>
      </w:r>
      <w:r w:rsidR="00A613E2" w:rsidRPr="00603574">
        <w:t xml:space="preserve"> and has been identified as a potential cardiovascular disease risk factor </w:t>
      </w:r>
      <w:r w:rsidR="00A613E2" w:rsidRPr="00603574">
        <w:fldChar w:fldCharType="begin"/>
      </w:r>
      <w:r w:rsidR="00A613E2" w:rsidRPr="00603574">
        <w:instrText xml:space="preserve"> ADDIN EN.CITE &lt;EndNote&gt;&lt;Cite&gt;&lt;Author&gt;National Academies of Sciences&lt;/Author&gt;&lt;Year&gt;2019&lt;/Year&gt;&lt;RecNum&gt;4618&lt;/RecNum&gt;&lt;DisplayText&gt;(National Academies of Sciences, 2019)&lt;/DisplayText&gt;&lt;record&gt;&lt;rec-number&gt;4618&lt;/rec-number&gt;&lt;foreign-keys&gt;&lt;key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sidR="00A613E2" w:rsidRPr="00603574">
        <w:fldChar w:fldCharType="separate"/>
      </w:r>
      <w:r w:rsidR="00A613E2" w:rsidRPr="00603574">
        <w:rPr>
          <w:noProof/>
        </w:rPr>
        <w:t>(National Academies of Sciences, 2019)</w:t>
      </w:r>
      <w:r w:rsidR="00A613E2" w:rsidRPr="00603574">
        <w:fldChar w:fldCharType="end"/>
      </w:r>
      <w:r w:rsidR="00A613E2" w:rsidRPr="00603574">
        <w:t>. However, salt sensitivity is not well characterised, and is likely multifactorial,</w:t>
      </w:r>
      <w:r w:rsidR="00E43BAD" w:rsidRPr="00603574">
        <w:t xml:space="preserve"> influenced by </w:t>
      </w:r>
      <w:r w:rsidR="009726B2">
        <w:t xml:space="preserve">age, </w:t>
      </w:r>
      <w:r w:rsidR="00E43BAD" w:rsidRPr="00603574">
        <w:t xml:space="preserve">environmental, dietary </w:t>
      </w:r>
      <w:r w:rsidR="00A613E2" w:rsidRPr="00603574">
        <w:t xml:space="preserve">and </w:t>
      </w:r>
      <w:r w:rsidR="00E43BAD" w:rsidRPr="00603574">
        <w:t xml:space="preserve">lifestyle factors along with individual physiology and genetics </w:t>
      </w:r>
      <w:r w:rsidR="00E43BAD" w:rsidRPr="00603574">
        <w:fldChar w:fldCharType="begin">
          <w:fldData xml:space="preserve">PEVuZE5vdGU+PENpdGUgRXhjbHVkZUF1dGg9IjEiPjxBdXRob3I+RXVyb3BlYW4gRm9vZCBTYWZl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=
</w:fldData>
        </w:fldChar>
      </w:r>
      <w:r w:rsidR="005506B9">
        <w:instrText xml:space="preserve"> ADDIN EN.CITE </w:instrText>
      </w:r>
      <w:r w:rsidR="005506B9">
        <w:fldChar w:fldCharType="begin">
          <w:fldData xml:space="preserve">PEVuZE5vdGU+PENpdGUgRXhjbHVkZUF1dGg9IjEiPjxBdXRob3I+RXVyb3BlYW4gRm9vZCBTYWZl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=
</w:fldData>
        </w:fldChar>
      </w:r>
      <w:r w:rsidR="005506B9">
        <w:instrText xml:space="preserve"> ADDIN EN.CITE.DATA </w:instrText>
      </w:r>
      <w:r w:rsidR="005506B9">
        <w:fldChar w:fldCharType="end"/>
      </w:r>
      <w:r w:rsidR="00E43BAD" w:rsidRPr="00603574">
        <w:fldChar w:fldCharType="separate"/>
      </w:r>
      <w:r w:rsidR="005506B9">
        <w:rPr>
          <w:noProof/>
        </w:rPr>
        <w:t>(EFSA, Elijovich et al., 2016; 2019; Luzardo et al., 2015)</w:t>
      </w:r>
      <w:r w:rsidR="00E43BAD" w:rsidRPr="00603574">
        <w:fldChar w:fldCharType="end"/>
      </w:r>
      <w:r w:rsidR="00DE3B28">
        <w:t xml:space="preserve"> </w:t>
      </w:r>
      <w:r w:rsidRPr="00603574">
        <w:t xml:space="preserve">These findings highlight that salt </w:t>
      </w:r>
      <w:r w:rsidRPr="00603574">
        <w:lastRenderedPageBreak/>
        <w:t xml:space="preserve">sensitivity is not uniform across populations and is influenced by both physiological and contextual factors. </w:t>
      </w:r>
    </w:p>
    <w:p w14:paraId="322740FF" w14:textId="4285F2AB" w:rsidR="00CC5E7A" w:rsidRDefault="00CC5E7A" w:rsidP="00CC5E7A">
      <w:pPr>
        <w:spacing w:line="276" w:lineRule="auto"/>
      </w:pPr>
      <w:r w:rsidRPr="00441F51">
        <w:t xml:space="preserve">At a population level, higher sodium intake is strongly </w:t>
      </w:r>
      <w:r w:rsidRPr="009A56C6">
        <w:t xml:space="preserve">influenced by </w:t>
      </w:r>
      <w:r w:rsidR="00B311DE">
        <w:t xml:space="preserve">the sodium content of the food supply (including </w:t>
      </w:r>
      <w:r w:rsidR="00E76A03">
        <w:t>staple</w:t>
      </w:r>
      <w:r w:rsidR="00B311DE">
        <w:t xml:space="preserve"> foods), </w:t>
      </w:r>
      <w:r w:rsidRPr="009A56C6">
        <w:t xml:space="preserve">dietary patterns, food environments, and cultural practices. In many </w:t>
      </w:r>
      <w:r w:rsidR="009A56C6">
        <w:t xml:space="preserve">high-income </w:t>
      </w:r>
      <w:r w:rsidRPr="009A56C6">
        <w:t xml:space="preserve">countries, a substantial proportion of sodium intake comes from </w:t>
      </w:r>
      <w:r w:rsidR="00487889" w:rsidRPr="009A56C6">
        <w:t xml:space="preserve">discretionary foods </w:t>
      </w:r>
      <w:r w:rsidR="009A56C6" w:rsidRPr="009A56C6">
        <w:t>-</w:t>
      </w:r>
      <w:r w:rsidR="00487889" w:rsidRPr="009A56C6">
        <w:t xml:space="preserve"> including </w:t>
      </w:r>
      <w:r w:rsidRPr="009A56C6">
        <w:t xml:space="preserve">processed and packaged foods </w:t>
      </w:r>
      <w:r w:rsidR="009A56C6" w:rsidRPr="009A56C6">
        <w:t xml:space="preserve">- </w:t>
      </w:r>
      <w:r w:rsidRPr="009A56C6">
        <w:t>and meals</w:t>
      </w:r>
      <w:r w:rsidR="00125FBB" w:rsidRPr="009A56C6">
        <w:t xml:space="preserve"> eaten outside the home</w:t>
      </w:r>
      <w:r w:rsidR="000F57D4">
        <w:fldChar w:fldCharType="begin"/>
      </w:r>
      <w:r w:rsidR="000F57D4">
        <w:instrText xml:space="preserve"> ADDIN EN.CITE &lt;EndNote&gt;&lt;Cite ExcludeAuth="1"&gt;&lt;Author&gt;World Health Organisation&lt;/Author&gt;&lt;Year&gt;2026&lt;/Year&gt;&lt;RecNum&gt;4750&lt;/RecNum&gt;&lt;Prefix&gt;WHO`, &lt;/Prefix&gt;&lt;DisplayText&gt;(WHO, 2026)&lt;/DisplayText&gt;&lt;record&gt;&lt;rec-number&gt;4750&lt;/rec-number&gt;&lt;foreign-keys&gt;&lt;key app="EN" db-id="wwsdv2wwp29fenerv0kx5tw9zxtx2fdrprx2" timestamp="1780989928"&gt;4750&lt;/key&gt;&lt;/foreign-keys&gt;&lt;ref-type name="Web Page"&gt;12&lt;/ref-type&gt;&lt;contributors&gt;&lt;authors&gt;&lt;author&gt;World Health Organisation,&lt;/author&gt;&lt;/authors&gt;&lt;/contributors&gt;&lt;titles&gt;&lt;title&gt;Sodium reduction&lt;/title&gt;&lt;/titles&gt;&lt;number&gt;09/06/2026&lt;/number&gt;&lt;dates&gt;&lt;year&gt;2026&lt;/year&gt;&lt;pub-dates&gt;&lt;date&gt;11/05/2026&lt;/date&gt;&lt;/pub-dates&gt;&lt;/dates&gt;&lt;urls&gt;&lt;related-urls&gt;&lt;url&gt;https://www.who.int/news-room/fact-sheets/detail/sodium-reduction&lt;/url&gt;&lt;/related-urls&gt;&lt;/urls&gt;&lt;/record&gt;&lt;/Cite&gt;&lt;/EndNote&gt;</w:instrText>
      </w:r>
      <w:r w:rsidR="000F57D4">
        <w:fldChar w:fldCharType="separate"/>
      </w:r>
      <w:r w:rsidR="000F57D4">
        <w:rPr>
          <w:noProof/>
        </w:rPr>
        <w:t>(WHO, 2026)</w:t>
      </w:r>
      <w:r w:rsidR="000F57D4">
        <w:fldChar w:fldCharType="end"/>
      </w:r>
      <w:r w:rsidR="00471AE8">
        <w:t xml:space="preserve"> </w:t>
      </w:r>
      <w:r w:rsidRPr="009A56C6">
        <w:t>. Cultural and culinary practices, including the</w:t>
      </w:r>
      <w:r w:rsidRPr="005B241A">
        <w:t xml:space="preserve"> use of salt in cooking or reliance on high-sodium condiments and traditional dishes, also contribute to variation in intake between population groups</w:t>
      </w:r>
      <w:r w:rsidR="00C17F5E" w:rsidRPr="005B241A">
        <w:t xml:space="preserve"> </w:t>
      </w:r>
      <w:r w:rsidR="00C17F5E" w:rsidRPr="00C13B95">
        <w:fldChar w:fldCharType="begin">
          <w:fldData xml:space="preserve">PEVuZE5vdGU+PENpdGU+PEF1dGhvcj5DaGVuZzwvQXV0aG9yPjxZZWFyPjIwMjU8L1llYXI+PFJl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</w:fldData>
        </w:fldChar>
      </w:r>
      <w:r w:rsidR="00B8529D">
        <w:instrText xml:space="preserve"> ADDIN EN.CITE </w:instrText>
      </w:r>
      <w:r w:rsidR="00B8529D">
        <w:fldChar w:fldCharType="begin">
          <w:fldData xml:space="preserve">PEVuZE5vdGU+PENpdGU+PEF1dGhvcj5DaGVuZzwvQXV0aG9yPjxZZWFyPjIwMjU8L1llYXI+PFJl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</w:fldData>
        </w:fldChar>
      </w:r>
      <w:r w:rsidR="00B8529D">
        <w:instrText xml:space="preserve"> ADDIN EN.CITE.DATA </w:instrText>
      </w:r>
      <w:r w:rsidR="00B8529D">
        <w:fldChar w:fldCharType="end"/>
      </w:r>
      <w:r w:rsidR="00C17F5E" w:rsidRPr="00C13B95">
        <w:fldChar w:fldCharType="separate"/>
      </w:r>
      <w:r w:rsidR="00B8529D">
        <w:rPr>
          <w:noProof/>
        </w:rPr>
        <w:t>(Bennett et al., 2022; Bhat et al., 2020; Cheng et al., 2025)</w:t>
      </w:r>
      <w:r w:rsidR="00C17F5E" w:rsidRPr="00C13B95">
        <w:fldChar w:fldCharType="end"/>
      </w:r>
      <w:r w:rsidRPr="00C13B95">
        <w:t>. Socioeconomic factors play an additional role, with</w:t>
      </w:r>
      <w:r w:rsidR="00114EA0">
        <w:t xml:space="preserve"> social disadvantage, including </w:t>
      </w:r>
      <w:r w:rsidR="00F42C5E">
        <w:t xml:space="preserve">lower socioeconomic status, </w:t>
      </w:r>
      <w:r w:rsidRPr="00C13B95">
        <w:t>lower income or food insecurity associated with diets higher in sodium</w:t>
      </w:r>
      <w:r w:rsidR="00C84E10" w:rsidRPr="00C13B95">
        <w:t xml:space="preserve"> </w:t>
      </w:r>
      <w:r w:rsidR="00C13B95" w:rsidRPr="00C13B95">
        <w:fldChar w:fldCharType="begin"/>
      </w:r>
      <w:r w:rsidR="00341474">
        <w:instrText xml:space="preserve"> ADDIN EN.CITE &lt;EndNote&gt;&lt;Cite&gt;&lt;Author&gt;Bennett&lt;/Author&gt;&lt;Year&gt;2022&lt;/Year&gt;&lt;RecNum&gt;4746&lt;/RecNum&gt;&lt;DisplayText&gt;(Bennett et al., 2022; de Mestral et al., 2017)&lt;/DisplayText&gt;&lt;record&gt;&lt;rec-number&gt;4746&lt;/rec-number&gt;&lt;foreign-keys&gt;&lt;key app="EN" db-id="wwsdv2wwp29fenerv0kx5tw9zxtx2fdrprx2" timestamp="1780988461"&gt;4746&lt;/key&gt;&lt;/foreign-keys&gt;&lt;ref-type name="Journal Article"&gt;17&lt;/ref-type&gt;&lt;contributors&gt;&lt;authors&gt;&lt;author&gt;Bennett, Grace&lt;/author&gt;&lt;author&gt;Bardon, Laura A.&lt;/author&gt;&lt;author&gt;Gibney, Eileen R.&lt;/author&gt;&lt;/authors&gt;&lt;/contributors&gt;&lt;titles&gt;&lt;title&gt;A Comparison of Dietary Patterns and Factors Influencing Food Choice among Ethnic Groups Living in One Locality: A Systematic Review&lt;/title&gt;&lt;secondary-title&gt;Nutrients&lt;/secondary-title&gt;&lt;/titles&gt;&lt;periodical&gt;&lt;full-title&gt;Nutrients&lt;/full-title&gt;&lt;/periodical&gt;&lt;pages&gt;941&lt;/pages&gt;&lt;volume&gt;14&lt;/volume&gt;&lt;number&gt;5&lt;/number&gt;&lt;dates&gt;&lt;year&gt;2022&lt;/year&gt;&lt;/dates&gt;&lt;isbn&gt;2072-6643&lt;/isbn&gt;&lt;accession-num&gt;doi:10.3390/nu14050941&lt;/accession-num&gt;&lt;urls&gt;&lt;related-urls&gt;&lt;url&gt;https://www.mdpi.com/2072-6643/14/5/941&lt;/url&gt;&lt;/related-urls&gt;&lt;/urls&gt;&lt;/record&gt;&lt;/Cite&gt;&lt;Cite&gt;&lt;Author&gt;de Mestral&lt;/Author&gt;&lt;Year&gt;2017&lt;/Year&gt;&lt;RecNum&gt;4684&lt;/RecNum&gt;&lt;record&gt;&lt;rec-number&gt;4684&lt;/rec-number&gt;&lt;foreign-keys&gt;&lt;key app="EN" db-id="wwsdv2wwp29fenerv0kx5tw9zxtx2fdrprx2" timestamp="1776125787"&gt;4684&lt;/key&gt;&lt;/foreign-keys&gt;&lt;ref-type name="Journal Article"&gt;17&lt;/ref-type&gt;&lt;contributors&gt;&lt;authors&gt;&lt;author&gt;de Mestral, Carlos&lt;/author&gt;&lt;author&gt;Mayén, Ana-Lucia&lt;/author&gt;&lt;author&gt;Petrovic, Dusan&lt;/author&gt;&lt;author&gt;Marques-Vidal, Pedro&lt;/author&gt;&lt;author&gt;Bochud, Murielle&lt;/author&gt;&lt;author&gt;Stringhini, Silvia&lt;/author&gt;&lt;/authors&gt;&lt;/contributors&gt;&lt;titles&gt;&lt;title&gt;Socioeconomic determinants of sodium intake in adult populations of high-income countries: a systematic review and meta-analysis&lt;/title&gt;&lt;secondary-title&gt;American journal of public health&lt;/secondary-title&gt;&lt;/titles&gt;&lt;periodical&gt;&lt;full-title&gt;American journal of public health&lt;/full-title&gt;&lt;/periodical&gt;&lt;pages&gt;e1-e12&lt;/pages&gt;&lt;volume&gt;107&lt;/volume&gt;&lt;number&gt;4&lt;/number&gt;&lt;dates&gt;&lt;year&gt;2017&lt;/year&gt;&lt;/dates&gt;&lt;isbn&gt;1541-0048&lt;/isbn&gt;&lt;urls&gt;&lt;/urls&gt;&lt;/record&gt;&lt;/Cite&gt;&lt;/EndNote&gt;</w:instrText>
      </w:r>
      <w:r w:rsidR="00C13B95" w:rsidRPr="00C13B95">
        <w:fldChar w:fldCharType="separate"/>
      </w:r>
      <w:r w:rsidR="00341474">
        <w:rPr>
          <w:noProof/>
        </w:rPr>
        <w:t>(Bennett et al., 2022; de Mestral et al., 2017)</w:t>
      </w:r>
      <w:r w:rsidR="00C13B95" w:rsidRPr="00C13B95">
        <w:fldChar w:fldCharType="end"/>
      </w:r>
      <w:r w:rsidRPr="00C13B95">
        <w:t>,</w:t>
      </w:r>
      <w:r w:rsidR="00C13B95" w:rsidRPr="00C13B95">
        <w:t xml:space="preserve"> in part </w:t>
      </w:r>
      <w:r w:rsidRPr="00C13B95">
        <w:t xml:space="preserve">due to the affordability and accessibility of processed foods. </w:t>
      </w:r>
      <w:r w:rsidRPr="009E03D5">
        <w:t>Together, these factors contribute to persistent disparities in sodium intake and related health outcomes, including hypertension and cardiovascular disease risk.</w:t>
      </w:r>
    </w:p>
    <w:p w14:paraId="2A5B7DAE" w14:textId="3BF92F5B" w:rsidR="00C95E52" w:rsidRDefault="00E305FD" w:rsidP="00D4099C">
      <w:pPr>
        <w:spacing w:line="276" w:lineRule="auto"/>
      </w:pPr>
      <w:r>
        <w:t xml:space="preserve">Consequently, </w:t>
      </w:r>
      <w:r w:rsidR="00B938AE">
        <w:t>for the purposes of establishing NRVs</w:t>
      </w:r>
      <w:r w:rsidR="0060325E">
        <w:t>,</w:t>
      </w:r>
      <w:r w:rsidR="00B938AE">
        <w:t xml:space="preserve"> </w:t>
      </w:r>
      <w:r>
        <w:t xml:space="preserve">the sodium intakes </w:t>
      </w:r>
      <w:r w:rsidR="002C316A">
        <w:t xml:space="preserve">and associated health outcomes among </w:t>
      </w:r>
      <w:r w:rsidR="0060325E">
        <w:t xml:space="preserve">at-risk groups - including </w:t>
      </w:r>
      <w:r w:rsidR="00025C43">
        <w:t xml:space="preserve">culturally and linguistically diverse populations, and </w:t>
      </w:r>
      <w:r w:rsidR="00223980">
        <w:t xml:space="preserve">those from low socioeconomic status </w:t>
      </w:r>
      <w:r w:rsidR="00223980" w:rsidRPr="00C72FE7">
        <w:t>backgrounds</w:t>
      </w:r>
      <w:r w:rsidR="0060325E">
        <w:t xml:space="preserve"> - must be explicitly considered</w:t>
      </w:r>
      <w:r w:rsidR="00223980" w:rsidRPr="00C72FE7">
        <w:t>.</w:t>
      </w:r>
      <w:r w:rsidR="00E52DB7" w:rsidRPr="00C72FE7">
        <w:t xml:space="preserve"> </w:t>
      </w:r>
      <w:r w:rsidR="007E1BB0">
        <w:t>E</w:t>
      </w:r>
      <w:r w:rsidR="002C316A">
        <w:t xml:space="preserve">vidence regarding at-risk </w:t>
      </w:r>
      <w:r w:rsidR="00673339">
        <w:t>populations</w:t>
      </w:r>
      <w:r w:rsidR="002C316A">
        <w:t xml:space="preserve"> specific to the </w:t>
      </w:r>
      <w:r w:rsidR="00E52DB7" w:rsidRPr="00C72FE7">
        <w:t xml:space="preserve">Australian and New Zealand context is </w:t>
      </w:r>
      <w:r>
        <w:t xml:space="preserve">discussed </w:t>
      </w:r>
      <w:r w:rsidR="00A43689" w:rsidRPr="00C72FE7">
        <w:t xml:space="preserve">on page </w:t>
      </w:r>
      <w:r w:rsidR="00C72FE7" w:rsidRPr="00C72FE7">
        <w:fldChar w:fldCharType="begin"/>
      </w:r>
      <w:r w:rsidR="00C72FE7" w:rsidRPr="00C72FE7">
        <w:instrText xml:space="preserve"> PAGEREF _Ref228784226 \h </w:instrText>
      </w:r>
      <w:r w:rsidR="00C72FE7" w:rsidRPr="00C72FE7">
        <w:fldChar w:fldCharType="separate"/>
      </w:r>
      <w:r w:rsidR="00074E84">
        <w:rPr>
          <w:noProof/>
        </w:rPr>
        <w:t>21</w:t>
      </w:r>
      <w:r w:rsidR="00C72FE7" w:rsidRPr="00C72FE7">
        <w:fldChar w:fldCharType="end"/>
      </w:r>
      <w:r w:rsidR="00C72FE7" w:rsidRPr="00C72FE7">
        <w:t>.</w:t>
      </w:r>
    </w:p>
    <w:p w14:paraId="12F1395B" w14:textId="0D7003AE" w:rsidR="00C95E52" w:rsidRDefault="00C95E52" w:rsidP="00C95E52">
      <w:pPr>
        <w:pStyle w:val="Heading2"/>
        <w:tabs>
          <w:tab w:val="left" w:pos="5546"/>
        </w:tabs>
        <w:rPr>
          <w:b/>
          <w:bCs/>
        </w:rPr>
      </w:pPr>
      <w:bookmarkStart w:id="16" w:name="_Toc234960817"/>
      <w:r>
        <w:rPr>
          <w:b/>
          <w:bCs/>
        </w:rPr>
        <w:t>Interactions with other nutrients</w:t>
      </w:r>
      <w:bookmarkEnd w:id="16"/>
    </w:p>
    <w:p w14:paraId="79F27D73" w14:textId="76A15756" w:rsidR="006378D4" w:rsidRPr="006378D4" w:rsidRDefault="00EF23B9" w:rsidP="006378D4">
      <w:pPr>
        <w:spacing w:line="276" w:lineRule="auto"/>
      </w:pPr>
      <w:r w:rsidRPr="00EF23B9">
        <w:t>Sodium interacts closely with potassium, chloride and calcium in ways that are relevant to both physiological function and the health effects associated with sodium intake.</w:t>
      </w:r>
      <w:r>
        <w:t xml:space="preserve"> </w:t>
      </w:r>
      <w:r w:rsidR="00CA3E9E" w:rsidRPr="00CA3E9E">
        <w:t>Sodium and potassium are functionally linked through cellular transport mechanisms and have complementary effects on blood pressure regulation</w:t>
      </w:r>
      <w:r w:rsidR="00B24CA0">
        <w:t>. H</w:t>
      </w:r>
      <w:r w:rsidR="00CA3E9E" w:rsidRPr="00CA3E9E">
        <w:t>igher potassium intakes may attenuate the blood pressure–raising effects of sodium, and some evidence suggests that the sodium-to-potassium ratio may be a stronger predictor of blood pressure than either nutrient alone</w:t>
      </w:r>
      <w:r w:rsidR="00CA3354">
        <w:t xml:space="preserve"> </w:t>
      </w:r>
      <w:r w:rsidR="00CA3354">
        <w:fldChar w:fldCharType="begin">
          <w:fldData xml:space="preserve">PEVuZE5vdGU+PENpdGU+PEF1dGhvcj5QZXJlejwvQXV0aG9yPjxZZWFyPjIwMTQ8L1llYXI+PFJl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</w:fldData>
        </w:fldChar>
      </w:r>
      <w:r w:rsidR="006D6F78">
        <w:instrText xml:space="preserve"> ADDIN EN.CITE </w:instrText>
      </w:r>
      <w:r w:rsidR="006D6F78">
        <w:fldChar w:fldCharType="begin">
          <w:fldData xml:space="preserve">PEVuZE5vdGU+PENpdGU+PEF1dGhvcj5QZXJlejwvQXV0aG9yPjxZZWFyPjIwMTQ8L1llYXI+PFJl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</w:fldData>
        </w:fldChar>
      </w:r>
      <w:r w:rsidR="006D6F78">
        <w:instrText xml:space="preserve"> ADDIN EN.CITE.DATA </w:instrText>
      </w:r>
      <w:r w:rsidR="006D6F78">
        <w:fldChar w:fldCharType="end"/>
      </w:r>
      <w:r w:rsidR="00CA3354">
        <w:fldChar w:fldCharType="separate"/>
      </w:r>
      <w:r w:rsidR="006D6F78">
        <w:rPr>
          <w:noProof/>
        </w:rPr>
        <w:t>(Ndanuko et al., 2021; Perez &amp; Chang, 2014)</w:t>
      </w:r>
      <w:r w:rsidR="00CA3354">
        <w:fldChar w:fldCharType="end"/>
      </w:r>
      <w:r w:rsidR="00CA3E9E" w:rsidRPr="00CA3E9E">
        <w:t xml:space="preserve">. </w:t>
      </w:r>
      <w:r w:rsidR="00E87FD8">
        <w:t xml:space="preserve">However, both EFSA (2019) and NASEM (2019) noted </w:t>
      </w:r>
      <w:r w:rsidR="00E87FD8" w:rsidRPr="006378D4">
        <w:t xml:space="preserve">uncertainties regarding optimal </w:t>
      </w:r>
      <w:r w:rsidR="00E87FD8">
        <w:t xml:space="preserve">sodium to potassium </w:t>
      </w:r>
      <w:r w:rsidR="00E87FD8" w:rsidRPr="006378D4">
        <w:t xml:space="preserve">ratios, heterogeneity across studies, and the absence of well-defined intake–response relationships suitable for deriving quantitative </w:t>
      </w:r>
      <w:r w:rsidR="00E87FD8">
        <w:t>estimates</w:t>
      </w:r>
      <w:r w:rsidR="00E87FD8" w:rsidRPr="006378D4">
        <w:t>.</w:t>
      </w:r>
    </w:p>
    <w:p w14:paraId="0866714C" w14:textId="77777777" w:rsidR="002F5C23" w:rsidRDefault="00CA3E9E" w:rsidP="00D4099C">
      <w:pPr>
        <w:spacing w:line="276" w:lineRule="auto"/>
      </w:pPr>
      <w:r w:rsidRPr="00CA3E9E">
        <w:t>Sodium and chloride are closely associated in the diet and in extracellular fluid, where they work together to maintain fluid balance, osmotic pressure and acid–base homeostasis. Evidence indicates that the blood pressure effects of sodium are most apparent when consumed as sodium chloride</w:t>
      </w:r>
      <w:r w:rsidR="00204ACD">
        <w:t xml:space="preserve"> than when sodium is combined with </w:t>
      </w:r>
      <w:r w:rsidR="00E93C2A">
        <w:t>other anions</w:t>
      </w:r>
      <w:r w:rsidR="002176D7">
        <w:t xml:space="preserve"> </w:t>
      </w:r>
      <w:r w:rsidR="002176D7">
        <w:fldChar w:fldCharType="begin">
          <w:fldData xml:space="preserve">PEVuZE5vdGU+PENpdGUgRXhjbHVkZUF1dGg9IjEiPjxBdXRob3I+RXVyb3BlYW4gRm9vZCBTYWZl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</w:fldData>
        </w:fldChar>
      </w:r>
      <w:r w:rsidR="002F5C23">
        <w:instrText xml:space="preserve"> ADDIN EN.CITE </w:instrText>
      </w:r>
      <w:r w:rsidR="002F5C23">
        <w:fldChar w:fldCharType="begin">
          <w:fldData xml:space="preserve">PEVuZE5vdGU+PENpdGUgRXhjbHVkZUF1dGg9IjEiPjxBdXRob3I+RXVyb3BlYW4gRm9vZCBTYWZl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</w:fldData>
        </w:fldChar>
      </w:r>
      <w:r w:rsidR="002F5C23">
        <w:instrText xml:space="preserve"> ADDIN EN.CITE.DATA </w:instrText>
      </w:r>
      <w:r w:rsidR="002F5C23">
        <w:fldChar w:fldCharType="end"/>
      </w:r>
      <w:r w:rsidR="002176D7">
        <w:fldChar w:fldCharType="separate"/>
      </w:r>
      <w:r w:rsidR="002F5C23">
        <w:rPr>
          <w:noProof/>
        </w:rPr>
        <w:t>(EFSA, 2019; McCallum et al., 2015)</w:t>
      </w:r>
      <w:r w:rsidR="002176D7">
        <w:fldChar w:fldCharType="end"/>
      </w:r>
      <w:r w:rsidR="00E93C2A">
        <w:t>.</w:t>
      </w:r>
      <w:r w:rsidRPr="00CA3E9E">
        <w:t xml:space="preserve"> Sodium also interacts with calcium through shared renal transport pathways, with higher sodium intakes consistently increasing urinary calcium excretion and potentially affecting calcium balance</w:t>
      </w:r>
      <w:r w:rsidR="005674E5">
        <w:t xml:space="preserve"> </w:t>
      </w:r>
      <w:r w:rsidR="0038196F">
        <w:t xml:space="preserve">and bone health </w:t>
      </w:r>
      <w:r w:rsidR="00F72E94">
        <w:fldChar w:fldCharType="begin"/>
      </w:r>
      <w:r w:rsidR="002F5C23">
        <w:instrText xml:space="preserve"> ADDIN EN.CITE &lt;EndNote&gt;&lt;Cite ExcludeAuth="1"&gt;&lt;Author&gt;United States Institute of Medicine&lt;/Author&gt;&lt;Year&gt;2005&lt;/Year&gt;&lt;RecNum&gt;4630&lt;/RecNum&gt;&lt;Prefix&gt;US IoM`, &lt;/Prefix&gt;&lt;DisplayText&gt;(US IoM, 2005)&lt;/DisplayText&gt;&lt;record&gt;&lt;rec-number&gt;4630&lt;/rec-number&gt;&lt;foreign-keys&gt;&lt;key app="EN" db-id="wwsdv2wwp29fenerv0kx5tw9zxtx2fdrprx2" timestamp="1774924062"&gt;4630&lt;/key&gt;&lt;/foreign-keys&gt;&lt;ref-type name="Government Document"&gt;46&lt;/ref-type&gt;&lt;contributors&gt;&lt;authors&gt;&lt;author&gt;United States Institute of Medicine, US IOM&lt;/author&gt;&lt;/authors&gt;&lt;/contributors&gt;&lt;titles&gt;&lt;title&gt;Dietary Reference Intakes for water, potassium, sodium, chloride, and sulfate&lt;/title&gt;&lt;/titles&gt;&lt;dates&gt;&lt;year&gt;2005&lt;/year&gt;&lt;/dates&gt;&lt;pub-location&gt;Washington (DC)&lt;/pub-location&gt;&lt;publisher&gt;The National Academies Press&lt;/publisher&gt;&lt;urls&gt;&lt;/urls&gt;&lt;/record&gt;&lt;/Cite&gt;&lt;/EndNote&gt;</w:instrText>
      </w:r>
      <w:r w:rsidR="00F72E94">
        <w:fldChar w:fldCharType="separate"/>
      </w:r>
      <w:r w:rsidR="002F5C23">
        <w:rPr>
          <w:noProof/>
        </w:rPr>
        <w:t>(US IoM, 2005)</w:t>
      </w:r>
      <w:r w:rsidR="00F72E94">
        <w:fldChar w:fldCharType="end"/>
      </w:r>
      <w:r w:rsidRPr="00CA3E9E">
        <w:t xml:space="preserve">. </w:t>
      </w:r>
    </w:p>
    <w:p w14:paraId="3BB7ACD8" w14:textId="5181B873" w:rsidR="00AD32AE" w:rsidRPr="00790ED3" w:rsidRDefault="00790ED3" w:rsidP="00D4099C">
      <w:pPr>
        <w:spacing w:line="276" w:lineRule="auto"/>
      </w:pPr>
      <w:r>
        <w:t>B</w:t>
      </w:r>
      <w:r w:rsidR="002F5C23" w:rsidRPr="006378D4">
        <w:t xml:space="preserve">oth EFSA </w:t>
      </w:r>
      <w:r w:rsidR="002F5C23">
        <w:t xml:space="preserve">(2019) </w:t>
      </w:r>
      <w:r w:rsidR="002F5C23" w:rsidRPr="006378D4">
        <w:t xml:space="preserve">and NASEM </w:t>
      </w:r>
      <w:r w:rsidR="002F5C23">
        <w:t xml:space="preserve">(2019) </w:t>
      </w:r>
      <w:r w:rsidR="002F5C23" w:rsidRPr="006378D4">
        <w:t>con</w:t>
      </w:r>
      <w:r>
        <w:t>cluded that although nutrient interactions present an important contextual consideration,</w:t>
      </w:r>
      <w:r w:rsidR="002F5C23" w:rsidRPr="006378D4">
        <w:t xml:space="preserve"> the</w:t>
      </w:r>
      <w:r w:rsidR="00AA5CB8">
        <w:t xml:space="preserve"> relationships are insufficiently characterised to inform </w:t>
      </w:r>
      <w:r w:rsidR="002F5C23" w:rsidRPr="006378D4">
        <w:t xml:space="preserve">sodium </w:t>
      </w:r>
      <w:r w:rsidR="002F5C23">
        <w:t>NRV</w:t>
      </w:r>
      <w:r w:rsidR="00AA5CB8">
        <w:t xml:space="preserve"> establishment</w:t>
      </w:r>
      <w:r w:rsidR="00CA3E9E" w:rsidRPr="00CA3E9E">
        <w:t>.</w:t>
      </w:r>
      <w:r w:rsidR="00AD32AE" w:rsidRPr="00C90030">
        <w:br w:type="page"/>
      </w:r>
    </w:p>
    <w:p w14:paraId="43122930" w14:textId="41569230" w:rsidR="005F0B3D" w:rsidRDefault="005F0B3D" w:rsidP="009B40DC">
      <w:pPr>
        <w:pStyle w:val="Heading1"/>
        <w:rPr>
          <w:b/>
          <w:bCs/>
        </w:rPr>
      </w:pPr>
      <w:bookmarkStart w:id="17" w:name="_Toc234960818"/>
      <w:r w:rsidRPr="2145493A">
        <w:rPr>
          <w:b/>
          <w:bCs/>
        </w:rPr>
        <w:lastRenderedPageBreak/>
        <w:t>Current recommendations and international comparisons</w:t>
      </w:r>
      <w:bookmarkEnd w:id="17"/>
    </w:p>
    <w:p w14:paraId="0C3113AA" w14:textId="33A3902A" w:rsidR="00E968C5" w:rsidRPr="001668A8" w:rsidRDefault="005F0B3D" w:rsidP="00D4099C">
      <w:pPr>
        <w:spacing w:line="276" w:lineRule="auto"/>
      </w:pPr>
      <w:r w:rsidRPr="001668A8">
        <w:t xml:space="preserve">The Australian and New Zealand Nutrient Reference Values (2006 NRVs) for </w:t>
      </w:r>
      <w:r w:rsidR="00113A07" w:rsidRPr="001668A8">
        <w:t>s</w:t>
      </w:r>
      <w:r w:rsidR="00054CDE" w:rsidRPr="001668A8">
        <w:t xml:space="preserve">odium </w:t>
      </w:r>
      <w:r w:rsidRPr="001668A8">
        <w:t xml:space="preserve">were </w:t>
      </w:r>
      <w:r w:rsidR="004058C0" w:rsidRPr="001668A8">
        <w:t xml:space="preserve">partially </w:t>
      </w:r>
      <w:r w:rsidR="002754A2">
        <w:t xml:space="preserve">revised </w:t>
      </w:r>
      <w:r w:rsidR="004058C0" w:rsidRPr="001668A8">
        <w:t xml:space="preserve">in </w:t>
      </w:r>
      <w:r w:rsidR="002754A2">
        <w:t xml:space="preserve">September </w:t>
      </w:r>
      <w:r w:rsidR="004058C0" w:rsidRPr="001668A8">
        <w:t>2017</w:t>
      </w:r>
      <w:r w:rsidR="00E52124" w:rsidRPr="001668A8">
        <w:t>, including the S</w:t>
      </w:r>
      <w:r w:rsidR="00732058">
        <w:t>uggested Dietary Target (</w:t>
      </w:r>
      <w:hyperlink r:id="rId18" w:anchor="SDT" w:history="1">
        <w:r w:rsidR="00732058" w:rsidRPr="00D31925">
          <w:rPr>
            <w:rStyle w:val="Hyperlink"/>
          </w:rPr>
          <w:t>S</w:t>
        </w:r>
        <w:r w:rsidR="00E52124" w:rsidRPr="00D31925">
          <w:rPr>
            <w:rStyle w:val="Hyperlink"/>
          </w:rPr>
          <w:t>DT</w:t>
        </w:r>
      </w:hyperlink>
      <w:r w:rsidR="00732058">
        <w:t>)</w:t>
      </w:r>
      <w:r w:rsidR="00E52124" w:rsidRPr="001668A8">
        <w:t xml:space="preserve"> and U</w:t>
      </w:r>
      <w:r w:rsidR="00732058">
        <w:t xml:space="preserve">pper </w:t>
      </w:r>
      <w:r w:rsidR="00E52124" w:rsidRPr="001668A8">
        <w:t>L</w:t>
      </w:r>
      <w:r w:rsidR="00732058">
        <w:t>evel (</w:t>
      </w:r>
      <w:hyperlink r:id="rId19" w:anchor="UL" w:history="1">
        <w:r w:rsidR="00732058" w:rsidRPr="005441B4">
          <w:rPr>
            <w:rStyle w:val="Hyperlink"/>
          </w:rPr>
          <w:t>UL</w:t>
        </w:r>
      </w:hyperlink>
      <w:r w:rsidR="00732058">
        <w:t>)</w:t>
      </w:r>
      <w:r w:rsidR="00E52124" w:rsidRPr="001668A8">
        <w:t xml:space="preserve"> for adults</w:t>
      </w:r>
      <w:r w:rsidR="00A144DD">
        <w:t xml:space="preserve"> </w:t>
      </w:r>
      <w:r w:rsidR="00A144DD">
        <w:fldChar w:fldCharType="begin"/>
      </w:r>
      <w:r w:rsidR="00A71C3B">
        <w:instrText xml:space="preserve"> ADDIN EN.CITE &lt;EndNote&gt;&lt;Cite ExcludeAuth="1"&gt;&lt;Author&gt;National Health and Medical Research Council&lt;/Author&gt;&lt;Year&gt;2006&lt;/Year&gt;&lt;RecNum&gt;4629&lt;/RecNum&gt;&lt;Prefix&gt;NHMRC`, &lt;/Prefix&gt;&lt;Suffix&gt;`; updated 2017&lt;/Suffix&gt;&lt;DisplayText&gt;(NHMRC, 2006b; updated 2017)&lt;/DisplayText&gt;&lt;record&gt;&lt;rec-number&gt;4629&lt;/rec-number&gt;&lt;foreign-keys&gt;&lt;key app="EN" db-id="wwsdv2wwp29fenerv0kx5tw9zxtx2fdrprx2" timestamp="1774923627"&gt;4629&lt;/key&gt;&lt;/foreign-keys&gt;&lt;ref-type name="Government Document"&gt;46&lt;/ref-type&gt;&lt;contributors&gt;&lt;authors&gt;&lt;author&gt;National Health and Medical Research Council, NHMRC&lt;/author&gt;&lt;/authors&gt;&lt;secondary-authors&gt;&lt;author&gt;Australian Government Department of Health and Ageing&lt;/author&gt;&lt;/secondary-authors&gt;&lt;/contributors&gt;&lt;titles&gt;&lt;title&gt;Nutrient Reference Values for Australia and New Zealand&lt;/title&gt;&lt;/titles&gt;&lt;dates&gt;&lt;year&gt;2006&lt;/year&gt;&lt;/dates&gt;&lt;pub-location&gt;Canberra&lt;/pub-location&gt;&lt;publisher&gt;NHMRC&lt;/publisher&gt;&lt;urls&gt;&lt;related-urls&gt;&lt;url&gt;https://www.nhmrc.gov.au/about-us/publications/nutrient-reference-values-australia-and-new-zealand-including-recommended-dietary-intakes&lt;/url&gt;&lt;/related-urls&gt;&lt;/urls&gt;&lt;/record&gt;&lt;/Cite&gt;&lt;/EndNote&gt;</w:instrText>
      </w:r>
      <w:r w:rsidR="00A144DD">
        <w:fldChar w:fldCharType="separate"/>
      </w:r>
      <w:r w:rsidR="00A71C3B">
        <w:rPr>
          <w:noProof/>
        </w:rPr>
        <w:t>(NHMRC, 2006b; updated 2017)</w:t>
      </w:r>
      <w:r w:rsidR="00A144DD">
        <w:fldChar w:fldCharType="end"/>
      </w:r>
      <w:r w:rsidR="00E52124" w:rsidRPr="001668A8">
        <w:t xml:space="preserve">. </w:t>
      </w:r>
      <w:r w:rsidR="004058C0" w:rsidRPr="001668A8">
        <w:t xml:space="preserve"> </w:t>
      </w:r>
      <w:r w:rsidR="00E968C5" w:rsidRPr="001668A8">
        <w:t xml:space="preserve">Sodium NRVs for other populations (pregnancy, lactation, children and adolescents) were </w:t>
      </w:r>
      <w:r w:rsidRPr="001668A8">
        <w:t xml:space="preserve">developed in 2006 and adapted from values published by the US Institute of Medicine </w:t>
      </w:r>
      <w:r w:rsidR="00CD637B">
        <w:t xml:space="preserve">(IOM) </w:t>
      </w:r>
      <w:r w:rsidR="00CD637B">
        <w:fldChar w:fldCharType="begin"/>
      </w:r>
      <w:r w:rsidR="00CD637B">
        <w:instrText xml:space="preserve"> ADDIN EN.CITE &lt;EndNote&gt;&lt;Cite ExcludeAuth="1"&gt;&lt;Author&gt;United States Institute of Medicine&lt;/Author&gt;&lt;Year&gt;2005&lt;/Year&gt;&lt;RecNum&gt;4630&lt;/RecNum&gt;&lt;Prefix&gt;US IOM`, &lt;/Prefix&gt;&lt;DisplayText&gt;(US IOM, 2005)&lt;/DisplayText&gt;&lt;record&gt;&lt;rec-number&gt;4630&lt;/rec-number&gt;&lt;foreign-keys&gt;&lt;key app="EN" db-id="wwsdv2wwp29fenerv0kx5tw9zxtx2fdrprx2" timestamp="1774924062"&gt;4630&lt;/key&gt;&lt;/foreign-keys&gt;&lt;ref-type name="Government Document"&gt;46&lt;/ref-type&gt;&lt;contributors&gt;&lt;authors&gt;&lt;author&gt;United States Institute of Medicine, US IOM&lt;/author&gt;&lt;/authors&gt;&lt;/contributors&gt;&lt;titles&gt;&lt;title&gt;Dietary Reference Intakes for water, potassium, sodium, chloride, and sulfate&lt;/title&gt;&lt;/titles&gt;&lt;dates&gt;&lt;year&gt;2005&lt;/year&gt;&lt;/dates&gt;&lt;pub-location&gt;Washington (DC)&lt;/pub-location&gt;&lt;publisher&gt;The National Academies Press&lt;/publisher&gt;&lt;urls&gt;&lt;/urls&gt;&lt;/record&gt;&lt;/Cite&gt;&lt;/EndNote&gt;</w:instrText>
      </w:r>
      <w:r w:rsidR="00CD637B">
        <w:fldChar w:fldCharType="separate"/>
      </w:r>
      <w:r w:rsidR="00CD637B">
        <w:rPr>
          <w:noProof/>
        </w:rPr>
        <w:t>(US IOM, 2005)</w:t>
      </w:r>
      <w:r w:rsidR="00CD637B">
        <w:fldChar w:fldCharType="end"/>
      </w:r>
      <w:r w:rsidRPr="001668A8">
        <w:t xml:space="preserve">. </w:t>
      </w:r>
    </w:p>
    <w:p w14:paraId="6B57C0D9" w14:textId="2317D11C" w:rsidR="005F0B3D" w:rsidRPr="001668A8" w:rsidRDefault="00E968C5" w:rsidP="00D4099C">
      <w:pPr>
        <w:spacing w:line="276" w:lineRule="auto"/>
      </w:pPr>
      <w:r w:rsidRPr="001668A8">
        <w:t xml:space="preserve">Since this time, </w:t>
      </w:r>
      <w:r w:rsidR="005F0B3D" w:rsidRPr="001668A8">
        <w:t>several international jurisdictions have published updated</w:t>
      </w:r>
      <w:r w:rsidRPr="001668A8">
        <w:t xml:space="preserve"> NRVs for sodium, </w:t>
      </w:r>
      <w:r w:rsidR="005F0B3D" w:rsidRPr="001668A8">
        <w:t>based on contemporary evidence review methods and recently published research</w:t>
      </w:r>
      <w:r w:rsidR="00822410">
        <w:t xml:space="preserve"> </w:t>
      </w:r>
      <w:r w:rsidR="00822410">
        <w:fldChar w:fldCharType="begin">
          <w:fldData xml:space="preserve">PEVuZE5vdGU+PENpdGUgRXhjbHVkZUF1dGg9IjEiPjxBdXRob3I+TmF0aW9uYWwgQWNhZGVtaWVz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</w:fldData>
        </w:fldChar>
      </w:r>
      <w:r w:rsidR="00185BC5">
        <w:instrText xml:space="preserve"> ADDIN EN.CITE </w:instrText>
      </w:r>
      <w:r w:rsidR="00185BC5">
        <w:fldChar w:fldCharType="begin">
          <w:fldData xml:space="preserve">PEVuZE5vdGU+PENpdGUgRXhjbHVkZUF1dGg9IjEiPjxBdXRob3I+TmF0aW9uYWwgQWNhZGVtaWVz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</w:fldData>
        </w:fldChar>
      </w:r>
      <w:r w:rsidR="00185BC5">
        <w:instrText xml:space="preserve"> ADDIN EN.CITE.DATA </w:instrText>
      </w:r>
      <w:r w:rsidR="00185BC5">
        <w:fldChar w:fldCharType="end"/>
      </w:r>
      <w:r w:rsidR="00822410">
        <w:fldChar w:fldCharType="separate"/>
      </w:r>
      <w:r w:rsidR="00AF3411">
        <w:rPr>
          <w:noProof/>
        </w:rPr>
        <w:t>(Blomhoff et al., 2023; EFSA, 2019; NASEM, 2019; Strohm et al., 2018)</w:t>
      </w:r>
      <w:r w:rsidR="00822410">
        <w:fldChar w:fldCharType="end"/>
      </w:r>
      <w:r w:rsidR="005F0B3D" w:rsidRPr="001668A8">
        <w:t xml:space="preserve">. </w:t>
      </w:r>
    </w:p>
    <w:p w14:paraId="4E3DE100" w14:textId="14CE8745" w:rsidR="005F0B3D" w:rsidRPr="00C44EA6" w:rsidRDefault="00B733D8" w:rsidP="00C44EA6">
      <w:pPr>
        <w:pStyle w:val="Heading2"/>
        <w:tabs>
          <w:tab w:val="left" w:pos="5546"/>
        </w:tabs>
        <w:rPr>
          <w:b/>
          <w:bCs/>
        </w:rPr>
      </w:pPr>
      <w:bookmarkStart w:id="18" w:name="_Toc234960819"/>
      <w:r w:rsidRPr="00C44EA6">
        <w:rPr>
          <w:b/>
          <w:bCs/>
        </w:rPr>
        <w:t>Nutritional requirements</w:t>
      </w:r>
      <w:r w:rsidR="00D873E2" w:rsidRPr="00C44EA6">
        <w:rPr>
          <w:b/>
          <w:bCs/>
        </w:rPr>
        <w:t xml:space="preserve"> – Adequate Intake</w:t>
      </w:r>
      <w:bookmarkEnd w:id="18"/>
    </w:p>
    <w:p w14:paraId="7727B1D5" w14:textId="77777777" w:rsidR="00B60020" w:rsidRDefault="00B60020" w:rsidP="00E532F6">
      <w:pPr>
        <w:pStyle w:val="Heading3"/>
        <w:spacing w:line="240" w:lineRule="auto"/>
      </w:pPr>
      <w:bookmarkStart w:id="19" w:name="_Toc234960820"/>
      <w:r>
        <w:t>Australian and New Zealand NRVs</w:t>
      </w:r>
      <w:bookmarkEnd w:id="19"/>
      <w:r>
        <w:t xml:space="preserve"> </w:t>
      </w:r>
    </w:p>
    <w:p w14:paraId="2F7DBC54" w14:textId="5392735C" w:rsidR="00E6559C" w:rsidRDefault="00E6559C" w:rsidP="00D4099C">
      <w:pPr>
        <w:spacing w:line="276" w:lineRule="auto"/>
      </w:pPr>
      <w:r>
        <w:t>Adequate Intake (</w:t>
      </w:r>
      <w:hyperlink r:id="rId20" w:anchor="AI" w:history="1">
        <w:r w:rsidRPr="00CC2E9C">
          <w:rPr>
            <w:rStyle w:val="Hyperlink"/>
          </w:rPr>
          <w:t>AI</w:t>
        </w:r>
      </w:hyperlink>
      <w:r>
        <w:t>) recommendations for each population are shown at</w:t>
      </w:r>
      <w:r w:rsidR="00BA65CB">
        <w:t xml:space="preserve"> </w:t>
      </w:r>
      <w:r w:rsidR="00BA65CB">
        <w:fldChar w:fldCharType="begin"/>
      </w:r>
      <w:r w:rsidR="00BA65CB">
        <w:instrText xml:space="preserve"> REF _Ref225857806 \h </w:instrText>
      </w:r>
      <w:r w:rsidR="00BA65CB">
        <w:fldChar w:fldCharType="separate"/>
      </w:r>
      <w:r w:rsidR="00CC4860">
        <w:t xml:space="preserve">Table </w:t>
      </w:r>
      <w:r w:rsidR="00CC4860">
        <w:rPr>
          <w:noProof/>
        </w:rPr>
        <w:t>1</w:t>
      </w:r>
      <w:r w:rsidR="00BA65CB">
        <w:fldChar w:fldCharType="end"/>
      </w:r>
      <w:r w:rsidR="00C53B32">
        <w:t>, along with recommendations from comparable international jurisdictions</w:t>
      </w:r>
      <w:r>
        <w:t>.</w:t>
      </w:r>
    </w:p>
    <w:p w14:paraId="476EDB9D" w14:textId="3E6A1D5A" w:rsidR="00CF46CF" w:rsidRDefault="00D95E40" w:rsidP="00D4099C">
      <w:pPr>
        <w:spacing w:before="120" w:line="276" w:lineRule="auto"/>
        <w:ind w:right="34"/>
        <w:rPr>
          <w:rFonts w:eastAsia="Times New Roman" w:cs="Arial"/>
          <w:bCs/>
        </w:rPr>
      </w:pPr>
      <w:r w:rsidRPr="00194CC7">
        <w:t xml:space="preserve">At the time of last review (2006) it was determined that there was insufficient evidence to </w:t>
      </w:r>
      <w:r w:rsidR="00451D8B" w:rsidRPr="00194CC7">
        <w:t xml:space="preserve">establish </w:t>
      </w:r>
      <w:r w:rsidRPr="00194CC7">
        <w:t xml:space="preserve">an </w:t>
      </w:r>
      <w:hyperlink r:id="rId21" w:anchor="EAR" w:history="1">
        <w:r w:rsidRPr="00194CC7">
          <w:t>EAR</w:t>
        </w:r>
      </w:hyperlink>
      <w:r w:rsidRPr="00194CC7">
        <w:t xml:space="preserve"> and </w:t>
      </w:r>
      <w:hyperlink r:id="rId22" w:anchor="RDI" w:history="1">
        <w:r w:rsidRPr="00194CC7">
          <w:t>RDI</w:t>
        </w:r>
      </w:hyperlink>
      <w:r w:rsidR="00451D8B" w:rsidRPr="00194CC7">
        <w:t xml:space="preserve">. </w:t>
      </w:r>
      <w:r w:rsidR="00486FAA">
        <w:rPr>
          <w:rFonts w:eastAsia="Times New Roman" w:cs="Arial"/>
          <w:bCs/>
        </w:rPr>
        <w:t xml:space="preserve">Although the 2006 NHMRC NRVs were developed from US IoM Dietary Reference Values, </w:t>
      </w:r>
      <w:r w:rsidR="00A71C3B">
        <w:rPr>
          <w:rFonts w:eastAsia="Times New Roman" w:cs="Arial"/>
          <w:bCs/>
        </w:rPr>
        <w:t xml:space="preserve">for the sodium AI </w:t>
      </w:r>
      <w:r w:rsidR="00486FAA">
        <w:rPr>
          <w:rFonts w:eastAsia="Times New Roman" w:cs="Arial"/>
          <w:bCs/>
        </w:rPr>
        <w:t>a different value was set</w:t>
      </w:r>
      <w:r w:rsidR="00A71C3B">
        <w:rPr>
          <w:rFonts w:eastAsia="Times New Roman" w:cs="Arial"/>
          <w:bCs/>
        </w:rPr>
        <w:t xml:space="preserve">, because the reviewers considered that </w:t>
      </w:r>
      <w:r w:rsidR="00480FC3">
        <w:rPr>
          <w:rFonts w:eastAsia="Times New Roman" w:cs="Arial"/>
          <w:bCs/>
        </w:rPr>
        <w:t xml:space="preserve">evidence pointed to </w:t>
      </w:r>
      <w:r w:rsidR="00A71C3B">
        <w:rPr>
          <w:rFonts w:eastAsia="Times New Roman" w:cs="Arial"/>
          <w:bCs/>
        </w:rPr>
        <w:t xml:space="preserve">lower </w:t>
      </w:r>
      <w:r w:rsidR="00480FC3">
        <w:rPr>
          <w:rFonts w:eastAsia="Times New Roman" w:cs="Arial"/>
          <w:bCs/>
        </w:rPr>
        <w:t>requirements than the recommendations set by the US IoM</w:t>
      </w:r>
      <w:r w:rsidR="00486FAA">
        <w:rPr>
          <w:rFonts w:eastAsia="Times New Roman" w:cs="Arial"/>
          <w:bCs/>
        </w:rPr>
        <w:t xml:space="preserve"> </w:t>
      </w:r>
      <w:r w:rsidR="00486FAA">
        <w:rPr>
          <w:rFonts w:eastAsia="Times New Roman" w:cs="Arial"/>
          <w:bCs/>
        </w:rPr>
        <w:fldChar w:fldCharType="begin"/>
      </w:r>
      <w:r w:rsidR="00A71C3B">
        <w:rPr>
          <w:rFonts w:eastAsia="Times New Roman" w:cs="Arial"/>
          <w:bCs/>
        </w:rPr>
        <w:instrText xml:space="preserve"> ADDIN EN.CITE &lt;EndNote&gt;&lt;Cite ExcludeAuth="1"&gt;&lt;Author&gt;National Health and Medical Research Council&lt;/Author&gt;&lt;Year&gt;2006&lt;/Year&gt;&lt;RecNum&gt;4681&lt;/RecNum&gt;&lt;Prefix&gt;NHMRC`, &lt;/Prefix&gt;&lt;DisplayText&gt;(NHMRC, 2006a)&lt;/DisplayText&gt;&lt;record&gt;&lt;rec-number&gt;4681&lt;/rec-number&gt;&lt;foreign-keys&gt;&lt;key app="EN" db-id="wwsdv2wwp29fenerv0kx5tw9zxtx2fdrprx2" timestamp="1776050043"&gt;4681&lt;/key&gt;&lt;/foreign-keys&gt;&lt;ref-type name="Government Document"&gt;46&lt;/ref-type&gt;&lt;contributors&gt;&lt;authors&gt;&lt;author&gt;National Health and Medical Research Council, NHMRC&lt;/author&gt;&lt;/authors&gt;&lt;/contributors&gt;&lt;titles&gt;&lt;title&gt;Evidence Appendix for the 2006 Nutrient Reference Values for Australia and New Zealand&lt;/title&gt;&lt;/titles&gt;&lt;dates&gt;&lt;year&gt;2006&lt;/year&gt;&lt;/dates&gt;&lt;pub-location&gt;Canberra, ACT&lt;/pub-location&gt;&lt;urls&gt;&lt;/urls&gt;&lt;/record&gt;&lt;/Cite&gt;&lt;/EndNote&gt;</w:instrText>
      </w:r>
      <w:r w:rsidR="00486FAA">
        <w:rPr>
          <w:rFonts w:eastAsia="Times New Roman" w:cs="Arial"/>
          <w:bCs/>
        </w:rPr>
        <w:fldChar w:fldCharType="separate"/>
      </w:r>
      <w:r w:rsidR="00A71C3B">
        <w:rPr>
          <w:rFonts w:eastAsia="Times New Roman" w:cs="Arial"/>
          <w:bCs/>
          <w:noProof/>
        </w:rPr>
        <w:t>(NHMRC, 2006a)</w:t>
      </w:r>
      <w:r w:rsidR="00486FAA">
        <w:rPr>
          <w:rFonts w:eastAsia="Times New Roman" w:cs="Arial"/>
          <w:bCs/>
        </w:rPr>
        <w:fldChar w:fldCharType="end"/>
      </w:r>
      <w:r w:rsidR="00486FAA">
        <w:rPr>
          <w:rFonts w:eastAsia="Times New Roman" w:cs="Arial"/>
          <w:bCs/>
        </w:rPr>
        <w:t xml:space="preserve">. </w:t>
      </w:r>
      <w:r w:rsidR="00CF46CF">
        <w:rPr>
          <w:rFonts w:eastAsia="Times New Roman" w:cs="Arial"/>
          <w:bCs/>
        </w:rPr>
        <w:t xml:space="preserve">The </w:t>
      </w:r>
      <w:hyperlink r:id="rId23" w:anchor="AI" w:history="1">
        <w:r w:rsidR="00CF46CF" w:rsidRPr="00CC2E9C">
          <w:rPr>
            <w:rStyle w:val="Hyperlink"/>
          </w:rPr>
          <w:t>AI</w:t>
        </w:r>
      </w:hyperlink>
      <w:r w:rsidR="00CF46CF">
        <w:t xml:space="preserve"> for adults </w:t>
      </w:r>
      <w:r w:rsidR="00CF46CF" w:rsidRPr="00194CC7">
        <w:t>was set at 460-920 mg/day (20-40 mmol/day)</w:t>
      </w:r>
      <w:r w:rsidR="00CF46CF">
        <w:t xml:space="preserve"> on</w:t>
      </w:r>
      <w:r w:rsidR="00CF46CF">
        <w:rPr>
          <w:rFonts w:eastAsia="Times New Roman" w:cs="Arial"/>
        </w:rPr>
        <w:t xml:space="preserve"> the </w:t>
      </w:r>
      <w:r w:rsidR="00CF46CF">
        <w:t>basis that</w:t>
      </w:r>
      <w:r w:rsidR="00CF46CF">
        <w:rPr>
          <w:rFonts w:eastAsia="Times New Roman" w:cs="Arial"/>
          <w:bCs/>
        </w:rPr>
        <w:t>:</w:t>
      </w:r>
    </w:p>
    <w:p w14:paraId="617E342D" w14:textId="77777777" w:rsidR="000B4DC1" w:rsidRPr="000B4DC1" w:rsidRDefault="00B71CEE" w:rsidP="005411B7">
      <w:pPr>
        <w:pStyle w:val="ListParagraph"/>
        <w:numPr>
          <w:ilvl w:val="0"/>
          <w:numId w:val="6"/>
        </w:numPr>
        <w:spacing w:before="120" w:line="276" w:lineRule="auto"/>
        <w:ind w:right="34"/>
      </w:pPr>
      <w:r w:rsidRPr="00CF46CF">
        <w:rPr>
          <w:rFonts w:eastAsia="Times New Roman" w:cs="Arial"/>
          <w:bCs/>
        </w:rPr>
        <w:t xml:space="preserve">the </w:t>
      </w:r>
      <w:r w:rsidR="00203A27" w:rsidRPr="00CF46CF">
        <w:rPr>
          <w:rFonts w:eastAsia="Times New Roman" w:cs="Arial"/>
          <w:bCs/>
        </w:rPr>
        <w:t>‘</w:t>
      </w:r>
      <w:r w:rsidRPr="00CF46CF">
        <w:rPr>
          <w:rFonts w:eastAsia="Times New Roman" w:cs="Arial"/>
          <w:bCs/>
        </w:rPr>
        <w:t>Hobart salt study</w:t>
      </w:r>
      <w:r w:rsidR="00D92384" w:rsidRPr="00CF46CF">
        <w:rPr>
          <w:rFonts w:eastAsia="Times New Roman" w:cs="Arial"/>
          <w:bCs/>
        </w:rPr>
        <w:t xml:space="preserve">’ in </w:t>
      </w:r>
      <w:r w:rsidR="00913BBE" w:rsidRPr="00CF46CF">
        <w:rPr>
          <w:rFonts w:eastAsia="Times New Roman" w:cs="Arial"/>
          <w:bCs/>
        </w:rPr>
        <w:t xml:space="preserve">a systematically recruited sample of </w:t>
      </w:r>
      <w:r w:rsidR="003751E8" w:rsidRPr="00CF46CF">
        <w:rPr>
          <w:rFonts w:eastAsia="Times New Roman" w:cs="Arial"/>
          <w:bCs/>
        </w:rPr>
        <w:t xml:space="preserve">94 Hobart residents </w:t>
      </w:r>
      <w:r w:rsidR="000B4DC1">
        <w:rPr>
          <w:rFonts w:eastAsia="Times New Roman" w:cs="Arial"/>
          <w:bCs/>
        </w:rPr>
        <w:t xml:space="preserve">included </w:t>
      </w:r>
      <w:r w:rsidR="000B4DC1" w:rsidRPr="00CF46CF">
        <w:rPr>
          <w:rFonts w:eastAsia="Times New Roman" w:cs="Arial"/>
          <w:bCs/>
        </w:rPr>
        <w:t xml:space="preserve">three participants (2 females, 1 male) </w:t>
      </w:r>
      <w:r w:rsidR="000B4DC1">
        <w:rPr>
          <w:rFonts w:eastAsia="Times New Roman" w:cs="Arial"/>
          <w:bCs/>
        </w:rPr>
        <w:t xml:space="preserve">who </w:t>
      </w:r>
      <w:r w:rsidR="00683DE9" w:rsidRPr="00CF46CF">
        <w:rPr>
          <w:rFonts w:eastAsia="Times New Roman" w:cs="Arial"/>
          <w:bCs/>
        </w:rPr>
        <w:t>excreted between 20 and 40 mmol/day of sodium in otherwise normal urine samples</w:t>
      </w:r>
      <w:r w:rsidR="00203A27" w:rsidRPr="00CF46CF">
        <w:rPr>
          <w:rFonts w:eastAsia="Times New Roman" w:cs="Arial"/>
          <w:bCs/>
        </w:rPr>
        <w:t xml:space="preserve"> </w:t>
      </w:r>
      <w:r w:rsidR="00203A27" w:rsidRPr="00CF46CF">
        <w:rPr>
          <w:rFonts w:eastAsia="Times New Roman" w:cs="Arial"/>
          <w:bCs/>
        </w:rPr>
        <w:fldChar w:fldCharType="begin"/>
      </w:r>
      <w:r w:rsidR="00203A27" w:rsidRPr="00CF46CF">
        <w:rPr>
          <w:rFonts w:eastAsia="Times New Roman" w:cs="Arial"/>
          <w:bCs/>
        </w:rPr>
        <w:instrText xml:space="preserve"> ADDIN EN.CITE &lt;EndNote&gt;&lt;Cite&gt;&lt;Author&gt;Beard&lt;/Author&gt;&lt;Year&gt;1997&lt;/Year&gt;&lt;RecNum&gt;4682&lt;/RecNum&gt;&lt;DisplayText&gt;(Beard et al., 1997)&lt;/DisplayText&gt;&lt;record&gt;&lt;rec-number&gt;4682&lt;/rec-number&gt;&lt;foreign-keys&gt;&lt;key app="EN" db-id="wwsdv2wwp29fenerv0kx5tw9zxtx2fdrprx2" timestamp="1776052256"&gt;4682&lt;/key&gt;&lt;/foreign-keys&gt;&lt;ref-type name="Journal Article"&gt;17&lt;/ref-type&gt;&lt;contributors&gt;&lt;authors&gt;&lt;author&gt;Beard, Trevor C&lt;/author&gt;&lt;author&gt;Hornsby, Helen&lt;/author&gt;&lt;author&gt;Dwyer, Terence&lt;/author&gt;&lt;author&gt;Woodward, David R&lt;/author&gt;&lt;author&gt;Ball, Peter J&lt;/author&gt;&lt;author&gt;von Witt, Richard J&lt;/author&gt;&lt;/authors&gt;&lt;/contributors&gt;&lt;titles&gt;&lt;title&gt;The Hobart Salt Study 1995: few meet national sodium intake target&lt;/title&gt;&lt;secondary-title&gt;Medical Journal of Australia&lt;/secondary-title&gt;&lt;/titles&gt;&lt;periodical&gt;&lt;full-title&gt;Medical Journal of Australia&lt;/full-title&gt;&lt;/periodical&gt;&lt;pages&gt;404-407&lt;/pages&gt;&lt;volume&gt;166&lt;/volume&gt;&lt;number&gt;8&lt;/number&gt;&lt;dates&gt;&lt;year&gt;1997&lt;/year&gt;&lt;/dates&gt;&lt;isbn&gt;0025-729X&lt;/isbn&gt;&lt;urls&gt;&lt;related-urls&gt;&lt;url&gt;https://onlinelibrary.wiley.com/doi/abs/10.5694/j.1326-5377.1997.tb123189.x&lt;/url&gt;&lt;/related-urls&gt;&lt;/urls&gt;&lt;electronic-resource-num&gt;https://doi.org/10.5694/j.1326-5377.1997.tb123189.x&lt;/electronic-resource-num&gt;&lt;/record&gt;&lt;/Cite&gt;&lt;/EndNote&gt;</w:instrText>
      </w:r>
      <w:r w:rsidR="00203A27" w:rsidRPr="00CF46CF">
        <w:rPr>
          <w:rFonts w:eastAsia="Times New Roman" w:cs="Arial"/>
          <w:bCs/>
        </w:rPr>
        <w:fldChar w:fldCharType="separate"/>
      </w:r>
      <w:r w:rsidR="00203A27" w:rsidRPr="00CF46CF">
        <w:rPr>
          <w:rFonts w:eastAsia="Times New Roman" w:cs="Arial"/>
          <w:bCs/>
          <w:noProof/>
        </w:rPr>
        <w:t>(Beard et al., 1997)</w:t>
      </w:r>
      <w:r w:rsidR="00203A27" w:rsidRPr="00CF46CF">
        <w:rPr>
          <w:rFonts w:eastAsia="Times New Roman" w:cs="Arial"/>
          <w:bCs/>
        </w:rPr>
        <w:fldChar w:fldCharType="end"/>
      </w:r>
    </w:p>
    <w:p w14:paraId="0C18E035" w14:textId="77777777" w:rsidR="000B4DC1" w:rsidRPr="000B4DC1" w:rsidRDefault="00FC55AC" w:rsidP="005411B7">
      <w:pPr>
        <w:pStyle w:val="ListParagraph"/>
        <w:numPr>
          <w:ilvl w:val="0"/>
          <w:numId w:val="6"/>
        </w:numPr>
        <w:spacing w:before="120" w:line="276" w:lineRule="auto"/>
        <w:ind w:right="34"/>
      </w:pPr>
      <w:r w:rsidRPr="00CF46CF">
        <w:rPr>
          <w:rFonts w:eastAsia="Arial" w:cs="Times New Roman"/>
          <w:iCs/>
        </w:rPr>
        <w:t>a restricted diet limited to low salt foods (per the definition of the Australian New Zealand Food Code) achieved sodium excretion rates below 50 mm/day in males and 40 mmol / day in females</w:t>
      </w:r>
    </w:p>
    <w:p w14:paraId="1A8D1168" w14:textId="5356C835" w:rsidR="001A5EA6" w:rsidRDefault="00226410" w:rsidP="005411B7">
      <w:pPr>
        <w:pStyle w:val="ListParagraph"/>
        <w:numPr>
          <w:ilvl w:val="0"/>
          <w:numId w:val="6"/>
        </w:numPr>
        <w:spacing w:before="120" w:line="276" w:lineRule="auto"/>
        <w:ind w:right="34"/>
      </w:pPr>
      <w:r w:rsidRPr="00CF46CF">
        <w:rPr>
          <w:rFonts w:eastAsia="Arial" w:cs="Times New Roman"/>
          <w:iCs/>
        </w:rPr>
        <w:t xml:space="preserve">most foods </w:t>
      </w:r>
      <w:r w:rsidR="001335F1">
        <w:rPr>
          <w:rFonts w:eastAsia="Arial" w:cs="Times New Roman"/>
          <w:iCs/>
        </w:rPr>
        <w:t xml:space="preserve">in their natural state </w:t>
      </w:r>
      <w:r w:rsidRPr="00CF46CF">
        <w:rPr>
          <w:rFonts w:eastAsia="Arial" w:cs="Times New Roman"/>
          <w:iCs/>
        </w:rPr>
        <w:t>ha</w:t>
      </w:r>
      <w:r w:rsidR="000B4DC1">
        <w:rPr>
          <w:rFonts w:eastAsia="Arial" w:cs="Times New Roman"/>
          <w:iCs/>
        </w:rPr>
        <w:t>ve</w:t>
      </w:r>
      <w:r w:rsidRPr="00CF46CF">
        <w:rPr>
          <w:rFonts w:eastAsia="Arial" w:cs="Times New Roman"/>
          <w:iCs/>
        </w:rPr>
        <w:t xml:space="preserve"> a sodium content of well under 100mg/100 g</w:t>
      </w:r>
      <w:r w:rsidR="00CF46CF" w:rsidRPr="00CF46CF">
        <w:rPr>
          <w:rFonts w:eastAsia="Arial" w:cs="Times New Roman"/>
          <w:iCs/>
        </w:rPr>
        <w:t>.</w:t>
      </w:r>
      <w:r w:rsidR="007105FE" w:rsidRPr="00CF46CF">
        <w:rPr>
          <w:rFonts w:eastAsia="Arial" w:cs="Times New Roman"/>
          <w:iCs/>
        </w:rPr>
        <w:t xml:space="preserve"> </w:t>
      </w:r>
    </w:p>
    <w:p w14:paraId="19308B04" w14:textId="2399C926" w:rsidR="00D95E40" w:rsidRDefault="00BA65CB" w:rsidP="00D4099C">
      <w:pPr>
        <w:spacing w:line="276" w:lineRule="auto"/>
      </w:pPr>
      <w:r>
        <w:t>It was noted that t</w:t>
      </w:r>
      <w:r w:rsidR="00E27C62" w:rsidRPr="00194CC7">
        <w:t xml:space="preserve">his recommendation may not apply to highly active adults – such as endurance athletes, or those undertaking physical work in hot conditions </w:t>
      </w:r>
      <w:r w:rsidR="00194CC7" w:rsidRPr="00194CC7">
        <w:t>–</w:t>
      </w:r>
      <w:r w:rsidR="00E27C62" w:rsidRPr="00194CC7">
        <w:t xml:space="preserve"> </w:t>
      </w:r>
      <w:r w:rsidR="00194CC7" w:rsidRPr="00194CC7">
        <w:t>who lose larger amounts of salt through sweat.</w:t>
      </w:r>
    </w:p>
    <w:p w14:paraId="793F5251" w14:textId="6F9CFCA8" w:rsidR="00595300" w:rsidRDefault="00E6559C" w:rsidP="00D4099C">
      <w:pPr>
        <w:spacing w:line="276" w:lineRule="auto"/>
      </w:pPr>
      <w:r>
        <w:t xml:space="preserve">Requirements during pregnancy and lactation were set at the same level as adult requirements, as the expected increase in maternal requirements was expected to be small and fall within the existing margins of the adult </w:t>
      </w:r>
      <w:hyperlink r:id="rId24" w:anchor="AI" w:history="1">
        <w:r w:rsidR="00CC2E9C" w:rsidRPr="00CC2E9C">
          <w:rPr>
            <w:rStyle w:val="Hyperlink"/>
          </w:rPr>
          <w:t>AI</w:t>
        </w:r>
      </w:hyperlink>
      <w:r>
        <w:t xml:space="preserve">. </w:t>
      </w:r>
      <w:r w:rsidR="00595300">
        <w:t xml:space="preserve">Values for children and adolescents were extrapolated from adult </w:t>
      </w:r>
      <w:hyperlink r:id="rId25" w:anchor="AI" w:history="1">
        <w:r w:rsidR="00CC2E9C" w:rsidRPr="00CC2E9C">
          <w:rPr>
            <w:rStyle w:val="Hyperlink"/>
          </w:rPr>
          <w:t>AI</w:t>
        </w:r>
      </w:hyperlink>
      <w:r w:rsidR="00595300">
        <w:t xml:space="preserve">s based on relative energy intake. This was on the assumption that </w:t>
      </w:r>
      <w:r>
        <w:t>sodium</w:t>
      </w:r>
      <w:r w:rsidR="00595300">
        <w:t xml:space="preserve"> requirements in children aged 1 to 18 years does not fundamentally differ from that of </w:t>
      </w:r>
      <w:r>
        <w:t>adults</w:t>
      </w:r>
      <w:r w:rsidR="00595300">
        <w:t xml:space="preserve">, with kidney function maturing in </w:t>
      </w:r>
      <w:r>
        <w:t>children by 12 months of age.</w:t>
      </w:r>
    </w:p>
    <w:p w14:paraId="2D98B49A" w14:textId="77777777" w:rsidR="00D4099C" w:rsidRDefault="00D4099C">
      <w:pPr>
        <w:rPr>
          <w:rFonts w:eastAsiaTheme="majorEastAsia" w:cstheme="majorBidi"/>
          <w:color w:val="0F4761" w:themeColor="accent1" w:themeShade="BF"/>
          <w:sz w:val="24"/>
          <w:szCs w:val="28"/>
        </w:rPr>
      </w:pPr>
      <w:r>
        <w:br w:type="page"/>
      </w:r>
    </w:p>
    <w:p w14:paraId="77556897" w14:textId="3DCAF152" w:rsidR="00B60020" w:rsidRPr="00B60020" w:rsidRDefault="00B60020" w:rsidP="00E532F6">
      <w:pPr>
        <w:pStyle w:val="Heading3"/>
        <w:spacing w:line="240" w:lineRule="auto"/>
      </w:pPr>
      <w:bookmarkStart w:id="20" w:name="_Toc234960821"/>
      <w:r w:rsidRPr="00B60020">
        <w:lastRenderedPageBreak/>
        <w:t>International Comparisons</w:t>
      </w:r>
      <w:bookmarkEnd w:id="20"/>
      <w:r w:rsidRPr="00B60020">
        <w:t xml:space="preserve"> </w:t>
      </w:r>
    </w:p>
    <w:p w14:paraId="227A1486" w14:textId="73626E8C" w:rsidR="00390AA5" w:rsidRDefault="00820F90" w:rsidP="00D4099C">
      <w:pPr>
        <w:spacing w:after="0" w:line="276" w:lineRule="auto"/>
      </w:pPr>
      <w:r>
        <w:t xml:space="preserve">The </w:t>
      </w:r>
      <w:r w:rsidR="00367DB7">
        <w:t>US NASEM</w:t>
      </w:r>
      <w:r>
        <w:t xml:space="preserve"> established its </w:t>
      </w:r>
      <w:r w:rsidR="009C34CA">
        <w:t xml:space="preserve">2019 </w:t>
      </w:r>
      <w:r>
        <w:t xml:space="preserve">AI value </w:t>
      </w:r>
      <w:r w:rsidR="006478D4">
        <w:t>at 1,500 mg/day for adults</w:t>
      </w:r>
      <w:r w:rsidR="00567AD5">
        <w:t xml:space="preserve"> </w:t>
      </w:r>
      <w:r w:rsidR="009C34CA">
        <w:fldChar w:fldCharType="begin"/>
      </w:r>
      <w:r w:rsidR="009C34CA">
        <w:instrText xml:space="preserve"> ADDIN EN.CITE &lt;EndNote&gt;&lt;Cite&gt;&lt;Author&gt;National Academies of Sciences&lt;/Author&gt;&lt;Year&gt;2019&lt;/Year&gt;&lt;RecNum&gt;4618&lt;/RecNum&gt;&lt;DisplayText&gt;(National Academies of Sciences, 2019)&lt;/DisplayText&gt;&lt;record&gt;&lt;rec-number&gt;4618&lt;/rec-number&gt;&lt;foreign-keys&gt;&lt;key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sidR="009C34CA">
        <w:fldChar w:fldCharType="separate"/>
      </w:r>
      <w:r w:rsidR="009C34CA">
        <w:rPr>
          <w:noProof/>
        </w:rPr>
        <w:t>(National Academies of Sciences, 2019)</w:t>
      </w:r>
      <w:r w:rsidR="009C34CA">
        <w:fldChar w:fldCharType="end"/>
      </w:r>
      <w:r w:rsidR="006478D4">
        <w:t>. I</w:t>
      </w:r>
      <w:r w:rsidR="00F22902">
        <w:t>n deriving the AI, it</w:t>
      </w:r>
      <w:r w:rsidR="006478D4">
        <w:t xml:space="preserve"> </w:t>
      </w:r>
      <w:r w:rsidR="00F22902">
        <w:t xml:space="preserve">noted </w:t>
      </w:r>
      <w:r w:rsidR="006478D4">
        <w:t xml:space="preserve">the difficulties in </w:t>
      </w:r>
      <w:r w:rsidR="00F22902">
        <w:t>estimating the</w:t>
      </w:r>
      <w:r w:rsidR="006478D4">
        <w:t xml:space="preserve"> AI </w:t>
      </w:r>
      <w:r w:rsidR="00F22902">
        <w:t xml:space="preserve">from </w:t>
      </w:r>
      <w:r w:rsidR="003D3A67">
        <w:t>median population intakes, as th</w:t>
      </w:r>
      <w:r w:rsidR="00567AD5">
        <w:t>is would result in the</w:t>
      </w:r>
      <w:r w:rsidR="003D3A67">
        <w:t xml:space="preserve"> AI exceed</w:t>
      </w:r>
      <w:r w:rsidR="00567AD5">
        <w:t>ing</w:t>
      </w:r>
      <w:r w:rsidR="003D3A67">
        <w:t xml:space="preserve"> the C</w:t>
      </w:r>
      <w:r w:rsidR="00567AD5">
        <w:t xml:space="preserve">hronic </w:t>
      </w:r>
      <w:r w:rsidR="003D3A67">
        <w:t>D</w:t>
      </w:r>
      <w:r w:rsidR="00567AD5">
        <w:t xml:space="preserve">isease </w:t>
      </w:r>
      <w:r w:rsidR="003D3A67">
        <w:t>R</w:t>
      </w:r>
      <w:r w:rsidR="00567AD5">
        <w:t xml:space="preserve">isk </w:t>
      </w:r>
      <w:r w:rsidR="003D3A67">
        <w:t>R</w:t>
      </w:r>
      <w:r w:rsidR="00567AD5">
        <w:t xml:space="preserve">eduction recommendation </w:t>
      </w:r>
      <w:r w:rsidR="003D3A67">
        <w:t xml:space="preserve">of 2,300 mg/day. Consequently, the AI </w:t>
      </w:r>
      <w:r w:rsidR="00CE3C81">
        <w:t>was based on</w:t>
      </w:r>
      <w:r w:rsidR="003D3A67">
        <w:t xml:space="preserve"> trials with </w:t>
      </w:r>
      <w:r w:rsidR="00CE3C81">
        <w:t>low sodium dose (</w:t>
      </w:r>
      <w:r w:rsidR="003D3A67">
        <w:t>less than 2,300 mg/day)</w:t>
      </w:r>
      <w:r w:rsidR="008B29D7">
        <w:t xml:space="preserve"> that did not report deficiency</w:t>
      </w:r>
      <w:r w:rsidR="00DC2C53">
        <w:t>.</w:t>
      </w:r>
      <w:r w:rsidR="008B29D7">
        <w:t xml:space="preserve"> </w:t>
      </w:r>
      <w:r w:rsidR="00DC2C53">
        <w:t>T</w:t>
      </w:r>
      <w:r w:rsidR="008B29D7">
        <w:t xml:space="preserve">he most robust balance study </w:t>
      </w:r>
      <w:r w:rsidR="00F55BB7">
        <w:t xml:space="preserve">was </w:t>
      </w:r>
      <w:r w:rsidR="008B29D7">
        <w:t xml:space="preserve">used as supportive evidence against which the derived AI could be compared. </w:t>
      </w:r>
      <w:r w:rsidR="00390AA5">
        <w:t xml:space="preserve">The adult AI value of 1,500 mg/day </w:t>
      </w:r>
      <w:r w:rsidR="00E1291B">
        <w:t xml:space="preserve">for healthy adults not engaged in high-intensity physical activity </w:t>
      </w:r>
      <w:r w:rsidR="00390AA5">
        <w:t>was set based on:</w:t>
      </w:r>
    </w:p>
    <w:p w14:paraId="1EC6C209" w14:textId="069FA121" w:rsidR="001C2581" w:rsidRDefault="00016A10" w:rsidP="005411B7">
      <w:pPr>
        <w:pStyle w:val="ListParagraph"/>
        <w:numPr>
          <w:ilvl w:val="0"/>
          <w:numId w:val="3"/>
        </w:numPr>
        <w:spacing w:after="0" w:line="276" w:lineRule="auto"/>
        <w:ind w:left="760" w:hanging="357"/>
      </w:pPr>
      <w:r>
        <w:t>the D</w:t>
      </w:r>
      <w:r w:rsidR="00390AA5">
        <w:t xml:space="preserve">ietary Approaches to Stop Hypertension (DASH) sodium-reduction trial in 412 participants, which </w:t>
      </w:r>
      <w:r w:rsidR="005814FF">
        <w:t xml:space="preserve">reported no symptoms of deficiency among participants with </w:t>
      </w:r>
      <w:r w:rsidR="001C2581">
        <w:t>a mean intake of 1,449 mg/day</w:t>
      </w:r>
      <w:r w:rsidR="00504B7D">
        <w:t xml:space="preserve"> </w:t>
      </w:r>
      <w:r w:rsidR="00504B7D">
        <w:fldChar w:fldCharType="begin">
          <w:fldData xml:space="preserve">PEVuZE5vdGU+PENpdGU+PEF1dGhvcj5TYWNrczwvQXV0aG9yPjxZZWFyPjIwMDE8L1llYXI+PFJl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</w:fldData>
        </w:fldChar>
      </w:r>
      <w:r w:rsidR="00504B7D">
        <w:instrText xml:space="preserve"> ADDIN EN.CITE </w:instrText>
      </w:r>
      <w:r w:rsidR="00504B7D">
        <w:fldChar w:fldCharType="begin">
          <w:fldData xml:space="preserve">PEVuZE5vdGU+PENpdGU+PEF1dGhvcj5TYWNrczwvQXV0aG9yPjxZZWFyPjIwMDE8L1llYXI+PFJl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</w:fldData>
        </w:fldChar>
      </w:r>
      <w:r w:rsidR="00504B7D">
        <w:instrText xml:space="preserve"> ADDIN EN.CITE.DATA </w:instrText>
      </w:r>
      <w:r w:rsidR="00504B7D">
        <w:fldChar w:fldCharType="end"/>
      </w:r>
      <w:r w:rsidR="00504B7D">
        <w:fldChar w:fldCharType="separate"/>
      </w:r>
      <w:r w:rsidR="00504B7D">
        <w:rPr>
          <w:noProof/>
        </w:rPr>
        <w:t>(Sacks et al., 2001)</w:t>
      </w:r>
      <w:r w:rsidR="00504B7D">
        <w:fldChar w:fldCharType="end"/>
      </w:r>
    </w:p>
    <w:p w14:paraId="39F752C4" w14:textId="1C077AA6" w:rsidR="006478D4" w:rsidRDefault="004B706D" w:rsidP="005411B7">
      <w:pPr>
        <w:pStyle w:val="ListParagraph"/>
        <w:numPr>
          <w:ilvl w:val="0"/>
          <w:numId w:val="3"/>
        </w:numPr>
        <w:spacing w:after="0" w:line="276" w:lineRule="auto"/>
        <w:ind w:left="760" w:hanging="357"/>
      </w:pPr>
      <w:r>
        <w:t xml:space="preserve">a </w:t>
      </w:r>
      <w:r w:rsidR="00390AA5">
        <w:t xml:space="preserve">balance study </w:t>
      </w:r>
      <w:r w:rsidR="004275F6">
        <w:t xml:space="preserve">reporting that </w:t>
      </w:r>
      <w:r w:rsidR="002C2EC6">
        <w:t xml:space="preserve">intakes of 1,525 mg/day resulted in either </w:t>
      </w:r>
      <w:r>
        <w:t xml:space="preserve">neutral </w:t>
      </w:r>
      <w:r w:rsidR="002C2EC6">
        <w:t xml:space="preserve">or positive </w:t>
      </w:r>
      <w:r>
        <w:t xml:space="preserve">balance </w:t>
      </w:r>
      <w:r w:rsidR="002C2EC6">
        <w:t>depending on environmental conditions (temperature)</w:t>
      </w:r>
      <w:r w:rsidR="004275F6">
        <w:t xml:space="preserve"> </w:t>
      </w:r>
      <w:r w:rsidR="004275F6">
        <w:fldChar w:fldCharType="begin"/>
      </w:r>
      <w:r w:rsidR="004275F6">
        <w:instrText xml:space="preserve"> ADDIN EN.CITE &lt;EndNote&gt;&lt;Cite&gt;&lt;Author&gt;Allsopp&lt;/Author&gt;&lt;Year&gt;1998&lt;/Year&gt;&lt;RecNum&gt;4634&lt;/RecNum&gt;&lt;DisplayText&gt;(Allsopp et al., 1998)&lt;/DisplayText&gt;&lt;record&gt;&lt;rec-number&gt;4634&lt;/rec-number&gt;&lt;foreign-keys&gt;&lt;key app="EN" db-id="wwsdv2wwp29fenerv0kx5tw9zxtx2fdrprx2" timestamp="1774926752"&gt;4634&lt;/key&gt;&lt;/foreign-keys&gt;&lt;ref-type name="Journal Article"&gt;17&lt;/ref-type&gt;&lt;contributors&gt;&lt;authors&gt;&lt;author&gt;Allsopp, A. J.&lt;/author&gt;&lt;author&gt;Sutherland, R.&lt;/author&gt;&lt;author&gt;Wood, P.&lt;/author&gt;&lt;author&gt;Wootton, S. A.&lt;/author&gt;&lt;/authors&gt;&lt;/contributors&gt;&lt;auth-address&gt;Institute of Naval Medicine, Gosport, Hampshire, UK.&lt;/auth-address&gt;&lt;titles&gt;&lt;title&gt;The effect of sodium balance on sweat sodium secretion and plasma aldosterone concentration&lt;/title&gt;&lt;secondary-title&gt;Eur J Appl Physiol Occup Physiol&lt;/secondary-title&gt;&lt;/titles&gt;&lt;periodical&gt;&lt;full-title&gt;Eur J Appl Physiol Occup Physiol&lt;/full-title&gt;&lt;/periodical&gt;&lt;pages&gt;516-21&lt;/pages&gt;&lt;volume&gt;78&lt;/volume&gt;&lt;number&gt;6&lt;/number&gt;&lt;keywords&gt;&lt;keyword&gt;Adaptation, Physiological/*physiology&lt;/keyword&gt;&lt;keyword&gt;Adolescent&lt;/keyword&gt;&lt;keyword&gt;Adult&lt;/keyword&gt;&lt;keyword&gt;Aldosterone/*blood&lt;/keyword&gt;&lt;keyword&gt;Hot Temperature&lt;/keyword&gt;&lt;keyword&gt;Humans&lt;/keyword&gt;&lt;keyword&gt;Male&lt;/keyword&gt;&lt;keyword&gt;Sodium, Dietary/*metabolism/pharmacokinetics&lt;/keyword&gt;&lt;keyword&gt;Sweating/drug effects/*physiology&lt;/keyword&gt;&lt;keyword&gt;Water-Electrolyte Balance/physiology&lt;/keyword&gt;&lt;keyword&gt;Weight Loss&lt;/keyword&gt;&lt;/keywords&gt;&lt;dates&gt;&lt;year&gt;1998&lt;/year&gt;&lt;pub-dates&gt;&lt;date&gt;Nov&lt;/date&gt;&lt;/pub-dates&gt;&lt;/dates&gt;&lt;isbn&gt;0301-5548 (Print)&amp;#xD;0301-5548&lt;/isbn&gt;&lt;accession-num&gt;9840406&lt;/accession-num&gt;&lt;urls&gt;&lt;/urls&gt;&lt;electronic-resource-num&gt;10.1007/s004210050454&lt;/electronic-resource-num&gt;&lt;remote-database-provider&gt;NLM&lt;/remote-database-provider&gt;&lt;language&gt;eng&lt;/language&gt;&lt;/record&gt;&lt;/Cite&gt;&lt;/EndNote&gt;</w:instrText>
      </w:r>
      <w:r w:rsidR="004275F6">
        <w:fldChar w:fldCharType="separate"/>
      </w:r>
      <w:r w:rsidR="004275F6">
        <w:rPr>
          <w:noProof/>
        </w:rPr>
        <w:t>(Allsopp et al., 1998)</w:t>
      </w:r>
      <w:r w:rsidR="004275F6">
        <w:fldChar w:fldCharType="end"/>
      </w:r>
      <w:r w:rsidR="002C2EC6">
        <w:t xml:space="preserve">. </w:t>
      </w:r>
    </w:p>
    <w:p w14:paraId="4D785405" w14:textId="788ED63A" w:rsidR="00662C15" w:rsidRPr="006478D4" w:rsidRDefault="00372B89" w:rsidP="00D4099C">
      <w:pPr>
        <w:spacing w:line="276" w:lineRule="auto"/>
      </w:pPr>
      <w:r>
        <w:t xml:space="preserve">The AI during pregnancy or lactation was established at the same level as for adults, </w:t>
      </w:r>
      <w:r w:rsidR="009B40DC">
        <w:t xml:space="preserve">with no evidence to suggest that requirements differ to those of non-pregnant, non-lactating females. Requirements </w:t>
      </w:r>
      <w:r w:rsidR="00662C15">
        <w:t xml:space="preserve">for children and adolescents were extrapolated from adult </w:t>
      </w:r>
      <w:r w:rsidR="009B40DC">
        <w:t xml:space="preserve">AI </w:t>
      </w:r>
      <w:r w:rsidR="00662C15">
        <w:t>values</w:t>
      </w:r>
      <w:r w:rsidR="009B40DC">
        <w:t>,</w:t>
      </w:r>
      <w:r w:rsidR="00662C15">
        <w:t xml:space="preserve"> based on energy requirements</w:t>
      </w:r>
      <w:r w:rsidR="004E432A">
        <w:t xml:space="preserve"> for sedentary children.</w:t>
      </w:r>
      <w:r w:rsidR="003F78D5">
        <w:t xml:space="preserve"> </w:t>
      </w:r>
    </w:p>
    <w:p w14:paraId="1CAFEE53" w14:textId="286DB7F2" w:rsidR="002D023F" w:rsidRPr="001F1D1A" w:rsidRDefault="002D023F" w:rsidP="00D4099C">
      <w:pPr>
        <w:spacing w:line="276" w:lineRule="auto"/>
        <w:rPr>
          <w:lang w:eastAsia="en-AU"/>
        </w:rPr>
      </w:pPr>
      <w:r>
        <w:rPr>
          <w:lang w:eastAsia="en-AU"/>
        </w:rPr>
        <w:t>The Nordic Nutrition Recommendations 2023 also adopted NASEM’s AI of 1.5g/day</w:t>
      </w:r>
      <w:r w:rsidR="00A00B99">
        <w:rPr>
          <w:lang w:eastAsia="en-AU"/>
        </w:rPr>
        <w:t xml:space="preserve"> in adults</w:t>
      </w:r>
      <w:r w:rsidR="00766E04">
        <w:rPr>
          <w:lang w:eastAsia="en-AU"/>
        </w:rPr>
        <w:t xml:space="preserve"> </w:t>
      </w:r>
      <w:r w:rsidR="00766E04">
        <w:rPr>
          <w:lang w:eastAsia="en-AU"/>
        </w:rPr>
        <w:fldChar w:fldCharType="begin"/>
      </w:r>
      <w:r w:rsidR="00766E04">
        <w:rPr>
          <w:lang w:eastAsia="en-AU"/>
        </w:rPr>
        <w:instrText xml:space="preserve"> ADDIN EN.CITE &lt;EndNote&gt;&lt;Cite&gt;&lt;Author&gt;Blomhoff&lt;/Author&gt;&lt;Year&gt;2023&lt;/Year&gt;&lt;RecNum&gt;4617&lt;/RecNum&gt;&lt;DisplayText&gt;(Blomhoff et al., 2023)&lt;/DisplayText&gt;&lt;record&gt;&lt;rec-number&gt;4617&lt;/rec-number&gt;&lt;foreign-keys&gt;&lt;key app="EN" db-id="wwsdv2wwp29fenerv0kx5tw9zxtx2fdrprx2" timestamp="1774921009"&gt;4617&lt;/key&gt;&lt;/foreign-keys&gt;&lt;ref-type name="Book"&gt;6&lt;/ref-type&gt;&lt;contributors&gt;&lt;authors&gt;&lt;author&gt;Blomhoff, Rune&lt;/author&gt;&lt;author&gt;Andersen, Rikke&lt;/author&gt;&lt;author&gt;Arnesen, Erik&lt;/author&gt;&lt;author&gt;Christensen, Jacob&lt;/author&gt;&lt;author&gt;Eneroth, Hanna&lt;/author&gt;&lt;author&gt;Erkkola, Maijaliisa&lt;/author&gt;&lt;author&gt;Gudanaviciene, Ieva&lt;/author&gt;&lt;author&gt;Høyer-Lund, Anne&lt;/author&gt;&lt;author&gt;Lemming, Eva&lt;/author&gt;&lt;author&gt;Meltzer, Helle&lt;/author&gt;&lt;author&gt;Pitsi, Tagli&lt;/author&gt;&lt;author&gt;Siksna, Inese&lt;/author&gt;&lt;author&gt;Thorsdottir, Inga&lt;/author&gt;&lt;author&gt;Trolle, Ellen&lt;/author&gt;&lt;/authors&gt;&lt;/contributors&gt;&lt;titles&gt;&lt;title&gt;Nordic Nutrition Recommendations 2023&lt;/title&gt;&lt;/titles&gt;&lt;dates&gt;&lt;year&gt;2023&lt;/year&gt;&lt;/dates&gt;&lt;isbn&gt;9789289375344&lt;/isbn&gt;&lt;urls&gt;&lt;/urls&gt;&lt;electronic-resource-num&gt;10.6027/nord2023-003&lt;/electronic-resource-num&gt;&lt;/record&gt;&lt;/Cite&gt;&lt;/EndNote&gt;</w:instrText>
      </w:r>
      <w:r w:rsidR="00766E04">
        <w:rPr>
          <w:lang w:eastAsia="en-AU"/>
        </w:rPr>
        <w:fldChar w:fldCharType="separate"/>
      </w:r>
      <w:r w:rsidR="00766E04">
        <w:rPr>
          <w:noProof/>
          <w:lang w:eastAsia="en-AU"/>
        </w:rPr>
        <w:t>(Blomhoff et al., 2023)</w:t>
      </w:r>
      <w:r w:rsidR="00766E04">
        <w:rPr>
          <w:lang w:eastAsia="en-AU"/>
        </w:rPr>
        <w:fldChar w:fldCharType="end"/>
      </w:r>
      <w:r w:rsidR="00766E04">
        <w:rPr>
          <w:lang w:eastAsia="en-AU"/>
        </w:rPr>
        <w:t>.</w:t>
      </w:r>
      <w:r w:rsidR="00A00B99">
        <w:rPr>
          <w:lang w:eastAsia="en-AU"/>
        </w:rPr>
        <w:t xml:space="preserve"> </w:t>
      </w:r>
    </w:p>
    <w:p w14:paraId="33430C45" w14:textId="4E0B293F" w:rsidR="00FB54EC" w:rsidRDefault="00BE38E7" w:rsidP="00D4099C">
      <w:pPr>
        <w:spacing w:line="276" w:lineRule="auto"/>
      </w:pPr>
      <w:r>
        <w:t xml:space="preserve">When establishing NRVs for sodium, </w:t>
      </w:r>
      <w:r w:rsidR="0018542E">
        <w:t xml:space="preserve">EFSA </w:t>
      </w:r>
      <w:r>
        <w:t>concluded that there was insufficient evidence to establish an EAR and associated RDI</w:t>
      </w:r>
      <w:r w:rsidR="00766E04">
        <w:t xml:space="preserve"> </w:t>
      </w:r>
      <w:r w:rsidR="00766E04">
        <w:fldChar w:fldCharType="begin"/>
      </w:r>
      <w:r w:rsidR="00185BC5">
        <w:instrText xml:space="preserve"> ADDIN EN.CITE &lt;EndNote&gt;&lt;Cite ExcludeAuth="1"&gt;&lt;Author&gt;European Food Safety Authority&lt;/Author&gt;&lt;Year&gt;2019&lt;/Year&gt;&lt;RecNum&gt;1&lt;/RecNum&gt;&lt;Prefix&gt;EFSA`, &lt;/Prefix&gt;&lt;DisplayText&gt;(EFSA, 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rsidR="00766E04">
        <w:fldChar w:fldCharType="separate"/>
      </w:r>
      <w:r w:rsidR="008774DF">
        <w:rPr>
          <w:noProof/>
        </w:rPr>
        <w:t>(EFSA, 2019)</w:t>
      </w:r>
      <w:r w:rsidR="00766E04">
        <w:fldChar w:fldCharType="end"/>
      </w:r>
      <w:r>
        <w:t xml:space="preserve">. </w:t>
      </w:r>
      <w:r w:rsidR="00172E9C">
        <w:t xml:space="preserve">Instead of establishing an </w:t>
      </w:r>
      <w:r w:rsidR="008774DF">
        <w:t>AI</w:t>
      </w:r>
      <w:r w:rsidR="00172E9C">
        <w:t xml:space="preserve">, EFSA </w:t>
      </w:r>
      <w:r w:rsidR="003F0094">
        <w:t xml:space="preserve">established </w:t>
      </w:r>
      <w:r w:rsidR="00172E9C">
        <w:t>a ‘safe and adequate’ intake</w:t>
      </w:r>
      <w:r w:rsidR="0072225F">
        <w:t xml:space="preserve">; </w:t>
      </w:r>
      <w:r w:rsidR="00941853">
        <w:t xml:space="preserve">a hybrid NRV reflecting </w:t>
      </w:r>
      <w:r w:rsidR="00EF4C1C">
        <w:t xml:space="preserve">a </w:t>
      </w:r>
      <w:r w:rsidR="0018542E">
        <w:t xml:space="preserve">level </w:t>
      </w:r>
      <w:r w:rsidR="00EF4C1C">
        <w:t xml:space="preserve">of intake that is </w:t>
      </w:r>
      <w:r w:rsidR="003F0094">
        <w:t xml:space="preserve">sufficient </w:t>
      </w:r>
      <w:r w:rsidR="00EF4C1C">
        <w:t xml:space="preserve">for </w:t>
      </w:r>
      <w:r w:rsidR="003F0094">
        <w:t xml:space="preserve">maintaining sodium </w:t>
      </w:r>
      <w:proofErr w:type="gramStart"/>
      <w:r w:rsidR="003F0094">
        <w:t>balance, and</w:t>
      </w:r>
      <w:proofErr w:type="gramEnd"/>
      <w:r w:rsidR="003F0094">
        <w:t xml:space="preserve"> </w:t>
      </w:r>
      <w:r w:rsidR="00F03965">
        <w:t xml:space="preserve">associated with a reduced risk of </w:t>
      </w:r>
      <w:r w:rsidR="00025725">
        <w:t>adverse health effects</w:t>
      </w:r>
      <w:r w:rsidR="00F03965">
        <w:t>. The value of 2</w:t>
      </w:r>
      <w:r w:rsidR="0072225F">
        <w:t>,000 mg</w:t>
      </w:r>
      <w:r w:rsidR="001639DB">
        <w:t>/day was selected for all adults</w:t>
      </w:r>
      <w:r w:rsidR="00FA72AF">
        <w:t xml:space="preserve"> including pregnant and lactating </w:t>
      </w:r>
      <w:r w:rsidR="00A0102C">
        <w:t>females</w:t>
      </w:r>
      <w:r w:rsidR="00FA72AF">
        <w:t xml:space="preserve">. </w:t>
      </w:r>
      <w:r w:rsidR="00FB4D91">
        <w:t xml:space="preserve">Safe and adequate intake </w:t>
      </w:r>
      <w:r w:rsidR="001639DB">
        <w:t xml:space="preserve">values for children and adolescents </w:t>
      </w:r>
      <w:r w:rsidR="00FB4D91">
        <w:t xml:space="preserve">were </w:t>
      </w:r>
      <w:r w:rsidR="001639DB">
        <w:t xml:space="preserve">extrapolated from </w:t>
      </w:r>
      <w:r w:rsidR="00FB4D91">
        <w:t xml:space="preserve">the adult value </w:t>
      </w:r>
      <w:r w:rsidR="008821BE">
        <w:t xml:space="preserve">based on energy requirements, adjusted to account for growth. </w:t>
      </w:r>
    </w:p>
    <w:p w14:paraId="1D3A44B5" w14:textId="77777777" w:rsidR="00FB54EC" w:rsidRDefault="00FB54EC">
      <w:r>
        <w:br w:type="page"/>
      </w:r>
    </w:p>
    <w:p w14:paraId="570EDBC7" w14:textId="7B2B40B2" w:rsidR="00F24EEE" w:rsidRDefault="00F24EEE" w:rsidP="00F24EEE">
      <w:pPr>
        <w:pStyle w:val="Caption"/>
        <w:keepNext/>
      </w:pPr>
      <w:bookmarkStart w:id="21" w:name="_Ref225857806"/>
      <w:r>
        <w:lastRenderedPageBreak/>
        <w:t xml:space="preserve">Table </w:t>
      </w:r>
      <w:r>
        <w:fldChar w:fldCharType="begin"/>
      </w:r>
      <w:r>
        <w:instrText>SEQ Table \* ARABIC</w:instrText>
      </w:r>
      <w:r>
        <w:fldChar w:fldCharType="separate"/>
      </w:r>
      <w:r w:rsidR="00B90577">
        <w:rPr>
          <w:noProof/>
        </w:rPr>
        <w:t>1</w:t>
      </w:r>
      <w:r>
        <w:fldChar w:fldCharType="end"/>
      </w:r>
      <w:bookmarkEnd w:id="21"/>
      <w:r>
        <w:t xml:space="preserve"> </w:t>
      </w:r>
      <w:r w:rsidR="0007136A">
        <w:t xml:space="preserve">– Comparison of </w:t>
      </w:r>
      <w:r>
        <w:t xml:space="preserve">Adequate Intake </w:t>
      </w:r>
      <w:r w:rsidR="0007136A">
        <w:t xml:space="preserve">(AI) </w:t>
      </w:r>
      <w:r>
        <w:t xml:space="preserve">recommendations </w:t>
      </w:r>
      <w:r w:rsidR="0007136A">
        <w:t xml:space="preserve">for Australia and New Zealand with values set by </w:t>
      </w:r>
      <w:r>
        <w:t>comparable international jurisdictions</w:t>
      </w:r>
    </w:p>
    <w:tbl>
      <w:tblPr>
        <w:tblStyle w:val="TableGrid"/>
        <w:tblW w:w="10343" w:type="dxa"/>
        <w:jc w:val="center"/>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Look w:val="04A0" w:firstRow="1" w:lastRow="0" w:firstColumn="1" w:lastColumn="0" w:noHBand="0" w:noVBand="1"/>
      </w:tblPr>
      <w:tblGrid>
        <w:gridCol w:w="1129"/>
        <w:gridCol w:w="993"/>
        <w:gridCol w:w="1275"/>
        <w:gridCol w:w="1560"/>
        <w:gridCol w:w="1701"/>
        <w:gridCol w:w="1984"/>
        <w:gridCol w:w="1701"/>
      </w:tblGrid>
      <w:tr w:rsidR="008C2AFB" w:rsidRPr="00EA2B2D" w14:paraId="7D5F404A" w14:textId="3E9748FA" w:rsidTr="00EA2B2D">
        <w:trPr>
          <w:trHeight w:val="1223"/>
          <w:jc w:val="center"/>
        </w:trPr>
        <w:tc>
          <w:tcPr>
            <w:tcW w:w="1129" w:type="dxa"/>
            <w:vMerge w:val="restart"/>
            <w:shd w:val="clear" w:color="auto" w:fill="156082" w:themeFill="accent1"/>
            <w:vAlign w:val="bottom"/>
          </w:tcPr>
          <w:p w14:paraId="1CF67BC8" w14:textId="1FCF6A80" w:rsidR="008C2AFB" w:rsidRPr="00EA2B2D" w:rsidRDefault="008C2AFB" w:rsidP="008C2AFB">
            <w:pPr>
              <w:rPr>
                <w:color w:val="FFFFFF" w:themeColor="background1"/>
                <w:sz w:val="20"/>
                <w:szCs w:val="20"/>
              </w:rPr>
            </w:pPr>
            <w:r w:rsidRPr="00EA2B2D">
              <w:rPr>
                <w:b/>
                <w:bCs/>
                <w:color w:val="FFFFFF" w:themeColor="background1"/>
                <w:sz w:val="20"/>
                <w:szCs w:val="20"/>
              </w:rPr>
              <w:t>Age group</w:t>
            </w:r>
          </w:p>
        </w:tc>
        <w:tc>
          <w:tcPr>
            <w:tcW w:w="2268" w:type="dxa"/>
            <w:gridSpan w:val="2"/>
            <w:shd w:val="clear" w:color="auto" w:fill="156082" w:themeFill="accent1"/>
            <w:vAlign w:val="center"/>
          </w:tcPr>
          <w:p w14:paraId="046896C3" w14:textId="7A960719" w:rsidR="008C2AFB" w:rsidRPr="00EA2B2D" w:rsidRDefault="008C2AFB" w:rsidP="00B31F54">
            <w:pPr>
              <w:jc w:val="center"/>
              <w:rPr>
                <w:b/>
                <w:bCs/>
                <w:color w:val="FFFFFF" w:themeColor="background1"/>
                <w:sz w:val="20"/>
                <w:szCs w:val="20"/>
              </w:rPr>
            </w:pPr>
            <w:r w:rsidRPr="00EA2B2D">
              <w:rPr>
                <w:b/>
                <w:bCs/>
                <w:color w:val="FFFFFF" w:themeColor="background1"/>
                <w:sz w:val="20"/>
                <w:szCs w:val="20"/>
              </w:rPr>
              <w:t>Australia &amp; New Zealand</w:t>
            </w:r>
          </w:p>
          <w:p w14:paraId="36F7761B" w14:textId="0D74EBE7" w:rsidR="008C2AFB" w:rsidRPr="00EA2B2D" w:rsidRDefault="000F0E1D" w:rsidP="00B31F54">
            <w:pPr>
              <w:jc w:val="center"/>
              <w:rPr>
                <w:b/>
                <w:bCs/>
                <w:color w:val="FFFFFF" w:themeColor="background1"/>
                <w:sz w:val="20"/>
                <w:szCs w:val="20"/>
              </w:rPr>
            </w:pPr>
            <w:r w:rsidRPr="00EA2B2D">
              <w:rPr>
                <w:b/>
                <w:bCs/>
                <w:color w:val="FFFFFF" w:themeColor="background1"/>
                <w:sz w:val="20"/>
                <w:szCs w:val="20"/>
              </w:rPr>
              <w:fldChar w:fldCharType="begin"/>
            </w:r>
            <w:r w:rsidR="00A71C3B" w:rsidRPr="00EA2B2D">
              <w:rPr>
                <w:b/>
                <w:bCs/>
                <w:color w:val="FFFFFF" w:themeColor="background1"/>
                <w:sz w:val="20"/>
                <w:szCs w:val="20"/>
              </w:rPr>
              <w:instrText xml:space="preserve"> ADDIN EN.CITE &lt;EndNote&gt;&lt;Cite ExcludeAuth="1"&gt;&lt;Author&gt;National Health and Medical Research Council&lt;/Author&gt;&lt;Year&gt;2006&lt;/Year&gt;&lt;RecNum&gt;4629&lt;/RecNum&gt;&lt;Prefix&gt;NHMRC`, &lt;/Prefix&gt;&lt;DisplayText&gt;(NHMRC, 2006b)&lt;/DisplayText&gt;&lt;record&gt;&lt;rec-number&gt;4629&lt;/rec-number&gt;&lt;foreign-keys&gt;&lt;key app="EN" db-id="wwsdv2wwp29fenerv0kx5tw9zxtx2fdrprx2" timestamp="1774923627"&gt;4629&lt;/key&gt;&lt;/foreign-keys&gt;&lt;ref-type name="Government Document"&gt;46&lt;/ref-type&gt;&lt;contributors&gt;&lt;authors&gt;&lt;author&gt;National Health and Medical Research Council, NHMRC&lt;/author&gt;&lt;/authors&gt;&lt;secondary-authors&gt;&lt;author&gt;Australian Government Department of Health and Ageing&lt;/author&gt;&lt;/secondary-authors&gt;&lt;/contributors&gt;&lt;titles&gt;&lt;title&gt;Nutrient Reference Values for Australia and New Zealand&lt;/title&gt;&lt;/titles&gt;&lt;dates&gt;&lt;year&gt;2006&lt;/year&gt;&lt;/dates&gt;&lt;pub-location&gt;Canberra&lt;/pub-location&gt;&lt;publisher&gt;NHMRC&lt;/publisher&gt;&lt;urls&gt;&lt;related-urls&gt;&lt;url&gt;https://www.nhmrc.gov.au/about-us/publications/nutrient-reference-values-australia-and-new-zealand-including-recommended-dietary-intakes&lt;/url&gt;&lt;/related-urls&gt;&lt;/urls&gt;&lt;/record&gt;&lt;/Cite&gt;&lt;/EndNote&gt;</w:instrText>
            </w:r>
            <w:r w:rsidRPr="00EA2B2D">
              <w:rPr>
                <w:b/>
                <w:bCs/>
                <w:color w:val="FFFFFF" w:themeColor="background1"/>
                <w:sz w:val="20"/>
                <w:szCs w:val="20"/>
              </w:rPr>
              <w:fldChar w:fldCharType="separate"/>
            </w:r>
            <w:r w:rsidR="00A71C3B" w:rsidRPr="00EA2B2D">
              <w:rPr>
                <w:b/>
                <w:bCs/>
                <w:noProof/>
                <w:color w:val="FFFFFF" w:themeColor="background1"/>
                <w:sz w:val="20"/>
                <w:szCs w:val="20"/>
              </w:rPr>
              <w:t>(NHMRC, 2006b)</w:t>
            </w:r>
            <w:r w:rsidRPr="00EA2B2D">
              <w:rPr>
                <w:b/>
                <w:bCs/>
                <w:color w:val="FFFFFF" w:themeColor="background1"/>
                <w:sz w:val="20"/>
                <w:szCs w:val="20"/>
              </w:rPr>
              <w:fldChar w:fldCharType="end"/>
            </w:r>
          </w:p>
        </w:tc>
        <w:tc>
          <w:tcPr>
            <w:tcW w:w="1560" w:type="dxa"/>
            <w:shd w:val="clear" w:color="auto" w:fill="156082" w:themeFill="accent1"/>
            <w:vAlign w:val="center"/>
          </w:tcPr>
          <w:p w14:paraId="32D6EF7A" w14:textId="77777777" w:rsidR="000F0E1D" w:rsidRPr="00EA2B2D" w:rsidRDefault="008C2AFB" w:rsidP="00B31F54">
            <w:pPr>
              <w:jc w:val="center"/>
              <w:rPr>
                <w:b/>
                <w:bCs/>
                <w:color w:val="FFFFFF" w:themeColor="background1"/>
                <w:sz w:val="20"/>
                <w:szCs w:val="20"/>
              </w:rPr>
            </w:pPr>
            <w:r w:rsidRPr="00EA2B2D">
              <w:rPr>
                <w:b/>
                <w:bCs/>
                <w:color w:val="FFFFFF" w:themeColor="background1"/>
                <w:sz w:val="20"/>
                <w:szCs w:val="20"/>
              </w:rPr>
              <w:t>United States</w:t>
            </w:r>
          </w:p>
          <w:p w14:paraId="6C066394" w14:textId="75C4D7E8" w:rsidR="008C2AFB" w:rsidRPr="00EA2B2D" w:rsidRDefault="000F0E1D" w:rsidP="00B31F54">
            <w:pPr>
              <w:jc w:val="center"/>
              <w:rPr>
                <w:b/>
                <w:bCs/>
                <w:color w:val="FFFFFF" w:themeColor="background1"/>
                <w:sz w:val="20"/>
                <w:szCs w:val="20"/>
              </w:rPr>
            </w:pPr>
            <w:r w:rsidRPr="00EA2B2D">
              <w:rPr>
                <w:b/>
                <w:bCs/>
                <w:color w:val="FFFFFF" w:themeColor="background1"/>
                <w:sz w:val="20"/>
                <w:szCs w:val="20"/>
              </w:rPr>
              <w:fldChar w:fldCharType="begin"/>
            </w:r>
            <w:r w:rsidRPr="00EA2B2D">
              <w:rPr>
                <w:b/>
                <w:bCs/>
                <w:color w:val="FFFFFF" w:themeColor="background1"/>
                <w:sz w:val="20"/>
                <w:szCs w:val="20"/>
              </w:rPr>
              <w:instrText xml:space="preserve"> ADDIN EN.CITE &lt;EndNote&gt;&lt;Cite ExcludeAuth="1"&gt;&lt;Author&gt;National Academies of Sciences&lt;/Author&gt;&lt;Year&gt;2019&lt;/Year&gt;&lt;RecNum&gt;4618&lt;/RecNum&gt;&lt;Prefix&gt;NASEM`, &lt;/Prefix&gt;&lt;DisplayText&gt;(NASEM, 2019)&lt;/DisplayText&gt;&lt;record&gt;&lt;rec-number&gt;4618&lt;/rec-number&gt;&lt;foreign-keys&gt;&lt;key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sidRPr="00EA2B2D">
              <w:rPr>
                <w:b/>
                <w:bCs/>
                <w:color w:val="FFFFFF" w:themeColor="background1"/>
                <w:sz w:val="20"/>
                <w:szCs w:val="20"/>
              </w:rPr>
              <w:fldChar w:fldCharType="separate"/>
            </w:r>
            <w:r w:rsidRPr="00EA2B2D">
              <w:rPr>
                <w:b/>
                <w:bCs/>
                <w:noProof/>
                <w:color w:val="FFFFFF" w:themeColor="background1"/>
                <w:sz w:val="20"/>
                <w:szCs w:val="20"/>
              </w:rPr>
              <w:t>(NASEM, 2019)</w:t>
            </w:r>
            <w:r w:rsidRPr="00EA2B2D">
              <w:rPr>
                <w:b/>
                <w:bCs/>
                <w:color w:val="FFFFFF" w:themeColor="background1"/>
                <w:sz w:val="20"/>
                <w:szCs w:val="20"/>
              </w:rPr>
              <w:fldChar w:fldCharType="end"/>
            </w:r>
          </w:p>
        </w:tc>
        <w:tc>
          <w:tcPr>
            <w:tcW w:w="1701" w:type="dxa"/>
            <w:shd w:val="clear" w:color="auto" w:fill="156082" w:themeFill="accent1"/>
            <w:vAlign w:val="center"/>
          </w:tcPr>
          <w:p w14:paraId="0899C279" w14:textId="77777777" w:rsidR="008C2AFB" w:rsidRPr="00EA2B2D" w:rsidRDefault="008C2AFB" w:rsidP="00B31F54">
            <w:pPr>
              <w:jc w:val="center"/>
              <w:rPr>
                <w:b/>
                <w:bCs/>
                <w:color w:val="FFFFFF" w:themeColor="background1"/>
                <w:sz w:val="20"/>
                <w:szCs w:val="20"/>
              </w:rPr>
            </w:pPr>
            <w:r w:rsidRPr="00EA2B2D">
              <w:rPr>
                <w:b/>
                <w:bCs/>
                <w:color w:val="FFFFFF" w:themeColor="background1"/>
                <w:sz w:val="20"/>
                <w:szCs w:val="20"/>
              </w:rPr>
              <w:t>European Union</w:t>
            </w:r>
          </w:p>
          <w:p w14:paraId="57B61D35" w14:textId="028D1D0C" w:rsidR="000F0E1D" w:rsidRPr="00EA2B2D" w:rsidRDefault="000F0E1D" w:rsidP="00B31F54">
            <w:pPr>
              <w:jc w:val="center"/>
              <w:rPr>
                <w:b/>
                <w:bCs/>
                <w:color w:val="FFFFFF" w:themeColor="background1"/>
                <w:sz w:val="20"/>
                <w:szCs w:val="20"/>
              </w:rPr>
            </w:pPr>
            <w:r w:rsidRPr="00EA2B2D">
              <w:rPr>
                <w:b/>
                <w:bCs/>
                <w:color w:val="FFFFFF" w:themeColor="background1"/>
                <w:sz w:val="20"/>
                <w:szCs w:val="20"/>
              </w:rPr>
              <w:fldChar w:fldCharType="begin"/>
            </w:r>
            <w:r w:rsidR="00185BC5">
              <w:rPr>
                <w:b/>
                <w:bCs/>
                <w:color w:val="FFFFFF" w:themeColor="background1"/>
                <w:sz w:val="20"/>
                <w:szCs w:val="20"/>
              </w:rPr>
              <w:instrText xml:space="preserve"> ADDIN EN.CITE &lt;EndNote&gt;&lt;Cite ExcludeAuth="1"&gt;&lt;Author&gt;European Food Safety Authority&lt;/Author&gt;&lt;Year&gt;2019&lt;/Year&gt;&lt;RecNum&gt;1&lt;/RecNum&gt;&lt;Prefix&gt;EFSA`, &lt;/Prefix&gt;&lt;DisplayText&gt;(EFSA, 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rsidRPr="00EA2B2D">
              <w:rPr>
                <w:b/>
                <w:bCs/>
                <w:color w:val="FFFFFF" w:themeColor="background1"/>
                <w:sz w:val="20"/>
                <w:szCs w:val="20"/>
              </w:rPr>
              <w:fldChar w:fldCharType="separate"/>
            </w:r>
            <w:r w:rsidRPr="00EA2B2D">
              <w:rPr>
                <w:b/>
                <w:bCs/>
                <w:noProof/>
                <w:color w:val="FFFFFF" w:themeColor="background1"/>
                <w:sz w:val="20"/>
                <w:szCs w:val="20"/>
              </w:rPr>
              <w:t>(EFSA, 2019)</w:t>
            </w:r>
            <w:r w:rsidRPr="00EA2B2D">
              <w:rPr>
                <w:b/>
                <w:bCs/>
                <w:color w:val="FFFFFF" w:themeColor="background1"/>
                <w:sz w:val="20"/>
                <w:szCs w:val="20"/>
              </w:rPr>
              <w:fldChar w:fldCharType="end"/>
            </w:r>
          </w:p>
        </w:tc>
        <w:tc>
          <w:tcPr>
            <w:tcW w:w="1984" w:type="dxa"/>
            <w:shd w:val="clear" w:color="auto" w:fill="156082" w:themeFill="accent1"/>
            <w:vAlign w:val="center"/>
          </w:tcPr>
          <w:p w14:paraId="7643BE89" w14:textId="689B3A9F" w:rsidR="008C2AFB" w:rsidRPr="00EA2B2D" w:rsidRDefault="008C2AFB" w:rsidP="00B31F54">
            <w:pPr>
              <w:jc w:val="center"/>
              <w:rPr>
                <w:b/>
                <w:bCs/>
                <w:color w:val="FFFFFF" w:themeColor="background1"/>
                <w:sz w:val="20"/>
                <w:szCs w:val="20"/>
              </w:rPr>
            </w:pPr>
            <w:r w:rsidRPr="00EA2B2D">
              <w:rPr>
                <w:b/>
                <w:bCs/>
                <w:color w:val="FFFFFF" w:themeColor="background1"/>
                <w:sz w:val="20"/>
                <w:szCs w:val="20"/>
              </w:rPr>
              <w:t>Nordic and Baltic Populations</w:t>
            </w:r>
          </w:p>
          <w:p w14:paraId="5BF01378" w14:textId="5F2B94C3" w:rsidR="008C2AFB" w:rsidRPr="00EA2B2D" w:rsidRDefault="000F0E1D" w:rsidP="00B31F54">
            <w:pPr>
              <w:jc w:val="center"/>
              <w:rPr>
                <w:b/>
                <w:bCs/>
                <w:color w:val="FFFFFF" w:themeColor="background1"/>
                <w:sz w:val="20"/>
                <w:szCs w:val="20"/>
              </w:rPr>
            </w:pPr>
            <w:r w:rsidRPr="00EA2B2D">
              <w:rPr>
                <w:b/>
                <w:bCs/>
                <w:color w:val="FFFFFF" w:themeColor="background1"/>
                <w:sz w:val="20"/>
                <w:szCs w:val="20"/>
              </w:rPr>
              <w:fldChar w:fldCharType="begin"/>
            </w:r>
            <w:r w:rsidRPr="00EA2B2D">
              <w:rPr>
                <w:b/>
                <w:bCs/>
                <w:color w:val="FFFFFF" w:themeColor="background1"/>
                <w:sz w:val="20"/>
                <w:szCs w:val="20"/>
              </w:rPr>
              <w:instrText xml:space="preserve"> ADDIN EN.CITE &lt;EndNote&gt;&lt;Cite&gt;&lt;Author&gt;Blomhoff&lt;/Author&gt;&lt;Year&gt;2023&lt;/Year&gt;&lt;RecNum&gt;4617&lt;/RecNum&gt;&lt;DisplayText&gt;(Blomhoff et al., 2023)&lt;/DisplayText&gt;&lt;record&gt;&lt;rec-number&gt;4617&lt;/rec-number&gt;&lt;foreign-keys&gt;&lt;key app="EN" db-id="wwsdv2wwp29fenerv0kx5tw9zxtx2fdrprx2" timestamp="1774921009"&gt;4617&lt;/key&gt;&lt;/foreign-keys&gt;&lt;ref-type name="Book"&gt;6&lt;/ref-type&gt;&lt;contributors&gt;&lt;authors&gt;&lt;author&gt;Blomhoff, Rune&lt;/author&gt;&lt;author&gt;Andersen, Rikke&lt;/author&gt;&lt;author&gt;Arnesen, Erik&lt;/author&gt;&lt;author&gt;Christensen, Jacob&lt;/author&gt;&lt;author&gt;Eneroth, Hanna&lt;/author&gt;&lt;author&gt;Erkkola, Maijaliisa&lt;/author&gt;&lt;author&gt;Gudanaviciene, Ieva&lt;/author&gt;&lt;author&gt;Høyer-Lund, Anne&lt;/author&gt;&lt;author&gt;Lemming, Eva&lt;/author&gt;&lt;author&gt;Meltzer, Helle&lt;/author&gt;&lt;author&gt;Pitsi, Tagli&lt;/author&gt;&lt;author&gt;Siksna, Inese&lt;/author&gt;&lt;author&gt;Thorsdottir, Inga&lt;/author&gt;&lt;author&gt;Trolle, Ellen&lt;/author&gt;&lt;/authors&gt;&lt;/contributors&gt;&lt;titles&gt;&lt;title&gt;Nordic Nutrition Recommendations 2023&lt;/title&gt;&lt;/titles&gt;&lt;dates&gt;&lt;year&gt;2023&lt;/year&gt;&lt;/dates&gt;&lt;isbn&gt;9789289375344&lt;/isbn&gt;&lt;urls&gt;&lt;/urls&gt;&lt;electronic-resource-num&gt;10.6027/nord2023-003&lt;/electronic-resource-num&gt;&lt;/record&gt;&lt;/Cite&gt;&lt;/EndNote&gt;</w:instrText>
            </w:r>
            <w:r w:rsidRPr="00EA2B2D">
              <w:rPr>
                <w:b/>
                <w:bCs/>
                <w:color w:val="FFFFFF" w:themeColor="background1"/>
                <w:sz w:val="20"/>
                <w:szCs w:val="20"/>
              </w:rPr>
              <w:fldChar w:fldCharType="separate"/>
            </w:r>
            <w:r w:rsidRPr="00EA2B2D">
              <w:rPr>
                <w:b/>
                <w:bCs/>
                <w:noProof/>
                <w:color w:val="FFFFFF" w:themeColor="background1"/>
                <w:sz w:val="20"/>
                <w:szCs w:val="20"/>
              </w:rPr>
              <w:t>(Blomhoff et al., 2023)</w:t>
            </w:r>
            <w:r w:rsidRPr="00EA2B2D">
              <w:rPr>
                <w:b/>
                <w:bCs/>
                <w:color w:val="FFFFFF" w:themeColor="background1"/>
                <w:sz w:val="20"/>
                <w:szCs w:val="20"/>
              </w:rPr>
              <w:fldChar w:fldCharType="end"/>
            </w:r>
          </w:p>
        </w:tc>
        <w:tc>
          <w:tcPr>
            <w:tcW w:w="1701" w:type="dxa"/>
            <w:shd w:val="clear" w:color="auto" w:fill="156082" w:themeFill="accent1"/>
          </w:tcPr>
          <w:p w14:paraId="39646CC0" w14:textId="77777777" w:rsidR="008C2AFB" w:rsidRPr="00EA2B2D" w:rsidRDefault="008C2AFB" w:rsidP="00024D61">
            <w:pPr>
              <w:jc w:val="center"/>
              <w:rPr>
                <w:b/>
                <w:bCs/>
                <w:color w:val="FFFFFF" w:themeColor="background1"/>
                <w:sz w:val="20"/>
                <w:szCs w:val="20"/>
              </w:rPr>
            </w:pPr>
            <w:r w:rsidRPr="00EA2B2D">
              <w:rPr>
                <w:b/>
                <w:bCs/>
                <w:color w:val="FFFFFF" w:themeColor="background1"/>
                <w:sz w:val="20"/>
                <w:szCs w:val="20"/>
              </w:rPr>
              <w:t>Germany, Austria &amp; Switzerland</w:t>
            </w:r>
          </w:p>
          <w:p w14:paraId="4CD76DDF" w14:textId="62B18447" w:rsidR="00024D61" w:rsidRPr="00EA2B2D" w:rsidRDefault="00024D61" w:rsidP="00024D61">
            <w:pPr>
              <w:jc w:val="center"/>
              <w:rPr>
                <w:b/>
                <w:bCs/>
                <w:color w:val="FFFFFF" w:themeColor="background1"/>
                <w:sz w:val="20"/>
                <w:szCs w:val="20"/>
              </w:rPr>
            </w:pPr>
            <w:r w:rsidRPr="00EA2B2D">
              <w:rPr>
                <w:b/>
                <w:bCs/>
                <w:color w:val="FFFFFF" w:themeColor="background1"/>
                <w:sz w:val="20"/>
                <w:szCs w:val="20"/>
              </w:rPr>
              <w:fldChar w:fldCharType="begin">
                <w:fldData xml:space="preserve">PEVuZE5vdGU+PENpdGU+PEF1dGhvcj5TdHJvaG08L0F1dGhvcj48WWVhcj4yMDE4PC9ZZWFyPjxS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</w:fldData>
              </w:fldChar>
            </w:r>
            <w:r w:rsidRPr="00EA2B2D">
              <w:rPr>
                <w:b/>
                <w:bCs/>
                <w:color w:val="FFFFFF" w:themeColor="background1"/>
                <w:sz w:val="20"/>
                <w:szCs w:val="20"/>
              </w:rPr>
              <w:instrText xml:space="preserve"> ADDIN EN.CITE </w:instrText>
            </w:r>
            <w:r w:rsidRPr="00EA2B2D">
              <w:rPr>
                <w:b/>
                <w:bCs/>
                <w:color w:val="FFFFFF" w:themeColor="background1"/>
                <w:sz w:val="20"/>
                <w:szCs w:val="20"/>
              </w:rPr>
              <w:fldChar w:fldCharType="begin">
                <w:fldData xml:space="preserve">PEVuZE5vdGU+PENpdGU+PEF1dGhvcj5TdHJvaG08L0F1dGhvcj48WWVhcj4yMDE4PC9ZZWFyPjxS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</w:fldData>
              </w:fldChar>
            </w:r>
            <w:r w:rsidRPr="00EA2B2D">
              <w:rPr>
                <w:b/>
                <w:bCs/>
                <w:color w:val="FFFFFF" w:themeColor="background1"/>
                <w:sz w:val="20"/>
                <w:szCs w:val="20"/>
              </w:rPr>
              <w:instrText xml:space="preserve"> ADDIN EN.CITE.DATA </w:instrText>
            </w:r>
            <w:r w:rsidRPr="00EA2B2D">
              <w:rPr>
                <w:b/>
                <w:bCs/>
                <w:color w:val="FFFFFF" w:themeColor="background1"/>
                <w:sz w:val="20"/>
                <w:szCs w:val="20"/>
              </w:rPr>
            </w:r>
            <w:r w:rsidRPr="00EA2B2D">
              <w:rPr>
                <w:b/>
                <w:bCs/>
                <w:color w:val="FFFFFF" w:themeColor="background1"/>
                <w:sz w:val="20"/>
                <w:szCs w:val="20"/>
              </w:rPr>
              <w:fldChar w:fldCharType="end"/>
            </w:r>
            <w:r w:rsidRPr="00EA2B2D">
              <w:rPr>
                <w:b/>
                <w:bCs/>
                <w:color w:val="FFFFFF" w:themeColor="background1"/>
                <w:sz w:val="20"/>
                <w:szCs w:val="20"/>
              </w:rPr>
            </w:r>
            <w:r w:rsidRPr="00EA2B2D">
              <w:rPr>
                <w:b/>
                <w:bCs/>
                <w:color w:val="FFFFFF" w:themeColor="background1"/>
                <w:sz w:val="20"/>
                <w:szCs w:val="20"/>
              </w:rPr>
              <w:fldChar w:fldCharType="separate"/>
            </w:r>
            <w:r w:rsidRPr="00EA2B2D">
              <w:rPr>
                <w:b/>
                <w:bCs/>
                <w:noProof/>
                <w:color w:val="FFFFFF" w:themeColor="background1"/>
                <w:sz w:val="20"/>
                <w:szCs w:val="20"/>
              </w:rPr>
              <w:t>(Strohm et al., 2018)</w:t>
            </w:r>
            <w:r w:rsidRPr="00EA2B2D">
              <w:rPr>
                <w:b/>
                <w:bCs/>
                <w:color w:val="FFFFFF" w:themeColor="background1"/>
                <w:sz w:val="20"/>
                <w:szCs w:val="20"/>
              </w:rPr>
              <w:fldChar w:fldCharType="end"/>
            </w:r>
          </w:p>
        </w:tc>
      </w:tr>
      <w:tr w:rsidR="008C2AFB" w:rsidRPr="00EA2B2D" w14:paraId="0D0C9054" w14:textId="310481C7" w:rsidTr="00EA2B2D">
        <w:trPr>
          <w:jc w:val="center"/>
        </w:trPr>
        <w:tc>
          <w:tcPr>
            <w:tcW w:w="1129" w:type="dxa"/>
            <w:vMerge/>
            <w:shd w:val="clear" w:color="auto" w:fill="156082" w:themeFill="accent1"/>
            <w:vAlign w:val="bottom"/>
          </w:tcPr>
          <w:p w14:paraId="3258869E" w14:textId="400C54B7" w:rsidR="008C2AFB" w:rsidRPr="00EA2B2D" w:rsidRDefault="008C2AFB" w:rsidP="006F1C85">
            <w:pPr>
              <w:rPr>
                <w:b/>
                <w:bCs/>
                <w:color w:val="FFFFFF" w:themeColor="background1"/>
                <w:sz w:val="20"/>
                <w:szCs w:val="20"/>
              </w:rPr>
            </w:pPr>
          </w:p>
        </w:tc>
        <w:tc>
          <w:tcPr>
            <w:tcW w:w="2268" w:type="dxa"/>
            <w:gridSpan w:val="2"/>
            <w:shd w:val="clear" w:color="auto" w:fill="156082" w:themeFill="accent1"/>
          </w:tcPr>
          <w:p w14:paraId="3C6A5E26" w14:textId="5506205E" w:rsidR="008C2AFB" w:rsidRPr="00EA2B2D" w:rsidRDefault="008C2AFB" w:rsidP="00105B92">
            <w:pPr>
              <w:jc w:val="center"/>
              <w:rPr>
                <w:b/>
                <w:bCs/>
                <w:color w:val="FFFFFF" w:themeColor="background1"/>
                <w:sz w:val="20"/>
                <w:szCs w:val="20"/>
              </w:rPr>
            </w:pPr>
            <w:hyperlink r:id="rId26" w:anchor="AI" w:history="1">
              <w:r w:rsidRPr="00EA2B2D">
                <w:rPr>
                  <w:rStyle w:val="Hyperlink"/>
                  <w:b/>
                  <w:bCs/>
                  <w:color w:val="FFFFFF" w:themeColor="background1"/>
                  <w:sz w:val="20"/>
                  <w:szCs w:val="20"/>
                </w:rPr>
                <w:t>AI</w:t>
              </w:r>
            </w:hyperlink>
          </w:p>
        </w:tc>
        <w:tc>
          <w:tcPr>
            <w:tcW w:w="1560" w:type="dxa"/>
            <w:shd w:val="clear" w:color="auto" w:fill="156082" w:themeFill="accent1"/>
          </w:tcPr>
          <w:p w14:paraId="5BC73B25" w14:textId="1B57A969" w:rsidR="008C2AFB" w:rsidRPr="00EA2B2D" w:rsidRDefault="008C2AFB" w:rsidP="00105B92">
            <w:pPr>
              <w:jc w:val="center"/>
              <w:rPr>
                <w:b/>
                <w:bCs/>
                <w:color w:val="FFFFFF" w:themeColor="background1"/>
                <w:sz w:val="20"/>
                <w:szCs w:val="20"/>
              </w:rPr>
            </w:pPr>
            <w:hyperlink r:id="rId27" w:anchor="AI" w:history="1">
              <w:r w:rsidRPr="00EA2B2D">
                <w:rPr>
                  <w:rStyle w:val="Hyperlink"/>
                  <w:b/>
                  <w:bCs/>
                  <w:color w:val="FFFFFF" w:themeColor="background1"/>
                  <w:sz w:val="20"/>
                  <w:szCs w:val="20"/>
                </w:rPr>
                <w:t>AI</w:t>
              </w:r>
            </w:hyperlink>
          </w:p>
        </w:tc>
        <w:tc>
          <w:tcPr>
            <w:tcW w:w="1701" w:type="dxa"/>
            <w:shd w:val="clear" w:color="auto" w:fill="156082" w:themeFill="accent1"/>
          </w:tcPr>
          <w:p w14:paraId="57AAA401" w14:textId="733D7A55" w:rsidR="008C2AFB" w:rsidRPr="00EA2B2D" w:rsidRDefault="008C2AFB" w:rsidP="00105B92">
            <w:pPr>
              <w:jc w:val="center"/>
              <w:rPr>
                <w:b/>
                <w:bCs/>
                <w:color w:val="FFFFFF" w:themeColor="background1"/>
                <w:sz w:val="20"/>
                <w:szCs w:val="20"/>
              </w:rPr>
            </w:pPr>
            <w:r w:rsidRPr="00EA2B2D">
              <w:rPr>
                <w:b/>
                <w:bCs/>
                <w:color w:val="FFFFFF" w:themeColor="background1"/>
                <w:sz w:val="20"/>
                <w:szCs w:val="20"/>
              </w:rPr>
              <w:t>‘Safe and Adequate</w:t>
            </w:r>
            <w:r w:rsidR="003E5D64" w:rsidRPr="00EA2B2D">
              <w:rPr>
                <w:b/>
                <w:bCs/>
                <w:color w:val="FFFFFF" w:themeColor="background1"/>
                <w:sz w:val="20"/>
                <w:szCs w:val="20"/>
              </w:rPr>
              <w:t>’</w:t>
            </w:r>
            <w:r w:rsidR="003E5D64" w:rsidRPr="00EA2B2D">
              <w:rPr>
                <w:b/>
                <w:bCs/>
                <w:color w:val="FFFFFF" w:themeColor="background1"/>
                <w:sz w:val="20"/>
                <w:szCs w:val="20"/>
                <w:vertAlign w:val="superscript"/>
              </w:rPr>
              <w:t>#</w:t>
            </w:r>
          </w:p>
        </w:tc>
        <w:tc>
          <w:tcPr>
            <w:tcW w:w="1984" w:type="dxa"/>
            <w:shd w:val="clear" w:color="auto" w:fill="156082" w:themeFill="accent1"/>
          </w:tcPr>
          <w:p w14:paraId="16B78817" w14:textId="77853BA6" w:rsidR="008C2AFB" w:rsidRPr="00EA2B2D" w:rsidRDefault="008C2AFB" w:rsidP="00105B92">
            <w:pPr>
              <w:jc w:val="center"/>
              <w:rPr>
                <w:b/>
                <w:bCs/>
                <w:color w:val="FFFFFF" w:themeColor="background1"/>
                <w:sz w:val="20"/>
                <w:szCs w:val="20"/>
              </w:rPr>
            </w:pPr>
            <w:hyperlink r:id="rId28" w:anchor="AI" w:history="1">
              <w:r w:rsidRPr="00EA2B2D">
                <w:rPr>
                  <w:rStyle w:val="Hyperlink"/>
                  <w:b/>
                  <w:bCs/>
                  <w:color w:val="FFFFFF" w:themeColor="background1"/>
                  <w:sz w:val="20"/>
                  <w:szCs w:val="20"/>
                </w:rPr>
                <w:t>AI</w:t>
              </w:r>
            </w:hyperlink>
          </w:p>
        </w:tc>
        <w:tc>
          <w:tcPr>
            <w:tcW w:w="1701" w:type="dxa"/>
            <w:shd w:val="clear" w:color="auto" w:fill="156082" w:themeFill="accent1"/>
          </w:tcPr>
          <w:p w14:paraId="14F38A69" w14:textId="5013828F" w:rsidR="008C2AFB" w:rsidRPr="00EA2B2D" w:rsidRDefault="008C2AFB" w:rsidP="00105B92">
            <w:pPr>
              <w:jc w:val="center"/>
              <w:rPr>
                <w:b/>
                <w:bCs/>
                <w:color w:val="FFFFFF" w:themeColor="background1"/>
                <w:sz w:val="20"/>
                <w:szCs w:val="20"/>
              </w:rPr>
            </w:pPr>
            <w:hyperlink r:id="rId29" w:anchor="AI" w:history="1">
              <w:r w:rsidRPr="00EA2B2D">
                <w:rPr>
                  <w:rStyle w:val="Hyperlink"/>
                  <w:b/>
                  <w:bCs/>
                  <w:color w:val="FFFFFF" w:themeColor="background1"/>
                  <w:sz w:val="20"/>
                  <w:szCs w:val="20"/>
                </w:rPr>
                <w:t>AI</w:t>
              </w:r>
            </w:hyperlink>
          </w:p>
        </w:tc>
      </w:tr>
      <w:tr w:rsidR="008C2AFB" w:rsidRPr="00EA2B2D" w14:paraId="1C558BC4" w14:textId="5928CCB6" w:rsidTr="00EA2B2D">
        <w:trPr>
          <w:jc w:val="center"/>
        </w:trPr>
        <w:tc>
          <w:tcPr>
            <w:tcW w:w="1129" w:type="dxa"/>
            <w:vMerge/>
            <w:shd w:val="clear" w:color="auto" w:fill="156082" w:themeFill="accent1"/>
          </w:tcPr>
          <w:p w14:paraId="18CBE292" w14:textId="77777777" w:rsidR="008C2AFB" w:rsidRPr="00EA2B2D" w:rsidRDefault="008C2AFB" w:rsidP="00FD5042">
            <w:pPr>
              <w:rPr>
                <w:color w:val="FFFFFF" w:themeColor="background1"/>
                <w:sz w:val="20"/>
                <w:szCs w:val="20"/>
              </w:rPr>
            </w:pPr>
          </w:p>
        </w:tc>
        <w:tc>
          <w:tcPr>
            <w:tcW w:w="993" w:type="dxa"/>
            <w:shd w:val="clear" w:color="auto" w:fill="156082" w:themeFill="accent1"/>
          </w:tcPr>
          <w:p w14:paraId="60BFCCC9" w14:textId="5551A175" w:rsidR="008C2AFB" w:rsidRPr="00EA2B2D" w:rsidRDefault="008C2AFB" w:rsidP="00105B92">
            <w:pPr>
              <w:jc w:val="center"/>
              <w:rPr>
                <w:b/>
                <w:bCs/>
                <w:color w:val="FFFFFF" w:themeColor="background1"/>
                <w:sz w:val="20"/>
                <w:szCs w:val="20"/>
              </w:rPr>
            </w:pPr>
            <w:r w:rsidRPr="00EA2B2D">
              <w:rPr>
                <w:b/>
                <w:bCs/>
                <w:color w:val="FFFFFF" w:themeColor="background1"/>
                <w:sz w:val="20"/>
                <w:szCs w:val="20"/>
              </w:rPr>
              <w:t>mg/day</w:t>
            </w:r>
          </w:p>
        </w:tc>
        <w:tc>
          <w:tcPr>
            <w:tcW w:w="1275" w:type="dxa"/>
            <w:shd w:val="clear" w:color="auto" w:fill="156082" w:themeFill="accent1"/>
          </w:tcPr>
          <w:p w14:paraId="39201B61" w14:textId="6D0BA290" w:rsidR="008C2AFB" w:rsidRPr="00EA2B2D" w:rsidRDefault="008C2AFB" w:rsidP="00105B92">
            <w:pPr>
              <w:jc w:val="center"/>
              <w:rPr>
                <w:b/>
                <w:bCs/>
                <w:color w:val="FFFFFF" w:themeColor="background1"/>
                <w:sz w:val="20"/>
                <w:szCs w:val="20"/>
              </w:rPr>
            </w:pPr>
            <w:r w:rsidRPr="00EA2B2D">
              <w:rPr>
                <w:b/>
                <w:bCs/>
                <w:color w:val="FFFFFF" w:themeColor="background1"/>
                <w:sz w:val="20"/>
                <w:szCs w:val="20"/>
              </w:rPr>
              <w:t>mmol/day</w:t>
            </w:r>
          </w:p>
        </w:tc>
        <w:tc>
          <w:tcPr>
            <w:tcW w:w="1560" w:type="dxa"/>
            <w:shd w:val="clear" w:color="auto" w:fill="156082" w:themeFill="accent1"/>
          </w:tcPr>
          <w:p w14:paraId="1FC72258" w14:textId="4E243410" w:rsidR="008C2AFB" w:rsidRPr="00EA2B2D" w:rsidRDefault="008C2AFB" w:rsidP="00105B92">
            <w:pPr>
              <w:jc w:val="center"/>
              <w:rPr>
                <w:color w:val="FFFFFF" w:themeColor="background1"/>
                <w:sz w:val="20"/>
                <w:szCs w:val="20"/>
              </w:rPr>
            </w:pPr>
            <w:r w:rsidRPr="00EA2B2D">
              <w:rPr>
                <w:b/>
                <w:bCs/>
                <w:color w:val="FFFFFF" w:themeColor="background1"/>
                <w:sz w:val="20"/>
                <w:szCs w:val="20"/>
              </w:rPr>
              <w:t>mg/day</w:t>
            </w:r>
          </w:p>
        </w:tc>
        <w:tc>
          <w:tcPr>
            <w:tcW w:w="1701" w:type="dxa"/>
            <w:shd w:val="clear" w:color="auto" w:fill="156082" w:themeFill="accent1"/>
          </w:tcPr>
          <w:p w14:paraId="16130B6A" w14:textId="20F1EDE6" w:rsidR="008C2AFB" w:rsidRPr="00EA2B2D" w:rsidRDefault="008C2AFB" w:rsidP="00105B92">
            <w:pPr>
              <w:jc w:val="center"/>
              <w:rPr>
                <w:color w:val="FFFFFF" w:themeColor="background1"/>
                <w:sz w:val="20"/>
                <w:szCs w:val="20"/>
              </w:rPr>
            </w:pPr>
            <w:r w:rsidRPr="00EA2B2D">
              <w:rPr>
                <w:b/>
                <w:bCs/>
                <w:color w:val="FFFFFF" w:themeColor="background1"/>
                <w:sz w:val="20"/>
                <w:szCs w:val="20"/>
              </w:rPr>
              <w:t>mg/day</w:t>
            </w:r>
          </w:p>
        </w:tc>
        <w:tc>
          <w:tcPr>
            <w:tcW w:w="1984" w:type="dxa"/>
            <w:shd w:val="clear" w:color="auto" w:fill="156082" w:themeFill="accent1"/>
          </w:tcPr>
          <w:p w14:paraId="73A99189" w14:textId="6F2F4C31" w:rsidR="008C2AFB" w:rsidRPr="00EA2B2D" w:rsidRDefault="008C2AFB" w:rsidP="00105B92">
            <w:pPr>
              <w:jc w:val="center"/>
              <w:rPr>
                <w:color w:val="FFFFFF" w:themeColor="background1"/>
                <w:sz w:val="20"/>
                <w:szCs w:val="20"/>
              </w:rPr>
            </w:pPr>
            <w:r w:rsidRPr="00EA2B2D">
              <w:rPr>
                <w:b/>
                <w:bCs/>
                <w:color w:val="FFFFFF" w:themeColor="background1"/>
                <w:sz w:val="20"/>
                <w:szCs w:val="20"/>
              </w:rPr>
              <w:t>mg/day</w:t>
            </w:r>
          </w:p>
        </w:tc>
        <w:tc>
          <w:tcPr>
            <w:tcW w:w="1701" w:type="dxa"/>
            <w:shd w:val="clear" w:color="auto" w:fill="156082" w:themeFill="accent1"/>
          </w:tcPr>
          <w:p w14:paraId="0D423EBB" w14:textId="5F9043BB" w:rsidR="008C2AFB" w:rsidRPr="00EA2B2D" w:rsidRDefault="008C2AFB" w:rsidP="00105B92">
            <w:pPr>
              <w:jc w:val="center"/>
              <w:rPr>
                <w:b/>
                <w:bCs/>
                <w:color w:val="FFFFFF" w:themeColor="background1"/>
                <w:sz w:val="20"/>
                <w:szCs w:val="20"/>
              </w:rPr>
            </w:pPr>
            <w:r w:rsidRPr="00EA2B2D">
              <w:rPr>
                <w:b/>
                <w:bCs/>
                <w:color w:val="FFFFFF" w:themeColor="background1"/>
                <w:sz w:val="20"/>
                <w:szCs w:val="20"/>
              </w:rPr>
              <w:t>mg/day</w:t>
            </w:r>
          </w:p>
        </w:tc>
      </w:tr>
      <w:tr w:rsidR="00A62D07" w:rsidRPr="00EA2B2D" w14:paraId="6608FF12" w14:textId="384666E3" w:rsidTr="00EA2B2D">
        <w:trPr>
          <w:jc w:val="center"/>
        </w:trPr>
        <w:tc>
          <w:tcPr>
            <w:tcW w:w="1129" w:type="dxa"/>
          </w:tcPr>
          <w:p w14:paraId="09DED1B7" w14:textId="2B92B2DC" w:rsidR="00A62D07" w:rsidRPr="00EA2B2D" w:rsidRDefault="00A62D07" w:rsidP="00FD5042">
            <w:pPr>
              <w:rPr>
                <w:sz w:val="20"/>
                <w:szCs w:val="20"/>
              </w:rPr>
            </w:pPr>
            <w:r w:rsidRPr="00EA2B2D">
              <w:rPr>
                <w:sz w:val="20"/>
                <w:szCs w:val="20"/>
              </w:rPr>
              <w:t>Adults</w:t>
            </w:r>
          </w:p>
        </w:tc>
        <w:tc>
          <w:tcPr>
            <w:tcW w:w="993" w:type="dxa"/>
            <w:vMerge w:val="restart"/>
            <w:vAlign w:val="center"/>
          </w:tcPr>
          <w:p w14:paraId="5200587B" w14:textId="2687B3AC" w:rsidR="00A62D07" w:rsidRPr="00EA2B2D" w:rsidRDefault="00A62D07" w:rsidP="00105B92">
            <w:pPr>
              <w:jc w:val="center"/>
              <w:rPr>
                <w:sz w:val="20"/>
                <w:szCs w:val="20"/>
              </w:rPr>
            </w:pPr>
            <w:r w:rsidRPr="00EA2B2D">
              <w:rPr>
                <w:sz w:val="20"/>
                <w:szCs w:val="20"/>
              </w:rPr>
              <w:t>460-920</w:t>
            </w:r>
          </w:p>
        </w:tc>
        <w:tc>
          <w:tcPr>
            <w:tcW w:w="1275" w:type="dxa"/>
            <w:vMerge w:val="restart"/>
            <w:vAlign w:val="center"/>
          </w:tcPr>
          <w:p w14:paraId="441FFD99" w14:textId="4F382A5D" w:rsidR="00A62D07" w:rsidRPr="00EA2B2D" w:rsidRDefault="00A62D07" w:rsidP="00105B92">
            <w:pPr>
              <w:jc w:val="center"/>
              <w:rPr>
                <w:sz w:val="20"/>
                <w:szCs w:val="20"/>
              </w:rPr>
            </w:pPr>
            <w:r w:rsidRPr="00EA2B2D">
              <w:rPr>
                <w:sz w:val="20"/>
                <w:szCs w:val="20"/>
              </w:rPr>
              <w:t>20-40</w:t>
            </w:r>
          </w:p>
        </w:tc>
        <w:tc>
          <w:tcPr>
            <w:tcW w:w="1560" w:type="dxa"/>
            <w:vMerge w:val="restart"/>
            <w:vAlign w:val="center"/>
          </w:tcPr>
          <w:p w14:paraId="1A509F31" w14:textId="51AD4628" w:rsidR="00A62D07" w:rsidRPr="00EA2B2D" w:rsidRDefault="00A62D07" w:rsidP="00105B92">
            <w:pPr>
              <w:jc w:val="center"/>
              <w:rPr>
                <w:sz w:val="20"/>
                <w:szCs w:val="20"/>
              </w:rPr>
            </w:pPr>
            <w:r w:rsidRPr="00EA2B2D">
              <w:rPr>
                <w:sz w:val="20"/>
                <w:szCs w:val="20"/>
              </w:rPr>
              <w:t>1,500</w:t>
            </w:r>
          </w:p>
        </w:tc>
        <w:tc>
          <w:tcPr>
            <w:tcW w:w="1701" w:type="dxa"/>
            <w:vMerge w:val="restart"/>
            <w:vAlign w:val="center"/>
          </w:tcPr>
          <w:p w14:paraId="21F7CEA7" w14:textId="630FFAC8" w:rsidR="00A62D07" w:rsidRPr="00EA2B2D" w:rsidRDefault="00A62D07" w:rsidP="00105B92">
            <w:pPr>
              <w:jc w:val="center"/>
              <w:rPr>
                <w:sz w:val="20"/>
                <w:szCs w:val="20"/>
              </w:rPr>
            </w:pPr>
            <w:r w:rsidRPr="00EA2B2D">
              <w:rPr>
                <w:sz w:val="20"/>
                <w:szCs w:val="20"/>
              </w:rPr>
              <w:t>2,000</w:t>
            </w:r>
          </w:p>
        </w:tc>
        <w:tc>
          <w:tcPr>
            <w:tcW w:w="1984" w:type="dxa"/>
            <w:vMerge w:val="restart"/>
            <w:vAlign w:val="center"/>
          </w:tcPr>
          <w:p w14:paraId="24A12189" w14:textId="4284E772" w:rsidR="00A62D07" w:rsidRPr="00EA2B2D" w:rsidRDefault="00A62D07" w:rsidP="00105B92">
            <w:pPr>
              <w:jc w:val="center"/>
              <w:rPr>
                <w:sz w:val="20"/>
                <w:szCs w:val="20"/>
              </w:rPr>
            </w:pPr>
            <w:r w:rsidRPr="00EA2B2D">
              <w:rPr>
                <w:sz w:val="20"/>
                <w:szCs w:val="20"/>
              </w:rPr>
              <w:t>1,500</w:t>
            </w:r>
          </w:p>
        </w:tc>
        <w:tc>
          <w:tcPr>
            <w:tcW w:w="1701" w:type="dxa"/>
            <w:vMerge w:val="restart"/>
            <w:vAlign w:val="center"/>
          </w:tcPr>
          <w:p w14:paraId="7FE5F55E" w14:textId="0D5EBFED" w:rsidR="00A62D07" w:rsidRPr="00EA2B2D" w:rsidRDefault="00A62D07" w:rsidP="00105B92">
            <w:pPr>
              <w:jc w:val="center"/>
              <w:rPr>
                <w:sz w:val="20"/>
                <w:szCs w:val="20"/>
              </w:rPr>
            </w:pPr>
            <w:r w:rsidRPr="00EA2B2D">
              <w:rPr>
                <w:sz w:val="20"/>
                <w:szCs w:val="20"/>
              </w:rPr>
              <w:t>1,500</w:t>
            </w:r>
            <w:r w:rsidR="008C2AB7" w:rsidRPr="00EA2B2D">
              <w:rPr>
                <w:sz w:val="20"/>
                <w:szCs w:val="20"/>
              </w:rPr>
              <w:t>*</w:t>
            </w:r>
          </w:p>
        </w:tc>
      </w:tr>
      <w:tr w:rsidR="00A62D07" w:rsidRPr="00EA2B2D" w14:paraId="5DFDABBB" w14:textId="71A69187" w:rsidTr="00EA2B2D">
        <w:trPr>
          <w:jc w:val="center"/>
        </w:trPr>
        <w:tc>
          <w:tcPr>
            <w:tcW w:w="1129" w:type="dxa"/>
          </w:tcPr>
          <w:p w14:paraId="45267C82" w14:textId="70EC5B03" w:rsidR="00A62D07" w:rsidRPr="00EA2B2D" w:rsidRDefault="00A62D07" w:rsidP="00FD5042">
            <w:pPr>
              <w:rPr>
                <w:sz w:val="20"/>
                <w:szCs w:val="20"/>
              </w:rPr>
            </w:pPr>
            <w:r w:rsidRPr="00EA2B2D">
              <w:rPr>
                <w:sz w:val="20"/>
                <w:szCs w:val="20"/>
              </w:rPr>
              <w:t>Pregnancy</w:t>
            </w:r>
          </w:p>
        </w:tc>
        <w:tc>
          <w:tcPr>
            <w:tcW w:w="993" w:type="dxa"/>
            <w:vMerge/>
            <w:vAlign w:val="center"/>
          </w:tcPr>
          <w:p w14:paraId="7DBD8785" w14:textId="51AF9526" w:rsidR="00A62D07" w:rsidRPr="00EA2B2D" w:rsidRDefault="00A62D07" w:rsidP="00105B92">
            <w:pPr>
              <w:jc w:val="center"/>
              <w:rPr>
                <w:sz w:val="20"/>
                <w:szCs w:val="20"/>
              </w:rPr>
            </w:pPr>
          </w:p>
        </w:tc>
        <w:tc>
          <w:tcPr>
            <w:tcW w:w="1275" w:type="dxa"/>
            <w:vMerge/>
            <w:vAlign w:val="center"/>
          </w:tcPr>
          <w:p w14:paraId="70835F44" w14:textId="12AC2AE6" w:rsidR="00A62D07" w:rsidRPr="00EA2B2D" w:rsidRDefault="00A62D07" w:rsidP="00105B92">
            <w:pPr>
              <w:jc w:val="center"/>
              <w:rPr>
                <w:sz w:val="20"/>
                <w:szCs w:val="20"/>
              </w:rPr>
            </w:pPr>
          </w:p>
        </w:tc>
        <w:tc>
          <w:tcPr>
            <w:tcW w:w="1560" w:type="dxa"/>
            <w:vMerge/>
            <w:vAlign w:val="center"/>
          </w:tcPr>
          <w:p w14:paraId="7AEAB4F3" w14:textId="2F15B007" w:rsidR="00A62D07" w:rsidRPr="00EA2B2D" w:rsidRDefault="00A62D07" w:rsidP="00105B92">
            <w:pPr>
              <w:jc w:val="center"/>
              <w:rPr>
                <w:sz w:val="20"/>
                <w:szCs w:val="20"/>
              </w:rPr>
            </w:pPr>
          </w:p>
        </w:tc>
        <w:tc>
          <w:tcPr>
            <w:tcW w:w="1701" w:type="dxa"/>
            <w:vMerge/>
            <w:vAlign w:val="center"/>
          </w:tcPr>
          <w:p w14:paraId="192CDB38" w14:textId="2E7A5860" w:rsidR="00A62D07" w:rsidRPr="00EA2B2D" w:rsidRDefault="00A62D07" w:rsidP="00105B92">
            <w:pPr>
              <w:jc w:val="center"/>
              <w:rPr>
                <w:sz w:val="20"/>
                <w:szCs w:val="20"/>
              </w:rPr>
            </w:pPr>
          </w:p>
        </w:tc>
        <w:tc>
          <w:tcPr>
            <w:tcW w:w="1984" w:type="dxa"/>
            <w:vMerge/>
            <w:vAlign w:val="center"/>
          </w:tcPr>
          <w:p w14:paraId="1AC1AD5A" w14:textId="77777777" w:rsidR="00A62D07" w:rsidRPr="00EA2B2D" w:rsidRDefault="00A62D07" w:rsidP="00105B92">
            <w:pPr>
              <w:jc w:val="center"/>
              <w:rPr>
                <w:sz w:val="20"/>
                <w:szCs w:val="20"/>
              </w:rPr>
            </w:pPr>
          </w:p>
        </w:tc>
        <w:tc>
          <w:tcPr>
            <w:tcW w:w="1701" w:type="dxa"/>
            <w:vMerge/>
            <w:vAlign w:val="center"/>
          </w:tcPr>
          <w:p w14:paraId="1E29D212" w14:textId="77777777" w:rsidR="00A62D07" w:rsidRPr="00EA2B2D" w:rsidRDefault="00A62D07" w:rsidP="00105B92">
            <w:pPr>
              <w:jc w:val="center"/>
              <w:rPr>
                <w:sz w:val="20"/>
                <w:szCs w:val="20"/>
              </w:rPr>
            </w:pPr>
          </w:p>
        </w:tc>
      </w:tr>
      <w:tr w:rsidR="00A62D07" w:rsidRPr="00EA2B2D" w14:paraId="1A73DD5B" w14:textId="2866AAB4" w:rsidTr="00EA2B2D">
        <w:trPr>
          <w:jc w:val="center"/>
        </w:trPr>
        <w:tc>
          <w:tcPr>
            <w:tcW w:w="1129" w:type="dxa"/>
          </w:tcPr>
          <w:p w14:paraId="33F7B30D" w14:textId="60DA63AB" w:rsidR="00A62D07" w:rsidRPr="00EA2B2D" w:rsidRDefault="00A62D07" w:rsidP="00FD5042">
            <w:pPr>
              <w:rPr>
                <w:sz w:val="20"/>
                <w:szCs w:val="20"/>
              </w:rPr>
            </w:pPr>
            <w:r w:rsidRPr="00EA2B2D">
              <w:rPr>
                <w:sz w:val="20"/>
                <w:szCs w:val="20"/>
              </w:rPr>
              <w:t>Lactation</w:t>
            </w:r>
          </w:p>
        </w:tc>
        <w:tc>
          <w:tcPr>
            <w:tcW w:w="993" w:type="dxa"/>
            <w:vMerge/>
            <w:vAlign w:val="center"/>
          </w:tcPr>
          <w:p w14:paraId="1ACEF532" w14:textId="57F9A1C7" w:rsidR="00A62D07" w:rsidRPr="00EA2B2D" w:rsidRDefault="00A62D07" w:rsidP="00105B92">
            <w:pPr>
              <w:jc w:val="center"/>
              <w:rPr>
                <w:sz w:val="20"/>
                <w:szCs w:val="20"/>
              </w:rPr>
            </w:pPr>
          </w:p>
        </w:tc>
        <w:tc>
          <w:tcPr>
            <w:tcW w:w="1275" w:type="dxa"/>
            <w:vMerge/>
            <w:vAlign w:val="center"/>
          </w:tcPr>
          <w:p w14:paraId="409CB657" w14:textId="71F67B57" w:rsidR="00A62D07" w:rsidRPr="00EA2B2D" w:rsidRDefault="00A62D07" w:rsidP="00105B92">
            <w:pPr>
              <w:jc w:val="center"/>
              <w:rPr>
                <w:sz w:val="20"/>
                <w:szCs w:val="20"/>
              </w:rPr>
            </w:pPr>
          </w:p>
        </w:tc>
        <w:tc>
          <w:tcPr>
            <w:tcW w:w="1560" w:type="dxa"/>
            <w:vMerge/>
            <w:vAlign w:val="center"/>
          </w:tcPr>
          <w:p w14:paraId="570BFF6C" w14:textId="6E0EB6C3" w:rsidR="00A62D07" w:rsidRPr="00EA2B2D" w:rsidRDefault="00A62D07" w:rsidP="00105B92">
            <w:pPr>
              <w:jc w:val="center"/>
              <w:rPr>
                <w:sz w:val="20"/>
                <w:szCs w:val="20"/>
              </w:rPr>
            </w:pPr>
          </w:p>
        </w:tc>
        <w:tc>
          <w:tcPr>
            <w:tcW w:w="1701" w:type="dxa"/>
            <w:vMerge/>
            <w:vAlign w:val="center"/>
          </w:tcPr>
          <w:p w14:paraId="0252A795" w14:textId="0EFDED77" w:rsidR="00A62D07" w:rsidRPr="00EA2B2D" w:rsidRDefault="00A62D07" w:rsidP="00105B92">
            <w:pPr>
              <w:jc w:val="center"/>
              <w:rPr>
                <w:sz w:val="20"/>
                <w:szCs w:val="20"/>
              </w:rPr>
            </w:pPr>
          </w:p>
        </w:tc>
        <w:tc>
          <w:tcPr>
            <w:tcW w:w="1984" w:type="dxa"/>
            <w:vMerge/>
            <w:vAlign w:val="center"/>
          </w:tcPr>
          <w:p w14:paraId="12C5C2F9" w14:textId="77777777" w:rsidR="00A62D07" w:rsidRPr="00EA2B2D" w:rsidRDefault="00A62D07" w:rsidP="00105B92">
            <w:pPr>
              <w:jc w:val="center"/>
              <w:rPr>
                <w:sz w:val="20"/>
                <w:szCs w:val="20"/>
              </w:rPr>
            </w:pPr>
          </w:p>
        </w:tc>
        <w:tc>
          <w:tcPr>
            <w:tcW w:w="1701" w:type="dxa"/>
            <w:vMerge/>
            <w:vAlign w:val="center"/>
          </w:tcPr>
          <w:p w14:paraId="05AF8E31" w14:textId="77777777" w:rsidR="00A62D07" w:rsidRPr="00EA2B2D" w:rsidRDefault="00A62D07" w:rsidP="00105B92">
            <w:pPr>
              <w:jc w:val="center"/>
              <w:rPr>
                <w:sz w:val="20"/>
                <w:szCs w:val="20"/>
              </w:rPr>
            </w:pPr>
          </w:p>
        </w:tc>
      </w:tr>
      <w:tr w:rsidR="00B67D16" w:rsidRPr="00EA2B2D" w14:paraId="471724FF" w14:textId="2CCCCAB2" w:rsidTr="001E0DE5">
        <w:trPr>
          <w:jc w:val="center"/>
        </w:trPr>
        <w:tc>
          <w:tcPr>
            <w:tcW w:w="10343" w:type="dxa"/>
            <w:gridSpan w:val="7"/>
          </w:tcPr>
          <w:p w14:paraId="4788CC54" w14:textId="252B8425" w:rsidR="00B67D16" w:rsidRPr="00EA2B2D" w:rsidRDefault="00B67D16" w:rsidP="007F3133">
            <w:pPr>
              <w:rPr>
                <w:sz w:val="20"/>
                <w:szCs w:val="20"/>
              </w:rPr>
            </w:pPr>
            <w:r w:rsidRPr="00EA2B2D">
              <w:rPr>
                <w:sz w:val="20"/>
                <w:szCs w:val="20"/>
              </w:rPr>
              <w:t>Children &amp; adolescents</w:t>
            </w:r>
          </w:p>
        </w:tc>
      </w:tr>
      <w:tr w:rsidR="0070787F" w:rsidRPr="00EA2B2D" w14:paraId="0D03C42E" w14:textId="07BBC1E2" w:rsidTr="00BF19B1">
        <w:trPr>
          <w:jc w:val="center"/>
        </w:trPr>
        <w:tc>
          <w:tcPr>
            <w:tcW w:w="1129" w:type="dxa"/>
            <w:tcBorders>
              <w:left w:val="single" w:sz="4" w:space="0" w:color="156082" w:themeColor="accent1"/>
            </w:tcBorders>
            <w:vAlign w:val="center"/>
          </w:tcPr>
          <w:p w14:paraId="54AE43C6" w14:textId="6CE3187D" w:rsidR="0070787F" w:rsidRPr="00EA2B2D" w:rsidRDefault="00EE3807" w:rsidP="00BF19B1">
            <w:pPr>
              <w:ind w:left="22"/>
              <w:rPr>
                <w:sz w:val="20"/>
                <w:szCs w:val="20"/>
              </w:rPr>
            </w:pPr>
            <w:r>
              <w:rPr>
                <w:sz w:val="20"/>
                <w:szCs w:val="20"/>
              </w:rPr>
              <w:t xml:space="preserve">   </w:t>
            </w:r>
            <w:r w:rsidR="0070787F" w:rsidRPr="00EA2B2D">
              <w:rPr>
                <w:sz w:val="20"/>
                <w:szCs w:val="20"/>
              </w:rPr>
              <w:t>1 yr</w:t>
            </w:r>
          </w:p>
        </w:tc>
        <w:tc>
          <w:tcPr>
            <w:tcW w:w="993" w:type="dxa"/>
            <w:vMerge w:val="restart"/>
            <w:vAlign w:val="center"/>
          </w:tcPr>
          <w:p w14:paraId="10276317" w14:textId="40933F19" w:rsidR="0070787F" w:rsidRPr="00EA2B2D" w:rsidRDefault="0070787F" w:rsidP="00105B92">
            <w:pPr>
              <w:jc w:val="center"/>
              <w:rPr>
                <w:sz w:val="20"/>
                <w:szCs w:val="20"/>
              </w:rPr>
            </w:pPr>
            <w:r w:rsidRPr="00EA2B2D">
              <w:rPr>
                <w:sz w:val="20"/>
                <w:szCs w:val="20"/>
              </w:rPr>
              <w:t>200-400</w:t>
            </w:r>
          </w:p>
        </w:tc>
        <w:tc>
          <w:tcPr>
            <w:tcW w:w="1275" w:type="dxa"/>
            <w:vMerge w:val="restart"/>
            <w:vAlign w:val="center"/>
          </w:tcPr>
          <w:p w14:paraId="3C6AF007" w14:textId="6FC388B9" w:rsidR="0070787F" w:rsidRPr="00EA2B2D" w:rsidRDefault="0070787F" w:rsidP="00105B92">
            <w:pPr>
              <w:jc w:val="center"/>
              <w:rPr>
                <w:sz w:val="20"/>
                <w:szCs w:val="20"/>
              </w:rPr>
            </w:pPr>
            <w:r w:rsidRPr="00EA2B2D">
              <w:rPr>
                <w:sz w:val="20"/>
                <w:szCs w:val="20"/>
              </w:rPr>
              <w:t>9-17</w:t>
            </w:r>
          </w:p>
        </w:tc>
        <w:tc>
          <w:tcPr>
            <w:tcW w:w="1560" w:type="dxa"/>
            <w:vMerge w:val="restart"/>
            <w:vAlign w:val="center"/>
          </w:tcPr>
          <w:p w14:paraId="6D870200" w14:textId="3421B74A" w:rsidR="0070787F" w:rsidRPr="00EA2B2D" w:rsidRDefault="0070787F" w:rsidP="00105B92">
            <w:pPr>
              <w:jc w:val="center"/>
              <w:rPr>
                <w:sz w:val="20"/>
                <w:szCs w:val="20"/>
              </w:rPr>
            </w:pPr>
            <w:r w:rsidRPr="00EA2B2D">
              <w:rPr>
                <w:sz w:val="20"/>
                <w:szCs w:val="20"/>
              </w:rPr>
              <w:t>800</w:t>
            </w:r>
          </w:p>
        </w:tc>
        <w:tc>
          <w:tcPr>
            <w:tcW w:w="1701" w:type="dxa"/>
            <w:vMerge w:val="restart"/>
            <w:vAlign w:val="center"/>
          </w:tcPr>
          <w:p w14:paraId="6F64A273" w14:textId="1F68DA83" w:rsidR="0070787F" w:rsidRPr="00EA2B2D" w:rsidRDefault="0070787F" w:rsidP="00105B92">
            <w:pPr>
              <w:jc w:val="center"/>
              <w:rPr>
                <w:sz w:val="20"/>
                <w:szCs w:val="20"/>
              </w:rPr>
            </w:pPr>
            <w:r w:rsidRPr="00EA2B2D">
              <w:rPr>
                <w:sz w:val="20"/>
                <w:szCs w:val="20"/>
              </w:rPr>
              <w:t>1,100</w:t>
            </w:r>
          </w:p>
        </w:tc>
        <w:tc>
          <w:tcPr>
            <w:tcW w:w="1984" w:type="dxa"/>
            <w:vMerge w:val="restart"/>
            <w:vAlign w:val="center"/>
          </w:tcPr>
          <w:p w14:paraId="7CB1808E" w14:textId="3BCF387D" w:rsidR="0070787F" w:rsidRPr="00EA2B2D" w:rsidRDefault="0070787F" w:rsidP="00105B92">
            <w:pPr>
              <w:jc w:val="center"/>
              <w:rPr>
                <w:sz w:val="20"/>
                <w:szCs w:val="20"/>
              </w:rPr>
            </w:pPr>
            <w:r w:rsidRPr="00EA2B2D">
              <w:rPr>
                <w:sz w:val="20"/>
                <w:szCs w:val="20"/>
              </w:rPr>
              <w:t>NS</w:t>
            </w:r>
          </w:p>
        </w:tc>
        <w:tc>
          <w:tcPr>
            <w:tcW w:w="1701" w:type="dxa"/>
            <w:vMerge w:val="restart"/>
            <w:vAlign w:val="center"/>
          </w:tcPr>
          <w:p w14:paraId="4909B446" w14:textId="49030FF3" w:rsidR="0070787F" w:rsidRPr="00EA2B2D" w:rsidRDefault="0070787F" w:rsidP="00105B92">
            <w:pPr>
              <w:jc w:val="center"/>
              <w:rPr>
                <w:sz w:val="20"/>
                <w:szCs w:val="20"/>
              </w:rPr>
            </w:pPr>
            <w:r w:rsidRPr="00EA2B2D">
              <w:rPr>
                <w:sz w:val="20"/>
                <w:szCs w:val="20"/>
              </w:rPr>
              <w:t>400</w:t>
            </w:r>
          </w:p>
        </w:tc>
      </w:tr>
      <w:tr w:rsidR="0070787F" w:rsidRPr="00EA2B2D" w14:paraId="4863AEFD" w14:textId="226513E7" w:rsidTr="00BF19B1">
        <w:trPr>
          <w:jc w:val="center"/>
        </w:trPr>
        <w:tc>
          <w:tcPr>
            <w:tcW w:w="1129" w:type="dxa"/>
            <w:tcBorders>
              <w:left w:val="single" w:sz="4" w:space="0" w:color="156082" w:themeColor="accent1"/>
            </w:tcBorders>
            <w:vAlign w:val="center"/>
          </w:tcPr>
          <w:p w14:paraId="3A0CF41E" w14:textId="2873F9D0" w:rsidR="0070787F" w:rsidRPr="00EA2B2D" w:rsidRDefault="00EE3807" w:rsidP="00BF19B1">
            <w:pPr>
              <w:ind w:left="22"/>
              <w:rPr>
                <w:sz w:val="20"/>
                <w:szCs w:val="20"/>
              </w:rPr>
            </w:pPr>
            <w:r>
              <w:rPr>
                <w:sz w:val="20"/>
                <w:szCs w:val="20"/>
              </w:rPr>
              <w:t xml:space="preserve">   </w:t>
            </w:r>
            <w:r w:rsidR="0070787F" w:rsidRPr="00EA2B2D">
              <w:rPr>
                <w:sz w:val="20"/>
                <w:szCs w:val="20"/>
              </w:rPr>
              <w:t>2 yr</w:t>
            </w:r>
          </w:p>
        </w:tc>
        <w:tc>
          <w:tcPr>
            <w:tcW w:w="993" w:type="dxa"/>
            <w:vMerge/>
            <w:vAlign w:val="center"/>
          </w:tcPr>
          <w:p w14:paraId="1DFE0090" w14:textId="77777777" w:rsidR="0070787F" w:rsidRPr="00EA2B2D" w:rsidRDefault="0070787F" w:rsidP="00105B92">
            <w:pPr>
              <w:jc w:val="center"/>
              <w:rPr>
                <w:sz w:val="20"/>
                <w:szCs w:val="20"/>
              </w:rPr>
            </w:pPr>
          </w:p>
        </w:tc>
        <w:tc>
          <w:tcPr>
            <w:tcW w:w="1275" w:type="dxa"/>
            <w:vMerge/>
            <w:vAlign w:val="center"/>
          </w:tcPr>
          <w:p w14:paraId="346849BD" w14:textId="77777777" w:rsidR="0070787F" w:rsidRPr="00EA2B2D" w:rsidRDefault="0070787F" w:rsidP="00105B92">
            <w:pPr>
              <w:jc w:val="center"/>
              <w:rPr>
                <w:sz w:val="20"/>
                <w:szCs w:val="20"/>
              </w:rPr>
            </w:pPr>
          </w:p>
        </w:tc>
        <w:tc>
          <w:tcPr>
            <w:tcW w:w="1560" w:type="dxa"/>
            <w:vMerge/>
            <w:vAlign w:val="center"/>
          </w:tcPr>
          <w:p w14:paraId="1FE19EB2" w14:textId="77777777" w:rsidR="0070787F" w:rsidRPr="00EA2B2D" w:rsidRDefault="0070787F" w:rsidP="00105B92">
            <w:pPr>
              <w:jc w:val="center"/>
              <w:rPr>
                <w:sz w:val="20"/>
                <w:szCs w:val="20"/>
              </w:rPr>
            </w:pPr>
          </w:p>
        </w:tc>
        <w:tc>
          <w:tcPr>
            <w:tcW w:w="1701" w:type="dxa"/>
            <w:vMerge/>
            <w:vAlign w:val="center"/>
          </w:tcPr>
          <w:p w14:paraId="4D8A97D1" w14:textId="77777777" w:rsidR="0070787F" w:rsidRPr="00EA2B2D" w:rsidRDefault="0070787F" w:rsidP="00105B92">
            <w:pPr>
              <w:jc w:val="center"/>
              <w:rPr>
                <w:sz w:val="20"/>
                <w:szCs w:val="20"/>
              </w:rPr>
            </w:pPr>
          </w:p>
        </w:tc>
        <w:tc>
          <w:tcPr>
            <w:tcW w:w="1984" w:type="dxa"/>
            <w:vMerge/>
            <w:vAlign w:val="center"/>
          </w:tcPr>
          <w:p w14:paraId="58EF1034" w14:textId="77777777" w:rsidR="0070787F" w:rsidRPr="00EA2B2D" w:rsidRDefault="0070787F" w:rsidP="00105B92">
            <w:pPr>
              <w:jc w:val="center"/>
              <w:rPr>
                <w:sz w:val="20"/>
                <w:szCs w:val="20"/>
              </w:rPr>
            </w:pPr>
          </w:p>
        </w:tc>
        <w:tc>
          <w:tcPr>
            <w:tcW w:w="1701" w:type="dxa"/>
            <w:vMerge/>
            <w:vAlign w:val="center"/>
          </w:tcPr>
          <w:p w14:paraId="1AB95192" w14:textId="77777777" w:rsidR="0070787F" w:rsidRPr="00EA2B2D" w:rsidRDefault="0070787F" w:rsidP="00105B92">
            <w:pPr>
              <w:jc w:val="center"/>
              <w:rPr>
                <w:sz w:val="20"/>
                <w:szCs w:val="20"/>
              </w:rPr>
            </w:pPr>
          </w:p>
        </w:tc>
      </w:tr>
      <w:tr w:rsidR="0070787F" w:rsidRPr="00EA2B2D" w14:paraId="49C5D739" w14:textId="1B4281B4" w:rsidTr="00BF19B1">
        <w:trPr>
          <w:jc w:val="center"/>
        </w:trPr>
        <w:tc>
          <w:tcPr>
            <w:tcW w:w="1129" w:type="dxa"/>
            <w:tcBorders>
              <w:left w:val="single" w:sz="4" w:space="0" w:color="156082" w:themeColor="accent1"/>
            </w:tcBorders>
            <w:vAlign w:val="center"/>
          </w:tcPr>
          <w:p w14:paraId="7B4C8C73" w14:textId="7953320D" w:rsidR="0070787F" w:rsidRPr="00EA2B2D" w:rsidRDefault="00EE3807" w:rsidP="00BF19B1">
            <w:pPr>
              <w:ind w:left="22"/>
              <w:rPr>
                <w:sz w:val="20"/>
                <w:szCs w:val="20"/>
              </w:rPr>
            </w:pPr>
            <w:r>
              <w:rPr>
                <w:sz w:val="20"/>
                <w:szCs w:val="20"/>
              </w:rPr>
              <w:t xml:space="preserve">   </w:t>
            </w:r>
            <w:r w:rsidR="0070787F" w:rsidRPr="00EA2B2D">
              <w:rPr>
                <w:sz w:val="20"/>
                <w:szCs w:val="20"/>
              </w:rPr>
              <w:t>3 yr</w:t>
            </w:r>
          </w:p>
        </w:tc>
        <w:tc>
          <w:tcPr>
            <w:tcW w:w="993" w:type="dxa"/>
            <w:vMerge/>
            <w:vAlign w:val="center"/>
          </w:tcPr>
          <w:p w14:paraId="42B50A6B" w14:textId="77777777" w:rsidR="0070787F" w:rsidRPr="00EA2B2D" w:rsidRDefault="0070787F" w:rsidP="00105B92">
            <w:pPr>
              <w:jc w:val="center"/>
              <w:rPr>
                <w:sz w:val="20"/>
                <w:szCs w:val="20"/>
              </w:rPr>
            </w:pPr>
          </w:p>
        </w:tc>
        <w:tc>
          <w:tcPr>
            <w:tcW w:w="1275" w:type="dxa"/>
            <w:vMerge/>
            <w:vAlign w:val="center"/>
          </w:tcPr>
          <w:p w14:paraId="365D816A" w14:textId="77777777" w:rsidR="0070787F" w:rsidRPr="00EA2B2D" w:rsidRDefault="0070787F" w:rsidP="00105B92">
            <w:pPr>
              <w:jc w:val="center"/>
              <w:rPr>
                <w:sz w:val="20"/>
                <w:szCs w:val="20"/>
              </w:rPr>
            </w:pPr>
          </w:p>
        </w:tc>
        <w:tc>
          <w:tcPr>
            <w:tcW w:w="1560" w:type="dxa"/>
            <w:vMerge/>
            <w:vAlign w:val="center"/>
          </w:tcPr>
          <w:p w14:paraId="3C3A917B" w14:textId="77777777" w:rsidR="0070787F" w:rsidRPr="00EA2B2D" w:rsidRDefault="0070787F" w:rsidP="00105B92">
            <w:pPr>
              <w:jc w:val="center"/>
              <w:rPr>
                <w:sz w:val="20"/>
                <w:szCs w:val="20"/>
              </w:rPr>
            </w:pPr>
          </w:p>
        </w:tc>
        <w:tc>
          <w:tcPr>
            <w:tcW w:w="1701" w:type="dxa"/>
            <w:vMerge/>
            <w:vAlign w:val="center"/>
          </w:tcPr>
          <w:p w14:paraId="4E933A3C" w14:textId="77777777" w:rsidR="0070787F" w:rsidRPr="00EA2B2D" w:rsidRDefault="0070787F" w:rsidP="00105B92">
            <w:pPr>
              <w:jc w:val="center"/>
              <w:rPr>
                <w:sz w:val="20"/>
                <w:szCs w:val="20"/>
              </w:rPr>
            </w:pPr>
          </w:p>
        </w:tc>
        <w:tc>
          <w:tcPr>
            <w:tcW w:w="1984" w:type="dxa"/>
            <w:vMerge/>
            <w:vAlign w:val="center"/>
          </w:tcPr>
          <w:p w14:paraId="012DDD0D" w14:textId="77777777" w:rsidR="0070787F" w:rsidRPr="00EA2B2D" w:rsidRDefault="0070787F" w:rsidP="00105B92">
            <w:pPr>
              <w:jc w:val="center"/>
              <w:rPr>
                <w:sz w:val="20"/>
                <w:szCs w:val="20"/>
              </w:rPr>
            </w:pPr>
          </w:p>
        </w:tc>
        <w:tc>
          <w:tcPr>
            <w:tcW w:w="1701" w:type="dxa"/>
            <w:vMerge/>
            <w:vAlign w:val="center"/>
          </w:tcPr>
          <w:p w14:paraId="6176A823" w14:textId="77777777" w:rsidR="0070787F" w:rsidRPr="00EA2B2D" w:rsidRDefault="0070787F" w:rsidP="00105B92">
            <w:pPr>
              <w:jc w:val="center"/>
              <w:rPr>
                <w:sz w:val="20"/>
                <w:szCs w:val="20"/>
              </w:rPr>
            </w:pPr>
          </w:p>
        </w:tc>
      </w:tr>
      <w:tr w:rsidR="0070787F" w:rsidRPr="00EA2B2D" w14:paraId="7A995F56" w14:textId="179BEEDB" w:rsidTr="00BF19B1">
        <w:trPr>
          <w:jc w:val="center"/>
        </w:trPr>
        <w:tc>
          <w:tcPr>
            <w:tcW w:w="1129" w:type="dxa"/>
            <w:tcBorders>
              <w:left w:val="single" w:sz="4" w:space="0" w:color="156082" w:themeColor="accent1"/>
            </w:tcBorders>
            <w:vAlign w:val="center"/>
          </w:tcPr>
          <w:p w14:paraId="2FEE35D2" w14:textId="7867EC92" w:rsidR="0070787F" w:rsidRPr="00EA2B2D" w:rsidRDefault="00EE3807" w:rsidP="00BF19B1">
            <w:pPr>
              <w:ind w:left="22"/>
              <w:rPr>
                <w:sz w:val="20"/>
                <w:szCs w:val="20"/>
              </w:rPr>
            </w:pPr>
            <w:r>
              <w:rPr>
                <w:sz w:val="20"/>
                <w:szCs w:val="20"/>
              </w:rPr>
              <w:t xml:space="preserve">   </w:t>
            </w:r>
            <w:r w:rsidR="0070787F" w:rsidRPr="00EA2B2D">
              <w:rPr>
                <w:sz w:val="20"/>
                <w:szCs w:val="20"/>
              </w:rPr>
              <w:t>4 yr</w:t>
            </w:r>
          </w:p>
        </w:tc>
        <w:tc>
          <w:tcPr>
            <w:tcW w:w="993" w:type="dxa"/>
            <w:vMerge w:val="restart"/>
            <w:vAlign w:val="center"/>
          </w:tcPr>
          <w:p w14:paraId="60938A23" w14:textId="5BFDD207" w:rsidR="0070787F" w:rsidRPr="00EA2B2D" w:rsidRDefault="0070787F" w:rsidP="00105B92">
            <w:pPr>
              <w:jc w:val="center"/>
              <w:rPr>
                <w:sz w:val="20"/>
                <w:szCs w:val="20"/>
              </w:rPr>
            </w:pPr>
            <w:r w:rsidRPr="00EA2B2D">
              <w:rPr>
                <w:sz w:val="20"/>
                <w:szCs w:val="20"/>
              </w:rPr>
              <w:t>300-600</w:t>
            </w:r>
          </w:p>
        </w:tc>
        <w:tc>
          <w:tcPr>
            <w:tcW w:w="1275" w:type="dxa"/>
            <w:vMerge w:val="restart"/>
            <w:vAlign w:val="center"/>
          </w:tcPr>
          <w:p w14:paraId="17273A2F" w14:textId="2D95CB44" w:rsidR="0070787F" w:rsidRPr="00EA2B2D" w:rsidRDefault="0070787F" w:rsidP="00105B92">
            <w:pPr>
              <w:jc w:val="center"/>
              <w:rPr>
                <w:sz w:val="20"/>
                <w:szCs w:val="20"/>
              </w:rPr>
            </w:pPr>
            <w:r w:rsidRPr="00EA2B2D">
              <w:rPr>
                <w:sz w:val="20"/>
                <w:szCs w:val="20"/>
              </w:rPr>
              <w:t>13-26</w:t>
            </w:r>
          </w:p>
        </w:tc>
        <w:tc>
          <w:tcPr>
            <w:tcW w:w="1560" w:type="dxa"/>
            <w:vMerge w:val="restart"/>
            <w:vAlign w:val="center"/>
          </w:tcPr>
          <w:p w14:paraId="56EFCBE7" w14:textId="19E8A3B1" w:rsidR="0070787F" w:rsidRPr="00EA2B2D" w:rsidRDefault="0070787F" w:rsidP="00105B92">
            <w:pPr>
              <w:jc w:val="center"/>
              <w:rPr>
                <w:sz w:val="20"/>
                <w:szCs w:val="20"/>
              </w:rPr>
            </w:pPr>
            <w:r w:rsidRPr="00EA2B2D">
              <w:rPr>
                <w:sz w:val="20"/>
                <w:szCs w:val="20"/>
              </w:rPr>
              <w:t>1,000</w:t>
            </w:r>
          </w:p>
        </w:tc>
        <w:tc>
          <w:tcPr>
            <w:tcW w:w="1701" w:type="dxa"/>
            <w:vMerge w:val="restart"/>
            <w:vAlign w:val="center"/>
          </w:tcPr>
          <w:p w14:paraId="4A3CBF5C" w14:textId="64B3A688" w:rsidR="0070787F" w:rsidRPr="00EA2B2D" w:rsidRDefault="0070787F" w:rsidP="00105B92">
            <w:pPr>
              <w:jc w:val="center"/>
              <w:rPr>
                <w:sz w:val="20"/>
                <w:szCs w:val="20"/>
              </w:rPr>
            </w:pPr>
            <w:r w:rsidRPr="00EA2B2D">
              <w:rPr>
                <w:sz w:val="20"/>
                <w:szCs w:val="20"/>
              </w:rPr>
              <w:t>1,300</w:t>
            </w:r>
          </w:p>
        </w:tc>
        <w:tc>
          <w:tcPr>
            <w:tcW w:w="1984" w:type="dxa"/>
            <w:vMerge/>
            <w:vAlign w:val="center"/>
          </w:tcPr>
          <w:p w14:paraId="178609C9" w14:textId="77777777" w:rsidR="0070787F" w:rsidRPr="00EA2B2D" w:rsidRDefault="0070787F" w:rsidP="00105B92">
            <w:pPr>
              <w:jc w:val="center"/>
              <w:rPr>
                <w:sz w:val="20"/>
                <w:szCs w:val="20"/>
              </w:rPr>
            </w:pPr>
          </w:p>
        </w:tc>
        <w:tc>
          <w:tcPr>
            <w:tcW w:w="1701" w:type="dxa"/>
            <w:vMerge w:val="restart"/>
            <w:vAlign w:val="center"/>
          </w:tcPr>
          <w:p w14:paraId="54271003" w14:textId="1D21D8C5" w:rsidR="0070787F" w:rsidRPr="00EA2B2D" w:rsidRDefault="0070787F" w:rsidP="00105B92">
            <w:pPr>
              <w:jc w:val="center"/>
              <w:rPr>
                <w:sz w:val="20"/>
                <w:szCs w:val="20"/>
              </w:rPr>
            </w:pPr>
            <w:r w:rsidRPr="00EA2B2D">
              <w:rPr>
                <w:sz w:val="20"/>
                <w:szCs w:val="20"/>
              </w:rPr>
              <w:t>500</w:t>
            </w:r>
          </w:p>
        </w:tc>
      </w:tr>
      <w:tr w:rsidR="0070787F" w:rsidRPr="00EA2B2D" w14:paraId="513E2BCE" w14:textId="5EF1E3A0" w:rsidTr="00BF19B1">
        <w:trPr>
          <w:jc w:val="center"/>
        </w:trPr>
        <w:tc>
          <w:tcPr>
            <w:tcW w:w="1129" w:type="dxa"/>
            <w:tcBorders>
              <w:left w:val="single" w:sz="4" w:space="0" w:color="156082" w:themeColor="accent1"/>
            </w:tcBorders>
            <w:vAlign w:val="center"/>
          </w:tcPr>
          <w:p w14:paraId="35B31A7E" w14:textId="4A842CFD" w:rsidR="0070787F" w:rsidRPr="00EA2B2D" w:rsidRDefault="00EE3807" w:rsidP="00BF19B1">
            <w:pPr>
              <w:ind w:left="22"/>
              <w:rPr>
                <w:sz w:val="20"/>
                <w:szCs w:val="20"/>
              </w:rPr>
            </w:pPr>
            <w:r>
              <w:rPr>
                <w:sz w:val="20"/>
                <w:szCs w:val="20"/>
              </w:rPr>
              <w:t xml:space="preserve">   </w:t>
            </w:r>
            <w:r w:rsidR="0070787F" w:rsidRPr="00EA2B2D">
              <w:rPr>
                <w:sz w:val="20"/>
                <w:szCs w:val="20"/>
              </w:rPr>
              <w:t>5 yr</w:t>
            </w:r>
          </w:p>
        </w:tc>
        <w:tc>
          <w:tcPr>
            <w:tcW w:w="993" w:type="dxa"/>
            <w:vMerge/>
            <w:vAlign w:val="center"/>
          </w:tcPr>
          <w:p w14:paraId="330C279F" w14:textId="77777777" w:rsidR="0070787F" w:rsidRPr="00EA2B2D" w:rsidRDefault="0070787F" w:rsidP="00105B92">
            <w:pPr>
              <w:jc w:val="center"/>
              <w:rPr>
                <w:sz w:val="20"/>
                <w:szCs w:val="20"/>
              </w:rPr>
            </w:pPr>
          </w:p>
        </w:tc>
        <w:tc>
          <w:tcPr>
            <w:tcW w:w="1275" w:type="dxa"/>
            <w:vMerge/>
            <w:vAlign w:val="center"/>
          </w:tcPr>
          <w:p w14:paraId="7458BC0D" w14:textId="77777777" w:rsidR="0070787F" w:rsidRPr="00EA2B2D" w:rsidRDefault="0070787F" w:rsidP="00105B92">
            <w:pPr>
              <w:jc w:val="center"/>
              <w:rPr>
                <w:sz w:val="20"/>
                <w:szCs w:val="20"/>
              </w:rPr>
            </w:pPr>
          </w:p>
        </w:tc>
        <w:tc>
          <w:tcPr>
            <w:tcW w:w="1560" w:type="dxa"/>
            <w:vMerge/>
            <w:vAlign w:val="center"/>
          </w:tcPr>
          <w:p w14:paraId="0B332EE5" w14:textId="77777777" w:rsidR="0070787F" w:rsidRPr="00EA2B2D" w:rsidRDefault="0070787F" w:rsidP="00105B92">
            <w:pPr>
              <w:jc w:val="center"/>
              <w:rPr>
                <w:sz w:val="20"/>
                <w:szCs w:val="20"/>
              </w:rPr>
            </w:pPr>
          </w:p>
        </w:tc>
        <w:tc>
          <w:tcPr>
            <w:tcW w:w="1701" w:type="dxa"/>
            <w:vMerge/>
            <w:vAlign w:val="center"/>
          </w:tcPr>
          <w:p w14:paraId="5B7F4939" w14:textId="77777777" w:rsidR="0070787F" w:rsidRPr="00EA2B2D" w:rsidRDefault="0070787F" w:rsidP="00105B92">
            <w:pPr>
              <w:jc w:val="center"/>
              <w:rPr>
                <w:sz w:val="20"/>
                <w:szCs w:val="20"/>
              </w:rPr>
            </w:pPr>
          </w:p>
        </w:tc>
        <w:tc>
          <w:tcPr>
            <w:tcW w:w="1984" w:type="dxa"/>
            <w:vMerge/>
            <w:vAlign w:val="center"/>
          </w:tcPr>
          <w:p w14:paraId="3D28FCBA" w14:textId="77777777" w:rsidR="0070787F" w:rsidRPr="00EA2B2D" w:rsidRDefault="0070787F" w:rsidP="00105B92">
            <w:pPr>
              <w:jc w:val="center"/>
              <w:rPr>
                <w:sz w:val="20"/>
                <w:szCs w:val="20"/>
              </w:rPr>
            </w:pPr>
          </w:p>
        </w:tc>
        <w:tc>
          <w:tcPr>
            <w:tcW w:w="1701" w:type="dxa"/>
            <w:vMerge/>
            <w:vAlign w:val="center"/>
          </w:tcPr>
          <w:p w14:paraId="00B64F3D" w14:textId="77777777" w:rsidR="0070787F" w:rsidRPr="00EA2B2D" w:rsidRDefault="0070787F" w:rsidP="00105B92">
            <w:pPr>
              <w:jc w:val="center"/>
              <w:rPr>
                <w:sz w:val="20"/>
                <w:szCs w:val="20"/>
              </w:rPr>
            </w:pPr>
          </w:p>
        </w:tc>
      </w:tr>
      <w:tr w:rsidR="0070787F" w:rsidRPr="00EA2B2D" w14:paraId="0671F4DD" w14:textId="5DE09185" w:rsidTr="00BF19B1">
        <w:trPr>
          <w:jc w:val="center"/>
        </w:trPr>
        <w:tc>
          <w:tcPr>
            <w:tcW w:w="1129" w:type="dxa"/>
            <w:tcBorders>
              <w:left w:val="single" w:sz="4" w:space="0" w:color="156082" w:themeColor="accent1"/>
            </w:tcBorders>
            <w:vAlign w:val="center"/>
          </w:tcPr>
          <w:p w14:paraId="1D791852" w14:textId="2B4AAC41" w:rsidR="0070787F" w:rsidRPr="00EA2B2D" w:rsidRDefault="00EE3807" w:rsidP="00BF19B1">
            <w:pPr>
              <w:ind w:left="22"/>
              <w:rPr>
                <w:sz w:val="20"/>
                <w:szCs w:val="20"/>
              </w:rPr>
            </w:pPr>
            <w:r>
              <w:rPr>
                <w:sz w:val="20"/>
                <w:szCs w:val="20"/>
              </w:rPr>
              <w:t xml:space="preserve">   </w:t>
            </w:r>
            <w:r w:rsidR="0070787F" w:rsidRPr="00EA2B2D">
              <w:rPr>
                <w:sz w:val="20"/>
                <w:szCs w:val="20"/>
              </w:rPr>
              <w:t>6 yr</w:t>
            </w:r>
          </w:p>
        </w:tc>
        <w:tc>
          <w:tcPr>
            <w:tcW w:w="993" w:type="dxa"/>
            <w:vMerge/>
            <w:vAlign w:val="center"/>
          </w:tcPr>
          <w:p w14:paraId="49A6CAC5" w14:textId="77777777" w:rsidR="0070787F" w:rsidRPr="00EA2B2D" w:rsidRDefault="0070787F" w:rsidP="00105B92">
            <w:pPr>
              <w:jc w:val="center"/>
              <w:rPr>
                <w:sz w:val="20"/>
                <w:szCs w:val="20"/>
              </w:rPr>
            </w:pPr>
          </w:p>
        </w:tc>
        <w:tc>
          <w:tcPr>
            <w:tcW w:w="1275" w:type="dxa"/>
            <w:vMerge/>
            <w:vAlign w:val="center"/>
          </w:tcPr>
          <w:p w14:paraId="1EBDBE43" w14:textId="77777777" w:rsidR="0070787F" w:rsidRPr="00EA2B2D" w:rsidRDefault="0070787F" w:rsidP="00105B92">
            <w:pPr>
              <w:jc w:val="center"/>
              <w:rPr>
                <w:sz w:val="20"/>
                <w:szCs w:val="20"/>
              </w:rPr>
            </w:pPr>
          </w:p>
        </w:tc>
        <w:tc>
          <w:tcPr>
            <w:tcW w:w="1560" w:type="dxa"/>
            <w:vMerge/>
            <w:vAlign w:val="center"/>
          </w:tcPr>
          <w:p w14:paraId="7038C9E2" w14:textId="77777777" w:rsidR="0070787F" w:rsidRPr="00EA2B2D" w:rsidRDefault="0070787F" w:rsidP="00105B92">
            <w:pPr>
              <w:jc w:val="center"/>
              <w:rPr>
                <w:sz w:val="20"/>
                <w:szCs w:val="20"/>
              </w:rPr>
            </w:pPr>
          </w:p>
        </w:tc>
        <w:tc>
          <w:tcPr>
            <w:tcW w:w="1701" w:type="dxa"/>
            <w:vMerge/>
            <w:vAlign w:val="center"/>
          </w:tcPr>
          <w:p w14:paraId="6D2E1A30" w14:textId="77777777" w:rsidR="0070787F" w:rsidRPr="00EA2B2D" w:rsidRDefault="0070787F" w:rsidP="00105B92">
            <w:pPr>
              <w:jc w:val="center"/>
              <w:rPr>
                <w:sz w:val="20"/>
                <w:szCs w:val="20"/>
              </w:rPr>
            </w:pPr>
          </w:p>
        </w:tc>
        <w:tc>
          <w:tcPr>
            <w:tcW w:w="1984" w:type="dxa"/>
            <w:vMerge/>
            <w:vAlign w:val="center"/>
          </w:tcPr>
          <w:p w14:paraId="1CAF96FB" w14:textId="77777777" w:rsidR="0070787F" w:rsidRPr="00EA2B2D" w:rsidRDefault="0070787F" w:rsidP="00105B92">
            <w:pPr>
              <w:jc w:val="center"/>
              <w:rPr>
                <w:sz w:val="20"/>
                <w:szCs w:val="20"/>
              </w:rPr>
            </w:pPr>
          </w:p>
        </w:tc>
        <w:tc>
          <w:tcPr>
            <w:tcW w:w="1701" w:type="dxa"/>
            <w:vMerge/>
            <w:vAlign w:val="center"/>
          </w:tcPr>
          <w:p w14:paraId="0B3B8378" w14:textId="77777777" w:rsidR="0070787F" w:rsidRPr="00EA2B2D" w:rsidRDefault="0070787F" w:rsidP="00105B92">
            <w:pPr>
              <w:jc w:val="center"/>
              <w:rPr>
                <w:sz w:val="20"/>
                <w:szCs w:val="20"/>
              </w:rPr>
            </w:pPr>
          </w:p>
        </w:tc>
      </w:tr>
      <w:tr w:rsidR="0070787F" w:rsidRPr="00EA2B2D" w14:paraId="7DB2E80D" w14:textId="67C59C1C" w:rsidTr="00BF19B1">
        <w:trPr>
          <w:jc w:val="center"/>
        </w:trPr>
        <w:tc>
          <w:tcPr>
            <w:tcW w:w="1129" w:type="dxa"/>
            <w:tcBorders>
              <w:left w:val="single" w:sz="4" w:space="0" w:color="156082" w:themeColor="accent1"/>
            </w:tcBorders>
            <w:vAlign w:val="center"/>
          </w:tcPr>
          <w:p w14:paraId="2AA3E036" w14:textId="20417396" w:rsidR="0070787F" w:rsidRPr="00EA2B2D" w:rsidRDefault="00EE3807" w:rsidP="00BF19B1">
            <w:pPr>
              <w:ind w:left="22"/>
              <w:rPr>
                <w:sz w:val="20"/>
                <w:szCs w:val="20"/>
              </w:rPr>
            </w:pPr>
            <w:r>
              <w:rPr>
                <w:sz w:val="20"/>
                <w:szCs w:val="20"/>
              </w:rPr>
              <w:t xml:space="preserve">   </w:t>
            </w:r>
            <w:r w:rsidR="0070787F" w:rsidRPr="00EA2B2D">
              <w:rPr>
                <w:sz w:val="20"/>
                <w:szCs w:val="20"/>
              </w:rPr>
              <w:t>7 yr</w:t>
            </w:r>
          </w:p>
        </w:tc>
        <w:tc>
          <w:tcPr>
            <w:tcW w:w="993" w:type="dxa"/>
            <w:vMerge/>
            <w:vAlign w:val="center"/>
          </w:tcPr>
          <w:p w14:paraId="6BDD3AE7" w14:textId="77777777" w:rsidR="0070787F" w:rsidRPr="00EA2B2D" w:rsidRDefault="0070787F" w:rsidP="00105B92">
            <w:pPr>
              <w:jc w:val="center"/>
              <w:rPr>
                <w:sz w:val="20"/>
                <w:szCs w:val="20"/>
              </w:rPr>
            </w:pPr>
          </w:p>
        </w:tc>
        <w:tc>
          <w:tcPr>
            <w:tcW w:w="1275" w:type="dxa"/>
            <w:vMerge/>
            <w:vAlign w:val="center"/>
          </w:tcPr>
          <w:p w14:paraId="21298E1B" w14:textId="77777777" w:rsidR="0070787F" w:rsidRPr="00EA2B2D" w:rsidRDefault="0070787F" w:rsidP="00105B92">
            <w:pPr>
              <w:jc w:val="center"/>
              <w:rPr>
                <w:sz w:val="20"/>
                <w:szCs w:val="20"/>
              </w:rPr>
            </w:pPr>
          </w:p>
        </w:tc>
        <w:tc>
          <w:tcPr>
            <w:tcW w:w="1560" w:type="dxa"/>
            <w:vMerge/>
            <w:vAlign w:val="center"/>
          </w:tcPr>
          <w:p w14:paraId="523D61B9" w14:textId="77777777" w:rsidR="0070787F" w:rsidRPr="00EA2B2D" w:rsidRDefault="0070787F" w:rsidP="00105B92">
            <w:pPr>
              <w:jc w:val="center"/>
              <w:rPr>
                <w:sz w:val="20"/>
                <w:szCs w:val="20"/>
              </w:rPr>
            </w:pPr>
          </w:p>
        </w:tc>
        <w:tc>
          <w:tcPr>
            <w:tcW w:w="1701" w:type="dxa"/>
            <w:vMerge w:val="restart"/>
            <w:vAlign w:val="center"/>
          </w:tcPr>
          <w:p w14:paraId="4013120A" w14:textId="5F5CA077" w:rsidR="0070787F" w:rsidRPr="00EA2B2D" w:rsidRDefault="0070787F" w:rsidP="00105B92">
            <w:pPr>
              <w:jc w:val="center"/>
              <w:rPr>
                <w:sz w:val="20"/>
                <w:szCs w:val="20"/>
              </w:rPr>
            </w:pPr>
            <w:r w:rsidRPr="00EA2B2D">
              <w:rPr>
                <w:sz w:val="20"/>
                <w:szCs w:val="20"/>
              </w:rPr>
              <w:t>1,700</w:t>
            </w:r>
          </w:p>
        </w:tc>
        <w:tc>
          <w:tcPr>
            <w:tcW w:w="1984" w:type="dxa"/>
            <w:vMerge/>
            <w:vAlign w:val="center"/>
          </w:tcPr>
          <w:p w14:paraId="36A7EFB0" w14:textId="77777777" w:rsidR="0070787F" w:rsidRPr="00EA2B2D" w:rsidRDefault="0070787F" w:rsidP="00105B92">
            <w:pPr>
              <w:jc w:val="center"/>
              <w:rPr>
                <w:sz w:val="20"/>
                <w:szCs w:val="20"/>
              </w:rPr>
            </w:pPr>
          </w:p>
        </w:tc>
        <w:tc>
          <w:tcPr>
            <w:tcW w:w="1701" w:type="dxa"/>
            <w:vMerge w:val="restart"/>
            <w:vAlign w:val="center"/>
          </w:tcPr>
          <w:p w14:paraId="2302BBD6" w14:textId="36AA224B" w:rsidR="0070787F" w:rsidRPr="00EA2B2D" w:rsidRDefault="0070787F" w:rsidP="00105B92">
            <w:pPr>
              <w:jc w:val="center"/>
              <w:rPr>
                <w:sz w:val="20"/>
                <w:szCs w:val="20"/>
              </w:rPr>
            </w:pPr>
            <w:r w:rsidRPr="00EA2B2D">
              <w:rPr>
                <w:sz w:val="20"/>
                <w:szCs w:val="20"/>
              </w:rPr>
              <w:t>750</w:t>
            </w:r>
          </w:p>
        </w:tc>
      </w:tr>
      <w:tr w:rsidR="0070787F" w:rsidRPr="00EA2B2D" w14:paraId="69E98AD6" w14:textId="1BAA2601" w:rsidTr="00BF19B1">
        <w:trPr>
          <w:jc w:val="center"/>
        </w:trPr>
        <w:tc>
          <w:tcPr>
            <w:tcW w:w="1129" w:type="dxa"/>
            <w:tcBorders>
              <w:left w:val="single" w:sz="4" w:space="0" w:color="156082" w:themeColor="accent1"/>
            </w:tcBorders>
            <w:vAlign w:val="center"/>
          </w:tcPr>
          <w:p w14:paraId="1A9DC2BE" w14:textId="71586715" w:rsidR="0070787F" w:rsidRPr="00EA2B2D" w:rsidRDefault="00EE3807" w:rsidP="00BF19B1">
            <w:pPr>
              <w:ind w:left="22"/>
              <w:rPr>
                <w:sz w:val="20"/>
                <w:szCs w:val="20"/>
              </w:rPr>
            </w:pPr>
            <w:r>
              <w:rPr>
                <w:sz w:val="20"/>
                <w:szCs w:val="20"/>
              </w:rPr>
              <w:t xml:space="preserve">   </w:t>
            </w:r>
            <w:r w:rsidR="0070787F" w:rsidRPr="00EA2B2D">
              <w:rPr>
                <w:sz w:val="20"/>
                <w:szCs w:val="20"/>
              </w:rPr>
              <w:t>8 yr</w:t>
            </w:r>
          </w:p>
        </w:tc>
        <w:tc>
          <w:tcPr>
            <w:tcW w:w="993" w:type="dxa"/>
            <w:vMerge/>
            <w:vAlign w:val="center"/>
          </w:tcPr>
          <w:p w14:paraId="3144BEED" w14:textId="77777777" w:rsidR="0070787F" w:rsidRPr="00EA2B2D" w:rsidRDefault="0070787F" w:rsidP="00105B92">
            <w:pPr>
              <w:jc w:val="center"/>
              <w:rPr>
                <w:sz w:val="20"/>
                <w:szCs w:val="20"/>
              </w:rPr>
            </w:pPr>
          </w:p>
        </w:tc>
        <w:tc>
          <w:tcPr>
            <w:tcW w:w="1275" w:type="dxa"/>
            <w:vMerge/>
            <w:vAlign w:val="center"/>
          </w:tcPr>
          <w:p w14:paraId="355D6403" w14:textId="77777777" w:rsidR="0070787F" w:rsidRPr="00EA2B2D" w:rsidRDefault="0070787F" w:rsidP="00105B92">
            <w:pPr>
              <w:jc w:val="center"/>
              <w:rPr>
                <w:sz w:val="20"/>
                <w:szCs w:val="20"/>
              </w:rPr>
            </w:pPr>
          </w:p>
        </w:tc>
        <w:tc>
          <w:tcPr>
            <w:tcW w:w="1560" w:type="dxa"/>
            <w:vMerge/>
            <w:vAlign w:val="center"/>
          </w:tcPr>
          <w:p w14:paraId="5AD29FBB" w14:textId="77777777" w:rsidR="0070787F" w:rsidRPr="00EA2B2D" w:rsidRDefault="0070787F" w:rsidP="00105B92">
            <w:pPr>
              <w:jc w:val="center"/>
              <w:rPr>
                <w:sz w:val="20"/>
                <w:szCs w:val="20"/>
              </w:rPr>
            </w:pPr>
          </w:p>
        </w:tc>
        <w:tc>
          <w:tcPr>
            <w:tcW w:w="1701" w:type="dxa"/>
            <w:vMerge/>
            <w:vAlign w:val="center"/>
          </w:tcPr>
          <w:p w14:paraId="792FFF7D" w14:textId="77777777" w:rsidR="0070787F" w:rsidRPr="00EA2B2D" w:rsidRDefault="0070787F" w:rsidP="00105B92">
            <w:pPr>
              <w:jc w:val="center"/>
              <w:rPr>
                <w:sz w:val="20"/>
                <w:szCs w:val="20"/>
              </w:rPr>
            </w:pPr>
          </w:p>
        </w:tc>
        <w:tc>
          <w:tcPr>
            <w:tcW w:w="1984" w:type="dxa"/>
            <w:vMerge/>
            <w:vAlign w:val="center"/>
          </w:tcPr>
          <w:p w14:paraId="41694D01" w14:textId="77777777" w:rsidR="0070787F" w:rsidRPr="00EA2B2D" w:rsidRDefault="0070787F" w:rsidP="00105B92">
            <w:pPr>
              <w:jc w:val="center"/>
              <w:rPr>
                <w:sz w:val="20"/>
                <w:szCs w:val="20"/>
              </w:rPr>
            </w:pPr>
          </w:p>
        </w:tc>
        <w:tc>
          <w:tcPr>
            <w:tcW w:w="1701" w:type="dxa"/>
            <w:vMerge/>
            <w:vAlign w:val="center"/>
          </w:tcPr>
          <w:p w14:paraId="6980A5F7" w14:textId="77777777" w:rsidR="0070787F" w:rsidRPr="00EA2B2D" w:rsidRDefault="0070787F" w:rsidP="00105B92">
            <w:pPr>
              <w:jc w:val="center"/>
              <w:rPr>
                <w:sz w:val="20"/>
                <w:szCs w:val="20"/>
              </w:rPr>
            </w:pPr>
          </w:p>
        </w:tc>
      </w:tr>
      <w:tr w:rsidR="0070787F" w:rsidRPr="00EA2B2D" w14:paraId="544860A6" w14:textId="0091A5BC" w:rsidTr="00BF19B1">
        <w:trPr>
          <w:jc w:val="center"/>
        </w:trPr>
        <w:tc>
          <w:tcPr>
            <w:tcW w:w="1129" w:type="dxa"/>
            <w:tcBorders>
              <w:left w:val="single" w:sz="4" w:space="0" w:color="156082" w:themeColor="accent1"/>
            </w:tcBorders>
            <w:vAlign w:val="center"/>
          </w:tcPr>
          <w:p w14:paraId="0D06E6F0" w14:textId="4C8F3085" w:rsidR="0070787F" w:rsidRPr="00EA2B2D" w:rsidRDefault="00EE3807" w:rsidP="00BF19B1">
            <w:pPr>
              <w:ind w:left="22"/>
              <w:rPr>
                <w:sz w:val="20"/>
                <w:szCs w:val="20"/>
              </w:rPr>
            </w:pPr>
            <w:r>
              <w:rPr>
                <w:sz w:val="20"/>
                <w:szCs w:val="20"/>
              </w:rPr>
              <w:t xml:space="preserve">   </w:t>
            </w:r>
            <w:r w:rsidR="0070787F" w:rsidRPr="00EA2B2D">
              <w:rPr>
                <w:sz w:val="20"/>
                <w:szCs w:val="20"/>
              </w:rPr>
              <w:t>9 yr</w:t>
            </w:r>
          </w:p>
        </w:tc>
        <w:tc>
          <w:tcPr>
            <w:tcW w:w="993" w:type="dxa"/>
            <w:vMerge w:val="restart"/>
            <w:vAlign w:val="center"/>
          </w:tcPr>
          <w:p w14:paraId="5CD63152" w14:textId="511A60FA" w:rsidR="0070787F" w:rsidRPr="00EA2B2D" w:rsidRDefault="0070787F" w:rsidP="00105B92">
            <w:pPr>
              <w:jc w:val="center"/>
              <w:rPr>
                <w:sz w:val="20"/>
                <w:szCs w:val="20"/>
              </w:rPr>
            </w:pPr>
            <w:r w:rsidRPr="00EA2B2D">
              <w:rPr>
                <w:sz w:val="20"/>
                <w:szCs w:val="20"/>
              </w:rPr>
              <w:t>400-800</w:t>
            </w:r>
          </w:p>
        </w:tc>
        <w:tc>
          <w:tcPr>
            <w:tcW w:w="1275" w:type="dxa"/>
            <w:vMerge w:val="restart"/>
            <w:vAlign w:val="center"/>
          </w:tcPr>
          <w:p w14:paraId="202EF01B" w14:textId="28E15794" w:rsidR="0070787F" w:rsidRPr="00EA2B2D" w:rsidRDefault="0070787F" w:rsidP="00105B92">
            <w:pPr>
              <w:jc w:val="center"/>
              <w:rPr>
                <w:sz w:val="20"/>
                <w:szCs w:val="20"/>
              </w:rPr>
            </w:pPr>
            <w:r w:rsidRPr="00EA2B2D">
              <w:rPr>
                <w:sz w:val="20"/>
                <w:szCs w:val="20"/>
              </w:rPr>
              <w:t>17-34</w:t>
            </w:r>
          </w:p>
        </w:tc>
        <w:tc>
          <w:tcPr>
            <w:tcW w:w="1560" w:type="dxa"/>
            <w:vMerge w:val="restart"/>
            <w:vAlign w:val="center"/>
          </w:tcPr>
          <w:p w14:paraId="43BE0311" w14:textId="45505BDE" w:rsidR="0070787F" w:rsidRPr="00EA2B2D" w:rsidRDefault="0070787F" w:rsidP="00105B92">
            <w:pPr>
              <w:jc w:val="center"/>
              <w:rPr>
                <w:sz w:val="20"/>
                <w:szCs w:val="20"/>
              </w:rPr>
            </w:pPr>
            <w:r w:rsidRPr="00EA2B2D">
              <w:rPr>
                <w:sz w:val="20"/>
                <w:szCs w:val="20"/>
              </w:rPr>
              <w:t>1,200</w:t>
            </w:r>
          </w:p>
        </w:tc>
        <w:tc>
          <w:tcPr>
            <w:tcW w:w="1701" w:type="dxa"/>
            <w:vMerge/>
            <w:vAlign w:val="center"/>
          </w:tcPr>
          <w:p w14:paraId="6CB28553" w14:textId="77777777" w:rsidR="0070787F" w:rsidRPr="00EA2B2D" w:rsidRDefault="0070787F" w:rsidP="00105B92">
            <w:pPr>
              <w:jc w:val="center"/>
              <w:rPr>
                <w:sz w:val="20"/>
                <w:szCs w:val="20"/>
              </w:rPr>
            </w:pPr>
          </w:p>
        </w:tc>
        <w:tc>
          <w:tcPr>
            <w:tcW w:w="1984" w:type="dxa"/>
            <w:vMerge/>
            <w:vAlign w:val="center"/>
          </w:tcPr>
          <w:p w14:paraId="17B1A5A2" w14:textId="77777777" w:rsidR="0070787F" w:rsidRPr="00EA2B2D" w:rsidRDefault="0070787F" w:rsidP="00105B92">
            <w:pPr>
              <w:jc w:val="center"/>
              <w:rPr>
                <w:sz w:val="20"/>
                <w:szCs w:val="20"/>
              </w:rPr>
            </w:pPr>
          </w:p>
        </w:tc>
        <w:tc>
          <w:tcPr>
            <w:tcW w:w="1701" w:type="dxa"/>
            <w:vMerge/>
            <w:vAlign w:val="center"/>
          </w:tcPr>
          <w:p w14:paraId="6E8FCDFF" w14:textId="77777777" w:rsidR="0070787F" w:rsidRPr="00EA2B2D" w:rsidRDefault="0070787F" w:rsidP="00105B92">
            <w:pPr>
              <w:jc w:val="center"/>
              <w:rPr>
                <w:sz w:val="20"/>
                <w:szCs w:val="20"/>
              </w:rPr>
            </w:pPr>
          </w:p>
        </w:tc>
      </w:tr>
      <w:tr w:rsidR="0070787F" w:rsidRPr="00EA2B2D" w14:paraId="77CE1D16" w14:textId="3CFEF3EC" w:rsidTr="00BF19B1">
        <w:trPr>
          <w:jc w:val="center"/>
        </w:trPr>
        <w:tc>
          <w:tcPr>
            <w:tcW w:w="1129" w:type="dxa"/>
            <w:tcBorders>
              <w:left w:val="single" w:sz="4" w:space="0" w:color="156082" w:themeColor="accent1"/>
            </w:tcBorders>
            <w:vAlign w:val="center"/>
          </w:tcPr>
          <w:p w14:paraId="565AA0F5" w14:textId="5827A090" w:rsidR="0070787F" w:rsidRPr="00EA2B2D" w:rsidRDefault="00EE3807" w:rsidP="00BF19B1">
            <w:pPr>
              <w:ind w:left="22"/>
              <w:rPr>
                <w:sz w:val="20"/>
                <w:szCs w:val="20"/>
              </w:rPr>
            </w:pPr>
            <w:r>
              <w:rPr>
                <w:sz w:val="20"/>
                <w:szCs w:val="20"/>
              </w:rPr>
              <w:t xml:space="preserve">   </w:t>
            </w:r>
            <w:r w:rsidR="0070787F" w:rsidRPr="00EA2B2D">
              <w:rPr>
                <w:sz w:val="20"/>
                <w:szCs w:val="20"/>
              </w:rPr>
              <w:t>10 yr</w:t>
            </w:r>
          </w:p>
        </w:tc>
        <w:tc>
          <w:tcPr>
            <w:tcW w:w="993" w:type="dxa"/>
            <w:vMerge/>
            <w:vAlign w:val="center"/>
          </w:tcPr>
          <w:p w14:paraId="6DDDA860" w14:textId="77777777" w:rsidR="0070787F" w:rsidRPr="00EA2B2D" w:rsidRDefault="0070787F" w:rsidP="00105B92">
            <w:pPr>
              <w:jc w:val="center"/>
              <w:rPr>
                <w:sz w:val="20"/>
                <w:szCs w:val="20"/>
              </w:rPr>
            </w:pPr>
          </w:p>
        </w:tc>
        <w:tc>
          <w:tcPr>
            <w:tcW w:w="1275" w:type="dxa"/>
            <w:vMerge/>
            <w:vAlign w:val="center"/>
          </w:tcPr>
          <w:p w14:paraId="6B914EC1" w14:textId="77777777" w:rsidR="0070787F" w:rsidRPr="00EA2B2D" w:rsidRDefault="0070787F" w:rsidP="00105B92">
            <w:pPr>
              <w:jc w:val="center"/>
              <w:rPr>
                <w:sz w:val="20"/>
                <w:szCs w:val="20"/>
              </w:rPr>
            </w:pPr>
          </w:p>
        </w:tc>
        <w:tc>
          <w:tcPr>
            <w:tcW w:w="1560" w:type="dxa"/>
            <w:vMerge/>
            <w:vAlign w:val="center"/>
          </w:tcPr>
          <w:p w14:paraId="408720E6" w14:textId="77777777" w:rsidR="0070787F" w:rsidRPr="00EA2B2D" w:rsidRDefault="0070787F" w:rsidP="00105B92">
            <w:pPr>
              <w:jc w:val="center"/>
              <w:rPr>
                <w:sz w:val="20"/>
                <w:szCs w:val="20"/>
              </w:rPr>
            </w:pPr>
          </w:p>
        </w:tc>
        <w:tc>
          <w:tcPr>
            <w:tcW w:w="1701" w:type="dxa"/>
            <w:vMerge/>
            <w:vAlign w:val="center"/>
          </w:tcPr>
          <w:p w14:paraId="4CC2D01B" w14:textId="77777777" w:rsidR="0070787F" w:rsidRPr="00EA2B2D" w:rsidRDefault="0070787F" w:rsidP="00105B92">
            <w:pPr>
              <w:jc w:val="center"/>
              <w:rPr>
                <w:sz w:val="20"/>
                <w:szCs w:val="20"/>
              </w:rPr>
            </w:pPr>
          </w:p>
        </w:tc>
        <w:tc>
          <w:tcPr>
            <w:tcW w:w="1984" w:type="dxa"/>
            <w:vMerge/>
            <w:vAlign w:val="center"/>
          </w:tcPr>
          <w:p w14:paraId="68B67EA3" w14:textId="77777777" w:rsidR="0070787F" w:rsidRPr="00EA2B2D" w:rsidRDefault="0070787F" w:rsidP="00105B92">
            <w:pPr>
              <w:jc w:val="center"/>
              <w:rPr>
                <w:sz w:val="20"/>
                <w:szCs w:val="20"/>
              </w:rPr>
            </w:pPr>
          </w:p>
        </w:tc>
        <w:tc>
          <w:tcPr>
            <w:tcW w:w="1701" w:type="dxa"/>
            <w:vMerge w:val="restart"/>
            <w:vAlign w:val="center"/>
          </w:tcPr>
          <w:p w14:paraId="1BE066C0" w14:textId="22225773" w:rsidR="0070787F" w:rsidRPr="00EA2B2D" w:rsidRDefault="0070787F" w:rsidP="00105B92">
            <w:pPr>
              <w:jc w:val="center"/>
              <w:rPr>
                <w:sz w:val="20"/>
                <w:szCs w:val="20"/>
              </w:rPr>
            </w:pPr>
            <w:r w:rsidRPr="00EA2B2D">
              <w:rPr>
                <w:sz w:val="20"/>
                <w:szCs w:val="20"/>
              </w:rPr>
              <w:t>1,100</w:t>
            </w:r>
          </w:p>
        </w:tc>
      </w:tr>
      <w:tr w:rsidR="0070787F" w:rsidRPr="00EA2B2D" w14:paraId="6C8D5851" w14:textId="62CFEBFD" w:rsidTr="00BF19B1">
        <w:trPr>
          <w:jc w:val="center"/>
        </w:trPr>
        <w:tc>
          <w:tcPr>
            <w:tcW w:w="1129" w:type="dxa"/>
            <w:tcBorders>
              <w:left w:val="single" w:sz="4" w:space="0" w:color="156082" w:themeColor="accent1"/>
            </w:tcBorders>
            <w:vAlign w:val="center"/>
          </w:tcPr>
          <w:p w14:paraId="6238DF68" w14:textId="24E8DC56" w:rsidR="0070787F" w:rsidRPr="00EA2B2D" w:rsidRDefault="00EE3807" w:rsidP="00BF19B1">
            <w:pPr>
              <w:ind w:left="22"/>
              <w:rPr>
                <w:sz w:val="20"/>
                <w:szCs w:val="20"/>
              </w:rPr>
            </w:pPr>
            <w:r>
              <w:rPr>
                <w:sz w:val="20"/>
                <w:szCs w:val="20"/>
              </w:rPr>
              <w:t xml:space="preserve">   </w:t>
            </w:r>
            <w:r w:rsidR="0070787F" w:rsidRPr="00EA2B2D">
              <w:rPr>
                <w:sz w:val="20"/>
                <w:szCs w:val="20"/>
              </w:rPr>
              <w:t>11 yr</w:t>
            </w:r>
          </w:p>
        </w:tc>
        <w:tc>
          <w:tcPr>
            <w:tcW w:w="993" w:type="dxa"/>
            <w:vMerge/>
            <w:vAlign w:val="center"/>
          </w:tcPr>
          <w:p w14:paraId="3ADF7611" w14:textId="77777777" w:rsidR="0070787F" w:rsidRPr="00EA2B2D" w:rsidRDefault="0070787F" w:rsidP="00105B92">
            <w:pPr>
              <w:jc w:val="center"/>
              <w:rPr>
                <w:sz w:val="20"/>
                <w:szCs w:val="20"/>
              </w:rPr>
            </w:pPr>
          </w:p>
        </w:tc>
        <w:tc>
          <w:tcPr>
            <w:tcW w:w="1275" w:type="dxa"/>
            <w:vMerge/>
            <w:vAlign w:val="center"/>
          </w:tcPr>
          <w:p w14:paraId="29C1497C" w14:textId="77777777" w:rsidR="0070787F" w:rsidRPr="00EA2B2D" w:rsidRDefault="0070787F" w:rsidP="00105B92">
            <w:pPr>
              <w:jc w:val="center"/>
              <w:rPr>
                <w:sz w:val="20"/>
                <w:szCs w:val="20"/>
              </w:rPr>
            </w:pPr>
          </w:p>
        </w:tc>
        <w:tc>
          <w:tcPr>
            <w:tcW w:w="1560" w:type="dxa"/>
            <w:vMerge/>
            <w:vAlign w:val="center"/>
          </w:tcPr>
          <w:p w14:paraId="772CF5AE" w14:textId="77777777" w:rsidR="0070787F" w:rsidRPr="00EA2B2D" w:rsidRDefault="0070787F" w:rsidP="00105B92">
            <w:pPr>
              <w:jc w:val="center"/>
              <w:rPr>
                <w:sz w:val="20"/>
                <w:szCs w:val="20"/>
              </w:rPr>
            </w:pPr>
          </w:p>
        </w:tc>
        <w:tc>
          <w:tcPr>
            <w:tcW w:w="1701" w:type="dxa"/>
            <w:vMerge w:val="restart"/>
            <w:vAlign w:val="center"/>
          </w:tcPr>
          <w:p w14:paraId="54258EA1" w14:textId="38AC5F83" w:rsidR="0070787F" w:rsidRPr="00EA2B2D" w:rsidRDefault="0070787F" w:rsidP="00105B92">
            <w:pPr>
              <w:jc w:val="center"/>
              <w:rPr>
                <w:sz w:val="20"/>
                <w:szCs w:val="20"/>
              </w:rPr>
            </w:pPr>
            <w:r w:rsidRPr="00EA2B2D">
              <w:rPr>
                <w:sz w:val="20"/>
                <w:szCs w:val="20"/>
              </w:rPr>
              <w:t>2,000</w:t>
            </w:r>
          </w:p>
        </w:tc>
        <w:tc>
          <w:tcPr>
            <w:tcW w:w="1984" w:type="dxa"/>
            <w:vMerge/>
            <w:vAlign w:val="center"/>
          </w:tcPr>
          <w:p w14:paraId="3FDD9BA4" w14:textId="77777777" w:rsidR="0070787F" w:rsidRPr="00EA2B2D" w:rsidRDefault="0070787F" w:rsidP="00105B92">
            <w:pPr>
              <w:jc w:val="center"/>
              <w:rPr>
                <w:sz w:val="20"/>
                <w:szCs w:val="20"/>
              </w:rPr>
            </w:pPr>
          </w:p>
        </w:tc>
        <w:tc>
          <w:tcPr>
            <w:tcW w:w="1701" w:type="dxa"/>
            <w:vMerge/>
            <w:vAlign w:val="center"/>
          </w:tcPr>
          <w:p w14:paraId="5D9D425E" w14:textId="77777777" w:rsidR="0070787F" w:rsidRPr="00EA2B2D" w:rsidRDefault="0070787F" w:rsidP="00105B92">
            <w:pPr>
              <w:jc w:val="center"/>
              <w:rPr>
                <w:sz w:val="20"/>
                <w:szCs w:val="20"/>
              </w:rPr>
            </w:pPr>
          </w:p>
        </w:tc>
      </w:tr>
      <w:tr w:rsidR="0070787F" w:rsidRPr="00EA2B2D" w14:paraId="6DD0E71C" w14:textId="01711EFF" w:rsidTr="00BF19B1">
        <w:trPr>
          <w:jc w:val="center"/>
        </w:trPr>
        <w:tc>
          <w:tcPr>
            <w:tcW w:w="1129" w:type="dxa"/>
            <w:tcBorders>
              <w:left w:val="single" w:sz="4" w:space="0" w:color="156082" w:themeColor="accent1"/>
            </w:tcBorders>
            <w:vAlign w:val="center"/>
          </w:tcPr>
          <w:p w14:paraId="1C1D82BC" w14:textId="4766ABE6" w:rsidR="0070787F" w:rsidRPr="00EA2B2D" w:rsidRDefault="00EE3807" w:rsidP="00BF19B1">
            <w:pPr>
              <w:ind w:left="22"/>
              <w:rPr>
                <w:sz w:val="20"/>
                <w:szCs w:val="20"/>
              </w:rPr>
            </w:pPr>
            <w:r>
              <w:rPr>
                <w:sz w:val="20"/>
                <w:szCs w:val="20"/>
              </w:rPr>
              <w:t xml:space="preserve">   </w:t>
            </w:r>
            <w:r w:rsidR="0070787F" w:rsidRPr="00EA2B2D">
              <w:rPr>
                <w:sz w:val="20"/>
                <w:szCs w:val="20"/>
              </w:rPr>
              <w:t>12 yr</w:t>
            </w:r>
          </w:p>
        </w:tc>
        <w:tc>
          <w:tcPr>
            <w:tcW w:w="993" w:type="dxa"/>
            <w:vMerge/>
            <w:vAlign w:val="center"/>
          </w:tcPr>
          <w:p w14:paraId="332D1B46" w14:textId="77777777" w:rsidR="0070787F" w:rsidRPr="00EA2B2D" w:rsidRDefault="0070787F" w:rsidP="00105B92">
            <w:pPr>
              <w:jc w:val="center"/>
              <w:rPr>
                <w:sz w:val="20"/>
                <w:szCs w:val="20"/>
              </w:rPr>
            </w:pPr>
          </w:p>
        </w:tc>
        <w:tc>
          <w:tcPr>
            <w:tcW w:w="1275" w:type="dxa"/>
            <w:vMerge/>
            <w:vAlign w:val="center"/>
          </w:tcPr>
          <w:p w14:paraId="647C1003" w14:textId="77777777" w:rsidR="0070787F" w:rsidRPr="00EA2B2D" w:rsidRDefault="0070787F" w:rsidP="00105B92">
            <w:pPr>
              <w:jc w:val="center"/>
              <w:rPr>
                <w:sz w:val="20"/>
                <w:szCs w:val="20"/>
              </w:rPr>
            </w:pPr>
          </w:p>
        </w:tc>
        <w:tc>
          <w:tcPr>
            <w:tcW w:w="1560" w:type="dxa"/>
            <w:vMerge/>
            <w:vAlign w:val="center"/>
          </w:tcPr>
          <w:p w14:paraId="067F3D27" w14:textId="77777777" w:rsidR="0070787F" w:rsidRPr="00EA2B2D" w:rsidRDefault="0070787F" w:rsidP="00105B92">
            <w:pPr>
              <w:jc w:val="center"/>
              <w:rPr>
                <w:sz w:val="20"/>
                <w:szCs w:val="20"/>
              </w:rPr>
            </w:pPr>
          </w:p>
        </w:tc>
        <w:tc>
          <w:tcPr>
            <w:tcW w:w="1701" w:type="dxa"/>
            <w:vMerge/>
            <w:vAlign w:val="center"/>
          </w:tcPr>
          <w:p w14:paraId="3DD5D6BA" w14:textId="77777777" w:rsidR="0070787F" w:rsidRPr="00EA2B2D" w:rsidRDefault="0070787F" w:rsidP="00105B92">
            <w:pPr>
              <w:jc w:val="center"/>
              <w:rPr>
                <w:sz w:val="20"/>
                <w:szCs w:val="20"/>
              </w:rPr>
            </w:pPr>
          </w:p>
        </w:tc>
        <w:tc>
          <w:tcPr>
            <w:tcW w:w="1984" w:type="dxa"/>
            <w:vMerge/>
            <w:vAlign w:val="center"/>
          </w:tcPr>
          <w:p w14:paraId="4F9B7370" w14:textId="77777777" w:rsidR="0070787F" w:rsidRPr="00EA2B2D" w:rsidRDefault="0070787F" w:rsidP="00105B92">
            <w:pPr>
              <w:jc w:val="center"/>
              <w:rPr>
                <w:sz w:val="20"/>
                <w:szCs w:val="20"/>
              </w:rPr>
            </w:pPr>
          </w:p>
        </w:tc>
        <w:tc>
          <w:tcPr>
            <w:tcW w:w="1701" w:type="dxa"/>
            <w:vMerge/>
            <w:vAlign w:val="center"/>
          </w:tcPr>
          <w:p w14:paraId="6BBED308" w14:textId="77777777" w:rsidR="0070787F" w:rsidRPr="00EA2B2D" w:rsidRDefault="0070787F" w:rsidP="00105B92">
            <w:pPr>
              <w:jc w:val="center"/>
              <w:rPr>
                <w:sz w:val="20"/>
                <w:szCs w:val="20"/>
              </w:rPr>
            </w:pPr>
          </w:p>
        </w:tc>
      </w:tr>
      <w:tr w:rsidR="0070787F" w:rsidRPr="00EA2B2D" w14:paraId="772FA5A2" w14:textId="69C2B807" w:rsidTr="00BF19B1">
        <w:trPr>
          <w:jc w:val="center"/>
        </w:trPr>
        <w:tc>
          <w:tcPr>
            <w:tcW w:w="1129" w:type="dxa"/>
            <w:tcBorders>
              <w:left w:val="single" w:sz="4" w:space="0" w:color="156082" w:themeColor="accent1"/>
            </w:tcBorders>
            <w:vAlign w:val="center"/>
          </w:tcPr>
          <w:p w14:paraId="30C3438F" w14:textId="48376815" w:rsidR="0070787F" w:rsidRPr="00EA2B2D" w:rsidRDefault="00EE3807" w:rsidP="00BF19B1">
            <w:pPr>
              <w:ind w:left="22"/>
              <w:rPr>
                <w:sz w:val="20"/>
                <w:szCs w:val="20"/>
              </w:rPr>
            </w:pPr>
            <w:r>
              <w:rPr>
                <w:sz w:val="20"/>
                <w:szCs w:val="20"/>
              </w:rPr>
              <w:t xml:space="preserve">   </w:t>
            </w:r>
            <w:r w:rsidR="0070787F" w:rsidRPr="00EA2B2D">
              <w:rPr>
                <w:sz w:val="20"/>
                <w:szCs w:val="20"/>
              </w:rPr>
              <w:t>13 yr</w:t>
            </w:r>
          </w:p>
        </w:tc>
        <w:tc>
          <w:tcPr>
            <w:tcW w:w="993" w:type="dxa"/>
            <w:vMerge/>
            <w:vAlign w:val="center"/>
          </w:tcPr>
          <w:p w14:paraId="4E039712" w14:textId="77777777" w:rsidR="0070787F" w:rsidRPr="00EA2B2D" w:rsidRDefault="0070787F" w:rsidP="00105B92">
            <w:pPr>
              <w:jc w:val="center"/>
              <w:rPr>
                <w:sz w:val="20"/>
                <w:szCs w:val="20"/>
              </w:rPr>
            </w:pPr>
          </w:p>
        </w:tc>
        <w:tc>
          <w:tcPr>
            <w:tcW w:w="1275" w:type="dxa"/>
            <w:vMerge/>
            <w:vAlign w:val="center"/>
          </w:tcPr>
          <w:p w14:paraId="7AC76A5F" w14:textId="77777777" w:rsidR="0070787F" w:rsidRPr="00EA2B2D" w:rsidRDefault="0070787F" w:rsidP="00105B92">
            <w:pPr>
              <w:jc w:val="center"/>
              <w:rPr>
                <w:sz w:val="20"/>
                <w:szCs w:val="20"/>
              </w:rPr>
            </w:pPr>
          </w:p>
        </w:tc>
        <w:tc>
          <w:tcPr>
            <w:tcW w:w="1560" w:type="dxa"/>
            <w:vMerge/>
            <w:vAlign w:val="center"/>
          </w:tcPr>
          <w:p w14:paraId="4F48C0BD" w14:textId="77777777" w:rsidR="0070787F" w:rsidRPr="00EA2B2D" w:rsidRDefault="0070787F" w:rsidP="00105B92">
            <w:pPr>
              <w:jc w:val="center"/>
              <w:rPr>
                <w:sz w:val="20"/>
                <w:szCs w:val="20"/>
              </w:rPr>
            </w:pPr>
          </w:p>
        </w:tc>
        <w:tc>
          <w:tcPr>
            <w:tcW w:w="1701" w:type="dxa"/>
            <w:vMerge/>
            <w:vAlign w:val="center"/>
          </w:tcPr>
          <w:p w14:paraId="49BB5059" w14:textId="77777777" w:rsidR="0070787F" w:rsidRPr="00EA2B2D" w:rsidRDefault="0070787F" w:rsidP="00105B92">
            <w:pPr>
              <w:jc w:val="center"/>
              <w:rPr>
                <w:sz w:val="20"/>
                <w:szCs w:val="20"/>
              </w:rPr>
            </w:pPr>
          </w:p>
        </w:tc>
        <w:tc>
          <w:tcPr>
            <w:tcW w:w="1984" w:type="dxa"/>
            <w:vMerge/>
            <w:vAlign w:val="center"/>
          </w:tcPr>
          <w:p w14:paraId="3206366E" w14:textId="77777777" w:rsidR="0070787F" w:rsidRPr="00EA2B2D" w:rsidRDefault="0070787F" w:rsidP="00105B92">
            <w:pPr>
              <w:jc w:val="center"/>
              <w:rPr>
                <w:sz w:val="20"/>
                <w:szCs w:val="20"/>
              </w:rPr>
            </w:pPr>
          </w:p>
        </w:tc>
        <w:tc>
          <w:tcPr>
            <w:tcW w:w="1701" w:type="dxa"/>
            <w:vMerge w:val="restart"/>
            <w:vAlign w:val="center"/>
          </w:tcPr>
          <w:p w14:paraId="6E1ACDF7" w14:textId="27F3E763" w:rsidR="0070787F" w:rsidRPr="00EA2B2D" w:rsidRDefault="0070787F" w:rsidP="00105B92">
            <w:pPr>
              <w:jc w:val="center"/>
              <w:rPr>
                <w:sz w:val="20"/>
                <w:szCs w:val="20"/>
              </w:rPr>
            </w:pPr>
            <w:r w:rsidRPr="00EA2B2D">
              <w:rPr>
                <w:sz w:val="20"/>
                <w:szCs w:val="20"/>
              </w:rPr>
              <w:t>1,400</w:t>
            </w:r>
          </w:p>
        </w:tc>
      </w:tr>
      <w:tr w:rsidR="0070787F" w:rsidRPr="00EA2B2D" w14:paraId="7818D2DF" w14:textId="123C6D6F" w:rsidTr="00BF19B1">
        <w:trPr>
          <w:jc w:val="center"/>
        </w:trPr>
        <w:tc>
          <w:tcPr>
            <w:tcW w:w="1129" w:type="dxa"/>
            <w:tcBorders>
              <w:left w:val="single" w:sz="4" w:space="0" w:color="156082" w:themeColor="accent1"/>
            </w:tcBorders>
            <w:vAlign w:val="center"/>
          </w:tcPr>
          <w:p w14:paraId="30787301" w14:textId="1138806D" w:rsidR="0070787F" w:rsidRPr="00EA2B2D" w:rsidRDefault="00EE3807" w:rsidP="00BF19B1">
            <w:pPr>
              <w:ind w:left="22"/>
              <w:rPr>
                <w:sz w:val="20"/>
                <w:szCs w:val="20"/>
              </w:rPr>
            </w:pPr>
            <w:r>
              <w:rPr>
                <w:sz w:val="20"/>
                <w:szCs w:val="20"/>
              </w:rPr>
              <w:t xml:space="preserve">   </w:t>
            </w:r>
            <w:r w:rsidR="0070787F" w:rsidRPr="00EA2B2D">
              <w:rPr>
                <w:sz w:val="20"/>
                <w:szCs w:val="20"/>
              </w:rPr>
              <w:t>14 yr</w:t>
            </w:r>
          </w:p>
        </w:tc>
        <w:tc>
          <w:tcPr>
            <w:tcW w:w="993" w:type="dxa"/>
            <w:vMerge w:val="restart"/>
            <w:vAlign w:val="center"/>
          </w:tcPr>
          <w:p w14:paraId="17E0C8B4" w14:textId="7B312557" w:rsidR="0070787F" w:rsidRPr="00EA2B2D" w:rsidRDefault="0070787F" w:rsidP="00105B92">
            <w:pPr>
              <w:jc w:val="center"/>
              <w:rPr>
                <w:sz w:val="20"/>
                <w:szCs w:val="20"/>
              </w:rPr>
            </w:pPr>
            <w:r w:rsidRPr="00EA2B2D">
              <w:rPr>
                <w:sz w:val="20"/>
                <w:szCs w:val="20"/>
              </w:rPr>
              <w:t>460-920</w:t>
            </w:r>
          </w:p>
        </w:tc>
        <w:tc>
          <w:tcPr>
            <w:tcW w:w="1275" w:type="dxa"/>
            <w:vMerge w:val="restart"/>
            <w:vAlign w:val="center"/>
          </w:tcPr>
          <w:p w14:paraId="258064FA" w14:textId="03F7E13D" w:rsidR="0070787F" w:rsidRPr="00EA2B2D" w:rsidRDefault="0070787F" w:rsidP="00105B92">
            <w:pPr>
              <w:jc w:val="center"/>
              <w:rPr>
                <w:sz w:val="20"/>
                <w:szCs w:val="20"/>
              </w:rPr>
            </w:pPr>
            <w:r w:rsidRPr="00EA2B2D">
              <w:rPr>
                <w:sz w:val="20"/>
                <w:szCs w:val="20"/>
              </w:rPr>
              <w:t>20-40</w:t>
            </w:r>
          </w:p>
        </w:tc>
        <w:tc>
          <w:tcPr>
            <w:tcW w:w="1560" w:type="dxa"/>
            <w:vMerge w:val="restart"/>
            <w:vAlign w:val="center"/>
          </w:tcPr>
          <w:p w14:paraId="49AE9E84" w14:textId="38C97B18" w:rsidR="0070787F" w:rsidRPr="00EA2B2D" w:rsidRDefault="0070787F" w:rsidP="00105B92">
            <w:pPr>
              <w:jc w:val="center"/>
              <w:rPr>
                <w:sz w:val="20"/>
                <w:szCs w:val="20"/>
              </w:rPr>
            </w:pPr>
            <w:r w:rsidRPr="00EA2B2D">
              <w:rPr>
                <w:sz w:val="20"/>
                <w:szCs w:val="20"/>
              </w:rPr>
              <w:t>1,500</w:t>
            </w:r>
          </w:p>
        </w:tc>
        <w:tc>
          <w:tcPr>
            <w:tcW w:w="1701" w:type="dxa"/>
            <w:vMerge/>
            <w:vAlign w:val="center"/>
          </w:tcPr>
          <w:p w14:paraId="740DAF87" w14:textId="77777777" w:rsidR="0070787F" w:rsidRPr="00EA2B2D" w:rsidRDefault="0070787F" w:rsidP="00105B92">
            <w:pPr>
              <w:jc w:val="center"/>
              <w:rPr>
                <w:sz w:val="20"/>
                <w:szCs w:val="20"/>
              </w:rPr>
            </w:pPr>
          </w:p>
        </w:tc>
        <w:tc>
          <w:tcPr>
            <w:tcW w:w="1984" w:type="dxa"/>
            <w:vMerge/>
            <w:vAlign w:val="center"/>
          </w:tcPr>
          <w:p w14:paraId="4C13CA46" w14:textId="77777777" w:rsidR="0070787F" w:rsidRPr="00EA2B2D" w:rsidRDefault="0070787F" w:rsidP="00105B92">
            <w:pPr>
              <w:jc w:val="center"/>
              <w:rPr>
                <w:sz w:val="20"/>
                <w:szCs w:val="20"/>
              </w:rPr>
            </w:pPr>
          </w:p>
        </w:tc>
        <w:tc>
          <w:tcPr>
            <w:tcW w:w="1701" w:type="dxa"/>
            <w:vMerge/>
            <w:vAlign w:val="center"/>
          </w:tcPr>
          <w:p w14:paraId="333EFB3D" w14:textId="77777777" w:rsidR="0070787F" w:rsidRPr="00EA2B2D" w:rsidRDefault="0070787F" w:rsidP="00105B92">
            <w:pPr>
              <w:jc w:val="center"/>
              <w:rPr>
                <w:sz w:val="20"/>
                <w:szCs w:val="20"/>
              </w:rPr>
            </w:pPr>
          </w:p>
        </w:tc>
      </w:tr>
      <w:tr w:rsidR="0070787F" w:rsidRPr="00EA2B2D" w14:paraId="6449B444" w14:textId="136B0F44" w:rsidTr="00BF19B1">
        <w:trPr>
          <w:jc w:val="center"/>
        </w:trPr>
        <w:tc>
          <w:tcPr>
            <w:tcW w:w="1129" w:type="dxa"/>
            <w:tcBorders>
              <w:left w:val="single" w:sz="4" w:space="0" w:color="156082" w:themeColor="accent1"/>
            </w:tcBorders>
            <w:vAlign w:val="center"/>
          </w:tcPr>
          <w:p w14:paraId="6D9A0EE3" w14:textId="5EBCD78E" w:rsidR="0070787F" w:rsidRPr="00EA2B2D" w:rsidRDefault="00EE3807" w:rsidP="00BF19B1">
            <w:pPr>
              <w:ind w:left="22"/>
              <w:rPr>
                <w:sz w:val="20"/>
                <w:szCs w:val="20"/>
              </w:rPr>
            </w:pPr>
            <w:r>
              <w:rPr>
                <w:sz w:val="20"/>
                <w:szCs w:val="20"/>
              </w:rPr>
              <w:t xml:space="preserve">   </w:t>
            </w:r>
            <w:r w:rsidR="0070787F" w:rsidRPr="00EA2B2D">
              <w:rPr>
                <w:sz w:val="20"/>
                <w:szCs w:val="20"/>
              </w:rPr>
              <w:t>15 yr</w:t>
            </w:r>
          </w:p>
        </w:tc>
        <w:tc>
          <w:tcPr>
            <w:tcW w:w="993" w:type="dxa"/>
            <w:vMerge/>
            <w:vAlign w:val="center"/>
          </w:tcPr>
          <w:p w14:paraId="4A39FAAC" w14:textId="77777777" w:rsidR="0070787F" w:rsidRPr="00EA2B2D" w:rsidRDefault="0070787F" w:rsidP="00105B92">
            <w:pPr>
              <w:jc w:val="center"/>
              <w:rPr>
                <w:sz w:val="20"/>
                <w:szCs w:val="20"/>
              </w:rPr>
            </w:pPr>
          </w:p>
        </w:tc>
        <w:tc>
          <w:tcPr>
            <w:tcW w:w="1275" w:type="dxa"/>
            <w:vMerge/>
            <w:vAlign w:val="center"/>
          </w:tcPr>
          <w:p w14:paraId="2D527B04" w14:textId="77777777" w:rsidR="0070787F" w:rsidRPr="00EA2B2D" w:rsidRDefault="0070787F" w:rsidP="00105B92">
            <w:pPr>
              <w:jc w:val="center"/>
              <w:rPr>
                <w:sz w:val="20"/>
                <w:szCs w:val="20"/>
              </w:rPr>
            </w:pPr>
          </w:p>
        </w:tc>
        <w:tc>
          <w:tcPr>
            <w:tcW w:w="1560" w:type="dxa"/>
            <w:vMerge/>
            <w:vAlign w:val="center"/>
          </w:tcPr>
          <w:p w14:paraId="50461CD2" w14:textId="77777777" w:rsidR="0070787F" w:rsidRPr="00EA2B2D" w:rsidRDefault="0070787F" w:rsidP="00105B92">
            <w:pPr>
              <w:jc w:val="center"/>
              <w:rPr>
                <w:sz w:val="20"/>
                <w:szCs w:val="20"/>
              </w:rPr>
            </w:pPr>
          </w:p>
        </w:tc>
        <w:tc>
          <w:tcPr>
            <w:tcW w:w="1701" w:type="dxa"/>
            <w:vMerge/>
            <w:vAlign w:val="center"/>
          </w:tcPr>
          <w:p w14:paraId="3F17A6BE" w14:textId="77777777" w:rsidR="0070787F" w:rsidRPr="00EA2B2D" w:rsidRDefault="0070787F" w:rsidP="00105B92">
            <w:pPr>
              <w:jc w:val="center"/>
              <w:rPr>
                <w:sz w:val="20"/>
                <w:szCs w:val="20"/>
              </w:rPr>
            </w:pPr>
          </w:p>
        </w:tc>
        <w:tc>
          <w:tcPr>
            <w:tcW w:w="1984" w:type="dxa"/>
            <w:vMerge/>
            <w:vAlign w:val="center"/>
          </w:tcPr>
          <w:p w14:paraId="0964A044" w14:textId="77777777" w:rsidR="0070787F" w:rsidRPr="00EA2B2D" w:rsidRDefault="0070787F" w:rsidP="00105B92">
            <w:pPr>
              <w:jc w:val="center"/>
              <w:rPr>
                <w:sz w:val="20"/>
                <w:szCs w:val="20"/>
              </w:rPr>
            </w:pPr>
          </w:p>
        </w:tc>
        <w:tc>
          <w:tcPr>
            <w:tcW w:w="1701" w:type="dxa"/>
            <w:vMerge w:val="restart"/>
            <w:vAlign w:val="center"/>
          </w:tcPr>
          <w:p w14:paraId="0D356651" w14:textId="6F4247F8" w:rsidR="0070787F" w:rsidRPr="00EA2B2D" w:rsidRDefault="0070787F" w:rsidP="00105B92">
            <w:pPr>
              <w:jc w:val="center"/>
              <w:rPr>
                <w:sz w:val="20"/>
                <w:szCs w:val="20"/>
              </w:rPr>
            </w:pPr>
            <w:r w:rsidRPr="00EA2B2D">
              <w:rPr>
                <w:sz w:val="20"/>
                <w:szCs w:val="20"/>
              </w:rPr>
              <w:t>1,500^</w:t>
            </w:r>
          </w:p>
        </w:tc>
      </w:tr>
      <w:tr w:rsidR="0070787F" w:rsidRPr="00EA2B2D" w14:paraId="19758089" w14:textId="61752875" w:rsidTr="00BF19B1">
        <w:trPr>
          <w:jc w:val="center"/>
        </w:trPr>
        <w:tc>
          <w:tcPr>
            <w:tcW w:w="1129" w:type="dxa"/>
            <w:tcBorders>
              <w:left w:val="single" w:sz="4" w:space="0" w:color="156082" w:themeColor="accent1"/>
            </w:tcBorders>
            <w:vAlign w:val="center"/>
          </w:tcPr>
          <w:p w14:paraId="37401EB4" w14:textId="2F6A0BE2" w:rsidR="0070787F" w:rsidRPr="00EA2B2D" w:rsidRDefault="00EE3807" w:rsidP="00BF19B1">
            <w:pPr>
              <w:ind w:left="22"/>
              <w:rPr>
                <w:sz w:val="20"/>
                <w:szCs w:val="20"/>
              </w:rPr>
            </w:pPr>
            <w:r>
              <w:rPr>
                <w:sz w:val="20"/>
                <w:szCs w:val="20"/>
              </w:rPr>
              <w:t xml:space="preserve">   </w:t>
            </w:r>
            <w:r w:rsidR="0070787F" w:rsidRPr="00EA2B2D">
              <w:rPr>
                <w:sz w:val="20"/>
                <w:szCs w:val="20"/>
              </w:rPr>
              <w:t>16 yr</w:t>
            </w:r>
          </w:p>
        </w:tc>
        <w:tc>
          <w:tcPr>
            <w:tcW w:w="993" w:type="dxa"/>
            <w:vMerge/>
            <w:vAlign w:val="center"/>
          </w:tcPr>
          <w:p w14:paraId="31E6AE97" w14:textId="77777777" w:rsidR="0070787F" w:rsidRPr="00EA2B2D" w:rsidRDefault="0070787F" w:rsidP="00105B92">
            <w:pPr>
              <w:jc w:val="center"/>
              <w:rPr>
                <w:sz w:val="20"/>
                <w:szCs w:val="20"/>
              </w:rPr>
            </w:pPr>
          </w:p>
        </w:tc>
        <w:tc>
          <w:tcPr>
            <w:tcW w:w="1275" w:type="dxa"/>
            <w:vMerge/>
            <w:vAlign w:val="center"/>
          </w:tcPr>
          <w:p w14:paraId="79C4B077" w14:textId="77777777" w:rsidR="0070787F" w:rsidRPr="00EA2B2D" w:rsidRDefault="0070787F" w:rsidP="00105B92">
            <w:pPr>
              <w:jc w:val="center"/>
              <w:rPr>
                <w:sz w:val="20"/>
                <w:szCs w:val="20"/>
              </w:rPr>
            </w:pPr>
          </w:p>
        </w:tc>
        <w:tc>
          <w:tcPr>
            <w:tcW w:w="1560" w:type="dxa"/>
            <w:vMerge/>
            <w:vAlign w:val="center"/>
          </w:tcPr>
          <w:p w14:paraId="09B2CEBA" w14:textId="77777777" w:rsidR="0070787F" w:rsidRPr="00EA2B2D" w:rsidRDefault="0070787F" w:rsidP="00105B92">
            <w:pPr>
              <w:jc w:val="center"/>
              <w:rPr>
                <w:sz w:val="20"/>
                <w:szCs w:val="20"/>
              </w:rPr>
            </w:pPr>
          </w:p>
        </w:tc>
        <w:tc>
          <w:tcPr>
            <w:tcW w:w="1701" w:type="dxa"/>
            <w:vMerge/>
            <w:vAlign w:val="center"/>
          </w:tcPr>
          <w:p w14:paraId="51E3AE57" w14:textId="77777777" w:rsidR="0070787F" w:rsidRPr="00EA2B2D" w:rsidRDefault="0070787F" w:rsidP="00105B92">
            <w:pPr>
              <w:jc w:val="center"/>
              <w:rPr>
                <w:sz w:val="20"/>
                <w:szCs w:val="20"/>
              </w:rPr>
            </w:pPr>
          </w:p>
        </w:tc>
        <w:tc>
          <w:tcPr>
            <w:tcW w:w="1984" w:type="dxa"/>
            <w:vMerge/>
            <w:vAlign w:val="center"/>
          </w:tcPr>
          <w:p w14:paraId="26A411CE" w14:textId="77777777" w:rsidR="0070787F" w:rsidRPr="00EA2B2D" w:rsidRDefault="0070787F" w:rsidP="00105B92">
            <w:pPr>
              <w:jc w:val="center"/>
              <w:rPr>
                <w:sz w:val="20"/>
                <w:szCs w:val="20"/>
              </w:rPr>
            </w:pPr>
          </w:p>
        </w:tc>
        <w:tc>
          <w:tcPr>
            <w:tcW w:w="1701" w:type="dxa"/>
            <w:vMerge/>
          </w:tcPr>
          <w:p w14:paraId="669DEDCA" w14:textId="77777777" w:rsidR="0070787F" w:rsidRPr="00EA2B2D" w:rsidRDefault="0070787F" w:rsidP="00105B92">
            <w:pPr>
              <w:jc w:val="center"/>
              <w:rPr>
                <w:sz w:val="20"/>
                <w:szCs w:val="20"/>
              </w:rPr>
            </w:pPr>
          </w:p>
        </w:tc>
      </w:tr>
      <w:tr w:rsidR="0070787F" w:rsidRPr="00EA2B2D" w14:paraId="5321085C" w14:textId="7FDDE06C" w:rsidTr="00BF19B1">
        <w:trPr>
          <w:jc w:val="center"/>
        </w:trPr>
        <w:tc>
          <w:tcPr>
            <w:tcW w:w="1129" w:type="dxa"/>
            <w:tcBorders>
              <w:left w:val="single" w:sz="4" w:space="0" w:color="156082" w:themeColor="accent1"/>
            </w:tcBorders>
            <w:vAlign w:val="center"/>
          </w:tcPr>
          <w:p w14:paraId="719353CB" w14:textId="44191AAF" w:rsidR="0070787F" w:rsidRPr="00EA2B2D" w:rsidRDefault="00EE3807" w:rsidP="00BF19B1">
            <w:pPr>
              <w:ind w:left="22"/>
              <w:rPr>
                <w:sz w:val="20"/>
                <w:szCs w:val="20"/>
              </w:rPr>
            </w:pPr>
            <w:r>
              <w:rPr>
                <w:sz w:val="20"/>
                <w:szCs w:val="20"/>
              </w:rPr>
              <w:t xml:space="preserve">   </w:t>
            </w:r>
            <w:r w:rsidR="0070787F" w:rsidRPr="00EA2B2D">
              <w:rPr>
                <w:sz w:val="20"/>
                <w:szCs w:val="20"/>
              </w:rPr>
              <w:t>17 yr</w:t>
            </w:r>
          </w:p>
        </w:tc>
        <w:tc>
          <w:tcPr>
            <w:tcW w:w="993" w:type="dxa"/>
            <w:vMerge/>
            <w:vAlign w:val="center"/>
          </w:tcPr>
          <w:p w14:paraId="3C028935" w14:textId="77777777" w:rsidR="0070787F" w:rsidRPr="00EA2B2D" w:rsidRDefault="0070787F" w:rsidP="00105B92">
            <w:pPr>
              <w:jc w:val="center"/>
              <w:rPr>
                <w:sz w:val="20"/>
                <w:szCs w:val="20"/>
              </w:rPr>
            </w:pPr>
          </w:p>
        </w:tc>
        <w:tc>
          <w:tcPr>
            <w:tcW w:w="1275" w:type="dxa"/>
            <w:vMerge/>
            <w:vAlign w:val="center"/>
          </w:tcPr>
          <w:p w14:paraId="485696D6" w14:textId="77777777" w:rsidR="0070787F" w:rsidRPr="00EA2B2D" w:rsidRDefault="0070787F" w:rsidP="00105B92">
            <w:pPr>
              <w:jc w:val="center"/>
              <w:rPr>
                <w:sz w:val="20"/>
                <w:szCs w:val="20"/>
              </w:rPr>
            </w:pPr>
          </w:p>
        </w:tc>
        <w:tc>
          <w:tcPr>
            <w:tcW w:w="1560" w:type="dxa"/>
            <w:vMerge/>
            <w:vAlign w:val="center"/>
          </w:tcPr>
          <w:p w14:paraId="3CE56EC0" w14:textId="77777777" w:rsidR="0070787F" w:rsidRPr="00EA2B2D" w:rsidRDefault="0070787F" w:rsidP="00105B92">
            <w:pPr>
              <w:jc w:val="center"/>
              <w:rPr>
                <w:sz w:val="20"/>
                <w:szCs w:val="20"/>
              </w:rPr>
            </w:pPr>
          </w:p>
        </w:tc>
        <w:tc>
          <w:tcPr>
            <w:tcW w:w="1701" w:type="dxa"/>
            <w:vMerge/>
            <w:vAlign w:val="center"/>
          </w:tcPr>
          <w:p w14:paraId="6D0CFE51" w14:textId="77777777" w:rsidR="0070787F" w:rsidRPr="00EA2B2D" w:rsidRDefault="0070787F" w:rsidP="00105B92">
            <w:pPr>
              <w:jc w:val="center"/>
              <w:rPr>
                <w:sz w:val="20"/>
                <w:szCs w:val="20"/>
              </w:rPr>
            </w:pPr>
          </w:p>
        </w:tc>
        <w:tc>
          <w:tcPr>
            <w:tcW w:w="1984" w:type="dxa"/>
            <w:vMerge/>
            <w:vAlign w:val="center"/>
          </w:tcPr>
          <w:p w14:paraId="26855181" w14:textId="77777777" w:rsidR="0070787F" w:rsidRPr="00EA2B2D" w:rsidRDefault="0070787F" w:rsidP="00105B92">
            <w:pPr>
              <w:jc w:val="center"/>
              <w:rPr>
                <w:sz w:val="20"/>
                <w:szCs w:val="20"/>
              </w:rPr>
            </w:pPr>
          </w:p>
        </w:tc>
        <w:tc>
          <w:tcPr>
            <w:tcW w:w="1701" w:type="dxa"/>
            <w:vMerge/>
          </w:tcPr>
          <w:p w14:paraId="7DF79594" w14:textId="77777777" w:rsidR="0070787F" w:rsidRPr="00EA2B2D" w:rsidRDefault="0070787F" w:rsidP="00105B92">
            <w:pPr>
              <w:jc w:val="center"/>
              <w:rPr>
                <w:sz w:val="20"/>
                <w:szCs w:val="20"/>
              </w:rPr>
            </w:pPr>
          </w:p>
        </w:tc>
      </w:tr>
      <w:tr w:rsidR="0070787F" w:rsidRPr="00EA2B2D" w14:paraId="00823938" w14:textId="77777777" w:rsidTr="008C2AA6">
        <w:trPr>
          <w:jc w:val="center"/>
        </w:trPr>
        <w:tc>
          <w:tcPr>
            <w:tcW w:w="1129" w:type="dxa"/>
            <w:tcBorders>
              <w:left w:val="single" w:sz="4" w:space="0" w:color="156082" w:themeColor="accent1"/>
            </w:tcBorders>
            <w:vAlign w:val="center"/>
          </w:tcPr>
          <w:p w14:paraId="0F89F0AC" w14:textId="347FF65F" w:rsidR="0070787F" w:rsidRPr="00EA2B2D" w:rsidRDefault="00EE3807" w:rsidP="00BF19B1">
            <w:pPr>
              <w:ind w:left="22"/>
              <w:rPr>
                <w:sz w:val="20"/>
                <w:szCs w:val="20"/>
              </w:rPr>
            </w:pPr>
            <w:r>
              <w:rPr>
                <w:sz w:val="20"/>
                <w:szCs w:val="20"/>
              </w:rPr>
              <w:t xml:space="preserve">   </w:t>
            </w:r>
            <w:r w:rsidR="0070787F">
              <w:rPr>
                <w:sz w:val="20"/>
                <w:szCs w:val="20"/>
              </w:rPr>
              <w:t>18 yr</w:t>
            </w:r>
          </w:p>
        </w:tc>
        <w:tc>
          <w:tcPr>
            <w:tcW w:w="993" w:type="dxa"/>
            <w:vMerge/>
            <w:vAlign w:val="center"/>
          </w:tcPr>
          <w:p w14:paraId="39E2B0C7" w14:textId="77777777" w:rsidR="0070787F" w:rsidRPr="00EA2B2D" w:rsidRDefault="0070787F" w:rsidP="00105B92">
            <w:pPr>
              <w:jc w:val="center"/>
              <w:rPr>
                <w:sz w:val="20"/>
                <w:szCs w:val="20"/>
              </w:rPr>
            </w:pPr>
          </w:p>
        </w:tc>
        <w:tc>
          <w:tcPr>
            <w:tcW w:w="1275" w:type="dxa"/>
            <w:vAlign w:val="center"/>
          </w:tcPr>
          <w:p w14:paraId="48A4A845" w14:textId="4B8B43C5" w:rsidR="0070787F" w:rsidRPr="00EA2B2D" w:rsidRDefault="0070787F" w:rsidP="008C2AA6">
            <w:pPr>
              <w:jc w:val="center"/>
              <w:rPr>
                <w:sz w:val="20"/>
                <w:szCs w:val="20"/>
              </w:rPr>
            </w:pPr>
            <w:r>
              <w:rPr>
                <w:sz w:val="20"/>
                <w:szCs w:val="20"/>
              </w:rPr>
              <w:t>Included in adult age grouping</w:t>
            </w:r>
          </w:p>
        </w:tc>
        <w:tc>
          <w:tcPr>
            <w:tcW w:w="1560" w:type="dxa"/>
            <w:vAlign w:val="center"/>
          </w:tcPr>
          <w:p w14:paraId="6FD84112" w14:textId="224ECCEE" w:rsidR="0070787F" w:rsidRPr="00EA2B2D" w:rsidRDefault="0070787F" w:rsidP="008C2AA6">
            <w:pPr>
              <w:jc w:val="center"/>
              <w:rPr>
                <w:sz w:val="20"/>
                <w:szCs w:val="20"/>
              </w:rPr>
            </w:pPr>
            <w:r>
              <w:rPr>
                <w:sz w:val="20"/>
                <w:szCs w:val="20"/>
              </w:rPr>
              <w:t>Included in adult age grouping</w:t>
            </w:r>
          </w:p>
        </w:tc>
        <w:tc>
          <w:tcPr>
            <w:tcW w:w="1701" w:type="dxa"/>
            <w:vAlign w:val="center"/>
          </w:tcPr>
          <w:p w14:paraId="56453FDB" w14:textId="67C8F902" w:rsidR="0070787F" w:rsidRPr="00EA2B2D" w:rsidRDefault="0070787F" w:rsidP="00105B92">
            <w:pPr>
              <w:jc w:val="center"/>
              <w:rPr>
                <w:sz w:val="20"/>
                <w:szCs w:val="20"/>
              </w:rPr>
            </w:pPr>
            <w:r>
              <w:rPr>
                <w:sz w:val="20"/>
                <w:szCs w:val="20"/>
              </w:rPr>
              <w:t>Included in adult age grouping</w:t>
            </w:r>
          </w:p>
        </w:tc>
        <w:tc>
          <w:tcPr>
            <w:tcW w:w="1984" w:type="dxa"/>
            <w:vAlign w:val="center"/>
          </w:tcPr>
          <w:p w14:paraId="39AF9930" w14:textId="041916E2" w:rsidR="0070787F" w:rsidRPr="00EA2B2D" w:rsidRDefault="0070787F" w:rsidP="00105B92">
            <w:pPr>
              <w:jc w:val="center"/>
              <w:rPr>
                <w:sz w:val="20"/>
                <w:szCs w:val="20"/>
              </w:rPr>
            </w:pPr>
            <w:r>
              <w:rPr>
                <w:sz w:val="20"/>
                <w:szCs w:val="20"/>
              </w:rPr>
              <w:t>Included in adult age grouping</w:t>
            </w:r>
          </w:p>
        </w:tc>
        <w:tc>
          <w:tcPr>
            <w:tcW w:w="1701" w:type="dxa"/>
            <w:vAlign w:val="center"/>
          </w:tcPr>
          <w:p w14:paraId="20949E1B" w14:textId="6C348B64" w:rsidR="0070787F" w:rsidRPr="00EA2B2D" w:rsidRDefault="0070787F" w:rsidP="008C2AA6">
            <w:pPr>
              <w:jc w:val="center"/>
              <w:rPr>
                <w:sz w:val="20"/>
                <w:szCs w:val="20"/>
              </w:rPr>
            </w:pPr>
            <w:r>
              <w:rPr>
                <w:sz w:val="20"/>
                <w:szCs w:val="20"/>
              </w:rPr>
              <w:t>Included in adult age grouping</w:t>
            </w:r>
          </w:p>
        </w:tc>
      </w:tr>
    </w:tbl>
    <w:p w14:paraId="691AD2F6" w14:textId="102DEE7D" w:rsidR="006163C6" w:rsidRDefault="00565210" w:rsidP="006163C6">
      <w:pPr>
        <w:spacing w:after="0"/>
        <w:rPr>
          <w:sz w:val="20"/>
          <w:szCs w:val="20"/>
        </w:rPr>
      </w:pPr>
      <w:r w:rsidRPr="006163C6">
        <w:rPr>
          <w:sz w:val="20"/>
          <w:szCs w:val="20"/>
        </w:rPr>
        <w:t>NS = Not specified</w:t>
      </w:r>
    </w:p>
    <w:p w14:paraId="20BD85E4" w14:textId="77777777" w:rsidR="008C2AB7" w:rsidRPr="008C2AB7" w:rsidRDefault="008C2AB7" w:rsidP="008C2AB7">
      <w:pPr>
        <w:spacing w:after="0"/>
        <w:rPr>
          <w:sz w:val="20"/>
          <w:szCs w:val="20"/>
        </w:rPr>
      </w:pPr>
      <w:r w:rsidRPr="008C2AB7">
        <w:rPr>
          <w:sz w:val="20"/>
          <w:szCs w:val="20"/>
        </w:rPr>
        <w:t xml:space="preserve">* D-A-CH age grouping for adults is 19 years and older </w:t>
      </w:r>
    </w:p>
    <w:p w14:paraId="0162D23F" w14:textId="413D560C" w:rsidR="00C53B32" w:rsidRDefault="00941F19" w:rsidP="006163C6">
      <w:pPr>
        <w:spacing w:after="0"/>
        <w:rPr>
          <w:sz w:val="20"/>
          <w:szCs w:val="20"/>
        </w:rPr>
      </w:pPr>
      <w:r w:rsidRPr="006163C6">
        <w:rPr>
          <w:sz w:val="20"/>
          <w:szCs w:val="20"/>
        </w:rPr>
        <w:t>^ up to 19 years</w:t>
      </w:r>
    </w:p>
    <w:p w14:paraId="7B39B6D8" w14:textId="1077337D" w:rsidR="007F3133" w:rsidRDefault="003E5D64" w:rsidP="00A51725">
      <w:pPr>
        <w:spacing w:after="0"/>
        <w:rPr>
          <w:rFonts w:asciiTheme="majorHAnsi" w:eastAsiaTheme="majorEastAsia" w:hAnsiTheme="majorHAnsi" w:cstheme="majorBidi"/>
          <w:color w:val="0F4761" w:themeColor="accent1" w:themeShade="BF"/>
          <w:sz w:val="32"/>
          <w:szCs w:val="32"/>
        </w:rPr>
      </w:pPr>
      <w:r>
        <w:rPr>
          <w:sz w:val="20"/>
          <w:szCs w:val="20"/>
        </w:rPr>
        <w:t># EFSA elected not to establish an AI, instead establishing a ‘safe and adequate’ intake</w:t>
      </w:r>
      <w:r w:rsidR="00201BFF">
        <w:rPr>
          <w:sz w:val="20"/>
          <w:szCs w:val="20"/>
        </w:rPr>
        <w:t xml:space="preserve">; </w:t>
      </w:r>
      <w:r w:rsidR="00A46A3E">
        <w:rPr>
          <w:sz w:val="20"/>
          <w:szCs w:val="20"/>
        </w:rPr>
        <w:t>a level of intake that is both sufficient for requirements, and reduces health risk.</w:t>
      </w:r>
      <w:r w:rsidR="007F3133">
        <w:br w:type="page"/>
      </w:r>
    </w:p>
    <w:p w14:paraId="27BB60BF" w14:textId="2BEE9793" w:rsidR="00B733D8" w:rsidRPr="00C44EA6" w:rsidRDefault="008E4632" w:rsidP="00C44EA6">
      <w:pPr>
        <w:pStyle w:val="Heading2"/>
        <w:tabs>
          <w:tab w:val="left" w:pos="5546"/>
        </w:tabs>
        <w:rPr>
          <w:b/>
          <w:bCs/>
        </w:rPr>
      </w:pPr>
      <w:bookmarkStart w:id="22" w:name="_Toc234960822"/>
      <w:r w:rsidRPr="00C44EA6">
        <w:rPr>
          <w:b/>
          <w:bCs/>
        </w:rPr>
        <w:lastRenderedPageBreak/>
        <w:t>Chronic disease prevention</w:t>
      </w:r>
      <w:bookmarkEnd w:id="22"/>
    </w:p>
    <w:p w14:paraId="066924E9" w14:textId="6C101A4E" w:rsidR="008E4632" w:rsidRPr="00E532F6" w:rsidRDefault="008E4632" w:rsidP="00E532F6">
      <w:pPr>
        <w:pStyle w:val="Heading3"/>
        <w:spacing w:line="240" w:lineRule="auto"/>
      </w:pPr>
      <w:bookmarkStart w:id="23" w:name="_Toc234960823"/>
      <w:r>
        <w:t>Australian and New Zealand NRVs</w:t>
      </w:r>
      <w:bookmarkEnd w:id="23"/>
      <w:r>
        <w:t xml:space="preserve"> </w:t>
      </w:r>
    </w:p>
    <w:p w14:paraId="5840F8F3" w14:textId="51F76E80" w:rsidR="00DC2605" w:rsidRPr="001668A8" w:rsidRDefault="00DC2605" w:rsidP="00DC2605">
      <w:pPr>
        <w:spacing w:line="276" w:lineRule="auto"/>
      </w:pPr>
      <w:r>
        <w:t>The NHMRC Methodological Framework has recently been updated, including revisions to the terminology for NRV recommendations to reduce chronic disease risk. In line with these changes, the term ‘Suggested Dietary Target’ or ‘SDT’ will be replaced with ‘Chronic Disease Risk Reduction’ or ‘CDRR’</w:t>
      </w:r>
      <w:r w:rsidR="00325587">
        <w:t>. This aligns with the terminology used by international counterparts</w:t>
      </w:r>
      <w:r>
        <w:t xml:space="preserve">. Throughout this report the term SDT </w:t>
      </w:r>
      <w:r w:rsidR="00FB271E">
        <w:t xml:space="preserve">is used to describe </w:t>
      </w:r>
      <w:r w:rsidR="00C55DDC">
        <w:t>the current recommendations</w:t>
      </w:r>
      <w:r>
        <w:t xml:space="preserve">, </w:t>
      </w:r>
      <w:r w:rsidR="00325587">
        <w:t xml:space="preserve">with </w:t>
      </w:r>
      <w:r>
        <w:t xml:space="preserve">proposed recommendations presented as </w:t>
      </w:r>
      <w:r w:rsidR="00325587">
        <w:t xml:space="preserve">a </w:t>
      </w:r>
      <w:r>
        <w:t>CDRR value going forwards.</w:t>
      </w:r>
    </w:p>
    <w:p w14:paraId="39C298D9" w14:textId="0CC10EC4" w:rsidR="00DC0F39" w:rsidRDefault="00886032" w:rsidP="00917D55">
      <w:pPr>
        <w:spacing w:line="276" w:lineRule="auto"/>
      </w:pPr>
      <w:r w:rsidRPr="00E9202C">
        <w:t>Using the 2015 Methodological Framework for the Review of </w:t>
      </w:r>
      <w:hyperlink r:id="rId30" w:anchor="NRV" w:history="1">
        <w:r w:rsidRPr="00E9202C">
          <w:rPr>
            <w:rStyle w:val="Hyperlink"/>
          </w:rPr>
          <w:t>NRV</w:t>
        </w:r>
      </w:hyperlink>
      <w:r w:rsidRPr="00E9202C">
        <w:t>s, the value of the </w:t>
      </w:r>
      <w:hyperlink r:id="rId31" w:anchor="SDT" w:history="1">
        <w:r w:rsidRPr="00E9202C">
          <w:rPr>
            <w:rStyle w:val="Hyperlink"/>
          </w:rPr>
          <w:t>SDT</w:t>
        </w:r>
      </w:hyperlink>
      <w:r w:rsidRPr="00E9202C">
        <w:t xml:space="preserve"> for sodium was </w:t>
      </w:r>
      <w:r>
        <w:t xml:space="preserve">increased </w:t>
      </w:r>
      <w:r w:rsidRPr="00E9202C">
        <w:t>from 1,600 mg/day to 2000mg/day</w:t>
      </w:r>
      <w:r>
        <w:t xml:space="preserve"> in 2017</w:t>
      </w:r>
      <w:r w:rsidRPr="00E9202C">
        <w:t>.  </w:t>
      </w:r>
      <w:r w:rsidR="00732058" w:rsidRPr="00E9202C">
        <w:t>The</w:t>
      </w:r>
      <w:r w:rsidR="00395828" w:rsidRPr="00E9202C">
        <w:t xml:space="preserve"> </w:t>
      </w:r>
      <w:r>
        <w:t xml:space="preserve">revised </w:t>
      </w:r>
      <w:hyperlink r:id="rId32" w:anchor="SDT" w:history="1">
        <w:r w:rsidR="00756FDA" w:rsidRPr="00E9202C">
          <w:rPr>
            <w:rStyle w:val="Hyperlink"/>
          </w:rPr>
          <w:t>SDT</w:t>
        </w:r>
      </w:hyperlink>
      <w:r w:rsidR="00756FDA" w:rsidRPr="00E9202C">
        <w:t xml:space="preserve"> </w:t>
      </w:r>
      <w:r>
        <w:t xml:space="preserve">was </w:t>
      </w:r>
      <w:r w:rsidR="00732058" w:rsidRPr="00E9202C">
        <w:t xml:space="preserve">based on </w:t>
      </w:r>
      <w:r w:rsidR="007427BA">
        <w:t xml:space="preserve">a </w:t>
      </w:r>
      <w:r w:rsidR="00F61E5F">
        <w:t xml:space="preserve">meta-analysis </w:t>
      </w:r>
      <w:r w:rsidR="00DE427A" w:rsidRPr="00DE427A">
        <w:t>showing a reduction of 2 mm Hg in systolic blood pressure when mean sodium excretion was lowered from about 3,500 mg/day to 2,100 mg/day (when corrected to the Australia and New Zealand population)</w:t>
      </w:r>
      <w:r w:rsidR="00B97A1F">
        <w:t xml:space="preserve"> </w:t>
      </w:r>
      <w:r w:rsidR="00D12618">
        <w:fldChar w:fldCharType="begin"/>
      </w:r>
      <w:r w:rsidR="00D12618">
        <w:instrText xml:space="preserve"> ADDIN EN.CITE &lt;EndNote&gt;&lt;Cite&gt;&lt;Author&gt;Department of Health&lt;/Author&gt;&lt;Year&gt;2017&lt;/Year&gt;&lt;RecNum&gt;4782&lt;/RecNum&gt;&lt;DisplayText&gt;(Department of Health, 2017)&lt;/DisplayText&gt;&lt;record&gt;&lt;rec-number&gt;4782&lt;/rec-number&gt;&lt;foreign-keys&gt;&lt;key app="EN" db-id="wwsdv2wwp29fenerv0kx5tw9zxtx2fdrprx2" timestamp="1784005684"&gt;4782&lt;/key&gt;&lt;/foreign-keys&gt;&lt;ref-type name="Government Document"&gt;46&lt;/ref-type&gt;&lt;contributors&gt;&lt;authors&gt;&lt;author&gt;Department of Health,&lt;/author&gt;&lt;/authors&gt;&lt;secondary-authors&gt;&lt;author&gt;Department of Health,&lt;/author&gt;&lt;/secondary-authors&gt;&lt;/contributors&gt;&lt;titles&gt;&lt;title&gt;Australian and New Zealand Nutrient Reference Values for Sodium: Supporting Document 2 - Statistical Analyses&lt;/title&gt;&lt;/titles&gt;&lt;dates&gt;&lt;year&gt;2017&lt;/year&gt;&lt;/dates&gt;&lt;urls&gt;&lt;related-urls&gt;&lt;url&gt;https://www.eatforhealth.gov.au/sites/default/files/2022-10/2017_Sodium_SD2_-_Statistical_Analyses.pdf&lt;/url&gt;&lt;/related-urls&gt;&lt;/urls&gt;&lt;/record&gt;&lt;/Cite&gt;&lt;/EndNote&gt;</w:instrText>
      </w:r>
      <w:r w:rsidR="00D12618">
        <w:fldChar w:fldCharType="separate"/>
      </w:r>
      <w:r w:rsidR="00D12618">
        <w:rPr>
          <w:noProof/>
        </w:rPr>
        <w:t>(Department of Health, 2017)</w:t>
      </w:r>
      <w:r w:rsidR="00D12618">
        <w:fldChar w:fldCharType="end"/>
      </w:r>
      <w:r w:rsidR="00DE427A" w:rsidRPr="00DE427A">
        <w:t xml:space="preserve">. </w:t>
      </w:r>
      <w:r w:rsidR="00DE427A">
        <w:t>The value was rounded to 2,000</w:t>
      </w:r>
      <w:r w:rsidR="009B55F3">
        <w:t> </w:t>
      </w:r>
      <w:r w:rsidR="00DE427A">
        <w:t xml:space="preserve">mg/day </w:t>
      </w:r>
      <w:r w:rsidR="00917D55">
        <w:t xml:space="preserve">to align with </w:t>
      </w:r>
      <w:r w:rsidR="00D50933">
        <w:t xml:space="preserve">the current WHO recommendations and in line with </w:t>
      </w:r>
      <w:r w:rsidR="00732058" w:rsidRPr="00E9202C">
        <w:t>dietary modelling underpinning the Australian Dietary Guidelines</w:t>
      </w:r>
      <w:r w:rsidR="009B55F3">
        <w:t>,</w:t>
      </w:r>
      <w:r w:rsidR="00732058" w:rsidRPr="00E9202C">
        <w:t xml:space="preserve"> to support nutritional adequacy of the whole diet. The </w:t>
      </w:r>
      <w:r w:rsidR="00A13941">
        <w:t xml:space="preserve">revised </w:t>
      </w:r>
      <w:r w:rsidR="00732058" w:rsidRPr="00E9202C">
        <w:t xml:space="preserve">target of 2000mg/day </w:t>
      </w:r>
      <w:r w:rsidR="00FE652A" w:rsidRPr="00E9202C">
        <w:t>wa</w:t>
      </w:r>
      <w:r w:rsidR="00732058" w:rsidRPr="00E9202C">
        <w:t xml:space="preserve">s </w:t>
      </w:r>
      <w:r w:rsidR="00FE652A" w:rsidRPr="00E9202C">
        <w:t xml:space="preserve">expected to be </w:t>
      </w:r>
      <w:r w:rsidR="00732058" w:rsidRPr="00E9202C">
        <w:t>more realistic</w:t>
      </w:r>
      <w:r w:rsidR="00FE652A" w:rsidRPr="00E9202C">
        <w:t>,</w:t>
      </w:r>
      <w:r w:rsidR="00732058" w:rsidRPr="00E9202C">
        <w:t xml:space="preserve"> as it represent</w:t>
      </w:r>
      <w:r w:rsidR="00753349">
        <w:t>ed</w:t>
      </w:r>
      <w:r w:rsidR="00732058" w:rsidRPr="00E9202C">
        <w:t xml:space="preserve"> a total diet that meets all nutritional requirements, given the current food supply.</w:t>
      </w:r>
      <w:r w:rsidR="00130DA8">
        <w:t xml:space="preserve"> </w:t>
      </w:r>
    </w:p>
    <w:p w14:paraId="5C291F4D" w14:textId="59DC216D" w:rsidR="00E0232D" w:rsidRDefault="00E0232D" w:rsidP="00E0232D">
      <w:pPr>
        <w:spacing w:line="276" w:lineRule="auto"/>
      </w:pPr>
      <w:r>
        <w:t xml:space="preserve">Suggested Dietary </w:t>
      </w:r>
      <w:r w:rsidRPr="00756FDA">
        <w:t xml:space="preserve">Target </w:t>
      </w:r>
      <w:r>
        <w:t>(</w:t>
      </w:r>
      <w:hyperlink r:id="rId33" w:anchor="SDT" w:history="1">
        <w:r w:rsidRPr="00756FDA">
          <w:rPr>
            <w:rStyle w:val="Hyperlink"/>
          </w:rPr>
          <w:t>SDT</w:t>
        </w:r>
      </w:hyperlink>
      <w:r>
        <w:t xml:space="preserve">) or equivalent Chronic Disease Risk Reduction (CDRR) recommendations for each population are shown at </w:t>
      </w:r>
      <w:r>
        <w:fldChar w:fldCharType="begin"/>
      </w:r>
      <w:r>
        <w:instrText xml:space="preserve"> REF _Ref225859587 \h </w:instrText>
      </w:r>
      <w:r>
        <w:fldChar w:fldCharType="separate"/>
      </w:r>
      <w:r w:rsidR="00CC4860">
        <w:t xml:space="preserve">Table </w:t>
      </w:r>
      <w:r w:rsidR="00CC4860">
        <w:rPr>
          <w:noProof/>
        </w:rPr>
        <w:t>2</w:t>
      </w:r>
      <w:r>
        <w:fldChar w:fldCharType="end"/>
      </w:r>
      <w:r>
        <w:t>, along with recommendations from comparable international jurisdictions.</w:t>
      </w:r>
    </w:p>
    <w:p w14:paraId="227D724C" w14:textId="0604560C" w:rsidR="003B3C92" w:rsidRPr="00B60020" w:rsidRDefault="003B3C92" w:rsidP="00E532F6">
      <w:pPr>
        <w:pStyle w:val="Heading3"/>
        <w:spacing w:line="240" w:lineRule="auto"/>
      </w:pPr>
      <w:bookmarkStart w:id="24" w:name="_Toc234960824"/>
      <w:r w:rsidRPr="00B60020">
        <w:t>International Comparisons</w:t>
      </w:r>
      <w:bookmarkEnd w:id="24"/>
      <w:r w:rsidRPr="00B60020">
        <w:t xml:space="preserve"> </w:t>
      </w:r>
    </w:p>
    <w:p w14:paraId="747D2BEE" w14:textId="3BB63AAC" w:rsidR="00EF5167" w:rsidRPr="00E9202C" w:rsidRDefault="0094717B" w:rsidP="005D41BE">
      <w:pPr>
        <w:spacing w:after="120" w:line="276" w:lineRule="auto"/>
      </w:pPr>
      <w:r>
        <w:rPr>
          <w:lang w:eastAsia="en-AU"/>
        </w:rPr>
        <w:t>In 2019, the US NASEM established its CDRR for sodium at 2,300 mg/day</w:t>
      </w:r>
      <w:r w:rsidR="00E80CA4">
        <w:rPr>
          <w:lang w:eastAsia="en-AU"/>
        </w:rPr>
        <w:t xml:space="preserve"> </w:t>
      </w:r>
      <w:r w:rsidR="00E80CA4">
        <w:rPr>
          <w:lang w:eastAsia="en-AU"/>
        </w:rPr>
        <w:fldChar w:fldCharType="begin"/>
      </w:r>
      <w:r w:rsidR="0061186C">
        <w:rPr>
          <w:lang w:eastAsia="en-AU"/>
        </w:rPr>
        <w:instrText xml:space="preserve"> ADDIN EN.CITE &lt;EndNote&gt;&lt;Cite ExcludeAuth="1"&gt;&lt;Author&gt;National Academies of Sciences&lt;/Author&gt;&lt;Year&gt;2019&lt;/Year&gt;&lt;RecNum&gt;4618&lt;/RecNum&gt;&lt;Prefix&gt;NASEM`, &lt;/Prefix&gt;&lt;DisplayText&gt;(NASEM, 2019)&lt;/DisplayText&gt;&lt;record&gt;&lt;rec-number&gt;4618&lt;/rec-number&gt;&lt;foreign-keys&gt;&lt;key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sidR="00E80CA4">
        <w:rPr>
          <w:lang w:eastAsia="en-AU"/>
        </w:rPr>
        <w:fldChar w:fldCharType="separate"/>
      </w:r>
      <w:r w:rsidR="0061186C">
        <w:rPr>
          <w:noProof/>
          <w:lang w:eastAsia="en-AU"/>
        </w:rPr>
        <w:t>(NASEM, 2019)</w:t>
      </w:r>
      <w:r w:rsidR="00E80CA4">
        <w:rPr>
          <w:lang w:eastAsia="en-AU"/>
        </w:rPr>
        <w:fldChar w:fldCharType="end"/>
      </w:r>
      <w:r w:rsidR="00EF5167">
        <w:rPr>
          <w:lang w:eastAsia="en-AU"/>
        </w:rPr>
        <w:t xml:space="preserve">. This recommendation was </w:t>
      </w:r>
      <w:r w:rsidR="00EF5167" w:rsidRPr="00E9202C">
        <w:t>based on evidence from sodium reduction trials and cardiovascular outcomes including incident cardiovascular disease, hypertension, and blood pressure (</w:t>
      </w:r>
      <w:r w:rsidR="0068253A">
        <w:t>s</w:t>
      </w:r>
      <w:r w:rsidR="0009697E">
        <w:t xml:space="preserve">ystolic </w:t>
      </w:r>
      <w:r w:rsidR="0068253A">
        <w:t>blood pressure - S</w:t>
      </w:r>
      <w:r w:rsidR="00EF5167" w:rsidRPr="00E9202C">
        <w:t xml:space="preserve">BP and </w:t>
      </w:r>
      <w:r w:rsidR="0068253A">
        <w:t xml:space="preserve">diastolic blood pressure - </w:t>
      </w:r>
      <w:r w:rsidR="00EF5167" w:rsidRPr="00E9202C">
        <w:t xml:space="preserve">DBP). </w:t>
      </w:r>
      <w:r w:rsidR="007818BC">
        <w:t xml:space="preserve">It </w:t>
      </w:r>
      <w:r w:rsidR="00EF5167" w:rsidRPr="00E9202C">
        <w:t>note</w:t>
      </w:r>
      <w:r w:rsidR="007818BC">
        <w:t>d</w:t>
      </w:r>
      <w:r w:rsidR="00EF5167" w:rsidRPr="00E9202C">
        <w:t xml:space="preserve"> that while sodium intakes below the CDRR of 2,300 mg/day are expected to demonstrate a further lowering effect on blood pressure, the relationship between further reductions in blood pressure and chronic disease risk could not be characterised </w:t>
      </w:r>
      <w:r w:rsidR="00EF5167" w:rsidRPr="00E9202C">
        <w:fldChar w:fldCharType="begin"/>
      </w:r>
      <w:r w:rsidR="00EF5167" w:rsidRPr="00E9202C">
        <w:instrText xml:space="preserve"> ADDIN EN.CITE &lt;EndNote&gt;&lt;Cite ExcludeAuth="1"&gt;&lt;Author&gt;National Academies of Sciences&lt;/Author&gt;&lt;Year&gt;2019&lt;/Year&gt;&lt;RecNum&gt;4618&lt;/RecNum&gt;&lt;Prefix&gt;NASEM`, &lt;/Prefix&gt;&lt;DisplayText&gt;(NASEM, 2019)&lt;/DisplayText&gt;&lt;record&gt;&lt;rec-number&gt;4618&lt;/rec-number&gt;&lt;foreign-keys&gt;&lt;key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sidR="00EF5167" w:rsidRPr="00E9202C">
        <w:fldChar w:fldCharType="separate"/>
      </w:r>
      <w:r w:rsidR="00EF5167" w:rsidRPr="00E9202C">
        <w:rPr>
          <w:noProof/>
        </w:rPr>
        <w:t>(NASEM, 2019)</w:t>
      </w:r>
      <w:r w:rsidR="00EF5167" w:rsidRPr="00E9202C">
        <w:fldChar w:fldCharType="end"/>
      </w:r>
      <w:r w:rsidR="00EF5167" w:rsidRPr="00E9202C">
        <w:t xml:space="preserve">. </w:t>
      </w:r>
    </w:p>
    <w:p w14:paraId="010B520F" w14:textId="77777777" w:rsidR="00EF5167" w:rsidRPr="00E9202C" w:rsidRDefault="00EF5167" w:rsidP="005D41BE">
      <w:pPr>
        <w:spacing w:after="120" w:line="276" w:lineRule="auto"/>
      </w:pPr>
      <w:r w:rsidRPr="00E9202C">
        <w:t xml:space="preserve">The NASEM CDRR of 2,300 mg/day was also adopted by the 2023 Nordic Nutrition Recommendations </w:t>
      </w:r>
      <w:r w:rsidRPr="00E9202C">
        <w:rPr>
          <w:lang w:eastAsia="en-AU"/>
        </w:rPr>
        <w:fldChar w:fldCharType="begin"/>
      </w:r>
      <w:r w:rsidRPr="00E9202C">
        <w:rPr>
          <w:lang w:eastAsia="en-AU"/>
        </w:rPr>
        <w:instrText xml:space="preserve"> ADDIN EN.CITE &lt;EndNote&gt;&lt;Cite&gt;&lt;Author&gt;Blomhoff&lt;/Author&gt;&lt;Year&gt;2023&lt;/Year&gt;&lt;RecNum&gt;4617&lt;/RecNum&gt;&lt;DisplayText&gt;(Blomhoff et al., 2023)&lt;/DisplayText&gt;&lt;record&gt;&lt;rec-number&gt;4617&lt;/rec-number&gt;&lt;foreign-keys&gt;&lt;key app="EN" db-id="wwsdv2wwp29fenerv0kx5tw9zxtx2fdrprx2" timestamp="1774921009"&gt;4617&lt;/key&gt;&lt;/foreign-keys&gt;&lt;ref-type name="Book"&gt;6&lt;/ref-type&gt;&lt;contributors&gt;&lt;authors&gt;&lt;author&gt;Blomhoff, Rune&lt;/author&gt;&lt;author&gt;Andersen, Rikke&lt;/author&gt;&lt;author&gt;Arnesen, Erik&lt;/author&gt;&lt;author&gt;Christensen, Jacob&lt;/author&gt;&lt;author&gt;Eneroth, Hanna&lt;/author&gt;&lt;author&gt;Erkkola, Maijaliisa&lt;/author&gt;&lt;author&gt;Gudanaviciene, Ieva&lt;/author&gt;&lt;author&gt;Høyer-Lund, Anne&lt;/author&gt;&lt;author&gt;Lemming, Eva&lt;/author&gt;&lt;author&gt;Meltzer, Helle&lt;/author&gt;&lt;author&gt;Pitsi, Tagli&lt;/author&gt;&lt;author&gt;Siksna, Inese&lt;/author&gt;&lt;author&gt;Thorsdottir, Inga&lt;/author&gt;&lt;author&gt;Trolle, Ellen&lt;/author&gt;&lt;/authors&gt;&lt;/contributors&gt;&lt;titles&gt;&lt;title&gt;Nordic Nutrition Recommendations 2023&lt;/title&gt;&lt;/titles&gt;&lt;dates&gt;&lt;year&gt;2023&lt;/year&gt;&lt;/dates&gt;&lt;isbn&gt;9789289375344&lt;/isbn&gt;&lt;urls&gt;&lt;/urls&gt;&lt;electronic-resource-num&gt;10.6027/nord2023-003&lt;/electronic-resource-num&gt;&lt;/record&gt;&lt;/Cite&gt;&lt;/EndNote&gt;</w:instrText>
      </w:r>
      <w:r w:rsidRPr="00E9202C">
        <w:rPr>
          <w:lang w:eastAsia="en-AU"/>
        </w:rPr>
        <w:fldChar w:fldCharType="separate"/>
      </w:r>
      <w:r w:rsidRPr="00E9202C">
        <w:rPr>
          <w:noProof/>
          <w:lang w:eastAsia="en-AU"/>
        </w:rPr>
        <w:t>(Blomhoff et al., 2023)</w:t>
      </w:r>
      <w:r w:rsidRPr="00E9202C">
        <w:rPr>
          <w:lang w:eastAsia="en-AU"/>
        </w:rPr>
        <w:fldChar w:fldCharType="end"/>
      </w:r>
      <w:r w:rsidRPr="00E9202C">
        <w:rPr>
          <w:lang w:eastAsia="en-AU"/>
        </w:rPr>
        <w:t>.</w:t>
      </w:r>
    </w:p>
    <w:p w14:paraId="2A57C206" w14:textId="0A1A26C5" w:rsidR="00EF5167" w:rsidRDefault="00EF5167" w:rsidP="005D41BE">
      <w:pPr>
        <w:spacing w:after="120" w:line="276" w:lineRule="auto"/>
      </w:pPr>
      <w:r>
        <w:t>E</w:t>
      </w:r>
      <w:r w:rsidRPr="00E9202C">
        <w:t xml:space="preserve">FSA established a ‘safe and adequate’ intake; a hybrid NRV reflecting a level of intake that is sufficient for maintaining sodium </w:t>
      </w:r>
      <w:proofErr w:type="gramStart"/>
      <w:r w:rsidRPr="00E9202C">
        <w:t>balance, and</w:t>
      </w:r>
      <w:proofErr w:type="gramEnd"/>
      <w:r w:rsidRPr="00E9202C">
        <w:t xml:space="preserve"> associated with a reduced risk of adverse health effects. The value of 2,000 mg/day was selected for all adults, using an Expert Knowledge Elicitation approach that considered </w:t>
      </w:r>
      <w:r>
        <w:t xml:space="preserve">evidence for the relationship between sodium reduction and blood pressure levels or CVD risk, and levels required to maintain null sodium balance. Collectively, this evidence was then integrated to arrive at a final recommendation </w:t>
      </w:r>
      <w:r>
        <w:fldChar w:fldCharType="begin"/>
      </w:r>
      <w:r w:rsidR="00185BC5">
        <w:instrText xml:space="preserve"> ADDIN EN.CITE &lt;EndNote&gt;&lt;Cite ExcludeAuth="1"&gt;&lt;Author&gt;European Food Safety Authority&lt;/Author&gt;&lt;Year&gt;2019&lt;/Year&gt;&lt;RecNum&gt;1&lt;/RecNum&gt;&lt;Prefix&gt;EFSA`, &lt;/Prefix&gt;&lt;DisplayText&gt;(EFSA, 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fldChar w:fldCharType="separate"/>
      </w:r>
      <w:r>
        <w:rPr>
          <w:noProof/>
        </w:rPr>
        <w:t>(EFSA, 2019)</w:t>
      </w:r>
      <w:r>
        <w:fldChar w:fldCharType="end"/>
      </w:r>
      <w:r>
        <w:t>.</w:t>
      </w:r>
      <w:r w:rsidR="00AC26D4">
        <w:t xml:space="preserve"> Although this value is broadly comparable to a CDRR, it does not fully align with the NHMRC’s approach for NRV derivation which </w:t>
      </w:r>
      <w:r w:rsidR="000A247D">
        <w:t>will involve establishment of both an AI and CDRR value.</w:t>
      </w:r>
    </w:p>
    <w:p w14:paraId="6C818054" w14:textId="43C1D623" w:rsidR="001F1D1A" w:rsidRDefault="00BE7312" w:rsidP="005D41BE">
      <w:pPr>
        <w:spacing w:line="276" w:lineRule="auto"/>
        <w:rPr>
          <w:rFonts w:eastAsia="Times New Roman" w:cs="Times New Roman"/>
          <w:kern w:val="0"/>
          <w:szCs w:val="24"/>
          <w:lang w:eastAsia="en-AU"/>
          <w14:ligatures w14:val="none"/>
        </w:rPr>
      </w:pPr>
      <w:r>
        <w:rPr>
          <w:rFonts w:eastAsia="Times New Roman" w:cs="Times New Roman"/>
          <w:kern w:val="0"/>
          <w:szCs w:val="24"/>
          <w:lang w:eastAsia="en-AU"/>
          <w14:ligatures w14:val="none"/>
        </w:rPr>
        <w:t>The World Health Organisation issued sodium intake recommendations for adults and children in 2012</w:t>
      </w:r>
      <w:r w:rsidR="006E3192">
        <w:rPr>
          <w:rFonts w:eastAsia="Times New Roman" w:cs="Times New Roman"/>
          <w:kern w:val="0"/>
          <w:szCs w:val="24"/>
          <w:lang w:eastAsia="en-AU"/>
          <w14:ligatures w14:val="none"/>
        </w:rPr>
        <w:t xml:space="preserve"> </w:t>
      </w:r>
      <w:r w:rsidR="002812B9">
        <w:rPr>
          <w:rFonts w:eastAsia="Times New Roman" w:cs="Times New Roman"/>
          <w:kern w:val="0"/>
          <w:szCs w:val="24"/>
          <w:lang w:eastAsia="en-AU"/>
          <w14:ligatures w14:val="none"/>
        </w:rPr>
        <w:fldChar w:fldCharType="begin"/>
      </w:r>
      <w:r w:rsidR="002B6EBD">
        <w:rPr>
          <w:rFonts w:eastAsia="Times New Roman" w:cs="Times New Roman"/>
          <w:kern w:val="0"/>
          <w:szCs w:val="24"/>
          <w:lang w:eastAsia="en-AU"/>
          <w14:ligatures w14:val="none"/>
        </w:rPr>
        <w:instrText xml:space="preserve"> ADDIN EN.CITE &lt;EndNote&gt;&lt;Cite ExcludeAuth="1"&gt;&lt;Author&gt;World Health Organization&lt;/Author&gt;&lt;Year&gt;2012&lt;/Year&gt;&lt;RecNum&gt;4621&lt;/RecNum&gt;&lt;Prefix&gt;WHO`, &lt;/Prefix&gt;&lt;DisplayText&gt;(WHO, 2012)&lt;/DisplayText&gt;&lt;record&gt;&lt;rec-number&gt;4621&lt;/rec-number&gt;&lt;foreign-keys&gt;&lt;key app="EN" db-id="wwsdv2wwp29fenerv0kx5tw9zxtx2fdrprx2" timestamp="1774922300"&gt;4621&lt;/key&gt;&lt;/foreign-keys&gt;&lt;ref-type name="Electronic Book"&gt;44&lt;/ref-type&gt;&lt;contributors&gt;&lt;authors&gt;&lt;author&gt;World Health Organization, WHO&lt;/author&gt;&lt;/authors&gt;&lt;/contributors&gt;&lt;titles&gt;&lt;title&gt;Guideline: Sodium Intake for Adults and Children&lt;/title&gt;&lt;/titles&gt;&lt;dates&gt;&lt;year&gt;2012&lt;/year&gt;&lt;/dates&gt;&lt;pub-location&gt;Geneva&lt;/pub-location&gt;&lt;publisher&gt;WHO&lt;/publisher&gt;&lt;urls&gt;&lt;related-urls&gt;&lt;url&gt;https://www.who.int/publications/i/item/9789241504836&lt;/url&gt;&lt;/related-urls&gt;&lt;/urls&gt;&lt;/record&gt;&lt;/Cite&gt;&lt;/EndNote&gt;</w:instrText>
      </w:r>
      <w:r w:rsidR="002812B9">
        <w:rPr>
          <w:rFonts w:eastAsia="Times New Roman" w:cs="Times New Roman"/>
          <w:kern w:val="0"/>
          <w:szCs w:val="24"/>
          <w:lang w:eastAsia="en-AU"/>
          <w14:ligatures w14:val="none"/>
        </w:rPr>
        <w:fldChar w:fldCharType="separate"/>
      </w:r>
      <w:r w:rsidR="002B6EBD">
        <w:rPr>
          <w:rFonts w:eastAsia="Times New Roman" w:cs="Times New Roman"/>
          <w:noProof/>
          <w:kern w:val="0"/>
          <w:szCs w:val="24"/>
          <w:lang w:eastAsia="en-AU"/>
          <w14:ligatures w14:val="none"/>
        </w:rPr>
        <w:t>(WHO, 2012)</w:t>
      </w:r>
      <w:r w:rsidR="002812B9">
        <w:rPr>
          <w:rFonts w:eastAsia="Times New Roman" w:cs="Times New Roman"/>
          <w:kern w:val="0"/>
          <w:szCs w:val="24"/>
          <w:lang w:eastAsia="en-AU"/>
          <w14:ligatures w14:val="none"/>
        </w:rPr>
        <w:fldChar w:fldCharType="end"/>
      </w:r>
      <w:r>
        <w:rPr>
          <w:rFonts w:eastAsia="Times New Roman" w:cs="Times New Roman"/>
          <w:kern w:val="0"/>
          <w:szCs w:val="24"/>
          <w:lang w:eastAsia="en-AU"/>
          <w14:ligatures w14:val="none"/>
        </w:rPr>
        <w:t>. Recommendations were based on a systematic review of the evidence</w:t>
      </w:r>
      <w:r w:rsidR="00AE49E4">
        <w:rPr>
          <w:rFonts w:eastAsia="Times New Roman" w:cs="Times New Roman"/>
          <w:kern w:val="0"/>
          <w:szCs w:val="24"/>
          <w:lang w:eastAsia="en-AU"/>
          <w14:ligatures w14:val="none"/>
        </w:rPr>
        <w:t xml:space="preserve"> for the relationship between sodium intake and blood pressure or cardiovascular disease risk in </w:t>
      </w:r>
      <w:r w:rsidR="00AE49E4">
        <w:rPr>
          <w:rFonts w:eastAsia="Times New Roman" w:cs="Times New Roman"/>
          <w:kern w:val="0"/>
          <w:szCs w:val="24"/>
          <w:lang w:eastAsia="en-AU"/>
          <w14:ligatures w14:val="none"/>
        </w:rPr>
        <w:lastRenderedPageBreak/>
        <w:t>adults, or blood pressure in children</w:t>
      </w:r>
      <w:r w:rsidR="00804A29">
        <w:rPr>
          <w:rFonts w:eastAsia="Times New Roman" w:cs="Times New Roman"/>
          <w:kern w:val="0"/>
          <w:szCs w:val="24"/>
          <w:lang w:eastAsia="en-AU"/>
          <w14:ligatures w14:val="none"/>
        </w:rPr>
        <w:t xml:space="preserve">. </w:t>
      </w:r>
      <w:r w:rsidR="00B02366">
        <w:rPr>
          <w:rFonts w:eastAsia="Times New Roman" w:cs="Times New Roman"/>
          <w:kern w:val="0"/>
          <w:szCs w:val="24"/>
          <w:lang w:eastAsia="en-AU"/>
          <w14:ligatures w14:val="none"/>
        </w:rPr>
        <w:t xml:space="preserve">It was recommended that adults (including during pregnancy or lactation) and children aged 16 years and over </w:t>
      </w:r>
      <w:r w:rsidR="00455108">
        <w:rPr>
          <w:rFonts w:eastAsia="Times New Roman" w:cs="Times New Roman"/>
          <w:kern w:val="0"/>
          <w:szCs w:val="24"/>
          <w:lang w:eastAsia="en-AU"/>
          <w14:ligatures w14:val="none"/>
        </w:rPr>
        <w:t xml:space="preserve">reduce their sodium intake to </w:t>
      </w:r>
      <w:r w:rsidR="00B02366">
        <w:rPr>
          <w:rFonts w:eastAsia="Times New Roman" w:cs="Times New Roman"/>
          <w:kern w:val="0"/>
          <w:szCs w:val="24"/>
          <w:lang w:eastAsia="en-AU"/>
          <w14:ligatures w14:val="none"/>
        </w:rPr>
        <w:t>2,000 mg/day</w:t>
      </w:r>
      <w:r w:rsidR="00455108">
        <w:rPr>
          <w:rFonts w:eastAsia="Times New Roman" w:cs="Times New Roman"/>
          <w:kern w:val="0"/>
          <w:szCs w:val="24"/>
          <w:lang w:eastAsia="en-AU"/>
          <w14:ligatures w14:val="none"/>
        </w:rPr>
        <w:t xml:space="preserve"> (strong recommendation)</w:t>
      </w:r>
      <w:r w:rsidR="00B02366">
        <w:rPr>
          <w:rFonts w:eastAsia="Times New Roman" w:cs="Times New Roman"/>
          <w:kern w:val="0"/>
          <w:szCs w:val="24"/>
          <w:lang w:eastAsia="en-AU"/>
          <w14:ligatures w14:val="none"/>
        </w:rPr>
        <w:t>.</w:t>
      </w:r>
      <w:r w:rsidR="00455108">
        <w:rPr>
          <w:rFonts w:eastAsia="Times New Roman" w:cs="Times New Roman"/>
          <w:kern w:val="0"/>
          <w:szCs w:val="24"/>
          <w:lang w:eastAsia="en-AU"/>
          <w14:ligatures w14:val="none"/>
        </w:rPr>
        <w:t xml:space="preserve"> For children aged 2 to 15 years, </w:t>
      </w:r>
      <w:r w:rsidR="00FD11DE">
        <w:rPr>
          <w:rFonts w:eastAsia="Times New Roman" w:cs="Times New Roman"/>
          <w:kern w:val="0"/>
          <w:szCs w:val="24"/>
          <w:lang w:eastAsia="en-AU"/>
          <w14:ligatures w14:val="none"/>
        </w:rPr>
        <w:t xml:space="preserve">it </w:t>
      </w:r>
      <w:r w:rsidR="00455108">
        <w:rPr>
          <w:rFonts w:eastAsia="Times New Roman" w:cs="Times New Roman"/>
          <w:kern w:val="0"/>
          <w:szCs w:val="24"/>
          <w:lang w:eastAsia="en-AU"/>
          <w14:ligatures w14:val="none"/>
        </w:rPr>
        <w:t xml:space="preserve">recommended </w:t>
      </w:r>
      <w:r w:rsidR="00EA2F25">
        <w:rPr>
          <w:rFonts w:eastAsia="Times New Roman" w:cs="Times New Roman"/>
          <w:kern w:val="0"/>
          <w:szCs w:val="24"/>
          <w:lang w:eastAsia="en-AU"/>
          <w14:ligatures w14:val="none"/>
        </w:rPr>
        <w:t xml:space="preserve">that </w:t>
      </w:r>
      <w:r w:rsidR="00455108">
        <w:rPr>
          <w:rFonts w:eastAsia="Times New Roman" w:cs="Times New Roman"/>
          <w:kern w:val="0"/>
          <w:szCs w:val="24"/>
          <w:lang w:eastAsia="en-AU"/>
          <w14:ligatures w14:val="none"/>
        </w:rPr>
        <w:t xml:space="preserve">intakes should be </w:t>
      </w:r>
      <w:r w:rsidR="00FD11DE">
        <w:rPr>
          <w:rFonts w:eastAsia="Times New Roman" w:cs="Times New Roman"/>
          <w:kern w:val="0"/>
          <w:szCs w:val="24"/>
          <w:lang w:eastAsia="en-AU"/>
          <w14:ligatures w14:val="none"/>
        </w:rPr>
        <w:t xml:space="preserve">extrapolated from the 2,000 mg/day threshold in adults </w:t>
      </w:r>
      <w:proofErr w:type="gramStart"/>
      <w:r w:rsidR="00FD11DE">
        <w:rPr>
          <w:rFonts w:eastAsia="Times New Roman" w:cs="Times New Roman"/>
          <w:kern w:val="0"/>
          <w:szCs w:val="24"/>
          <w:lang w:eastAsia="en-AU"/>
          <w14:ligatures w14:val="none"/>
        </w:rPr>
        <w:t>on the basis of</w:t>
      </w:r>
      <w:proofErr w:type="gramEnd"/>
      <w:r w:rsidR="00FD11DE">
        <w:rPr>
          <w:rFonts w:eastAsia="Times New Roman" w:cs="Times New Roman"/>
          <w:kern w:val="0"/>
          <w:szCs w:val="24"/>
          <w:lang w:eastAsia="en-AU"/>
          <w14:ligatures w14:val="none"/>
        </w:rPr>
        <w:t xml:space="preserve"> relative energy requirements</w:t>
      </w:r>
      <w:r w:rsidR="00EA2F25">
        <w:rPr>
          <w:rFonts w:eastAsia="Times New Roman" w:cs="Times New Roman"/>
          <w:kern w:val="0"/>
          <w:szCs w:val="24"/>
          <w:lang w:eastAsia="en-AU"/>
          <w14:ligatures w14:val="none"/>
        </w:rPr>
        <w:t xml:space="preserve"> (strong recommendation)</w:t>
      </w:r>
      <w:r w:rsidR="00FD11DE">
        <w:rPr>
          <w:rFonts w:eastAsia="Times New Roman" w:cs="Times New Roman"/>
          <w:kern w:val="0"/>
          <w:szCs w:val="24"/>
          <w:lang w:eastAsia="en-AU"/>
          <w14:ligatures w14:val="none"/>
        </w:rPr>
        <w:t xml:space="preserve">. </w:t>
      </w:r>
      <w:r w:rsidR="00B02366">
        <w:rPr>
          <w:rFonts w:eastAsia="Times New Roman" w:cs="Times New Roman"/>
          <w:kern w:val="0"/>
          <w:szCs w:val="24"/>
          <w:lang w:eastAsia="en-AU"/>
          <w14:ligatures w14:val="none"/>
        </w:rPr>
        <w:t xml:space="preserve"> </w:t>
      </w:r>
      <w:r w:rsidR="001F1D1A">
        <w:rPr>
          <w:rFonts w:eastAsia="Times New Roman" w:cs="Times New Roman"/>
          <w:kern w:val="0"/>
          <w:szCs w:val="24"/>
          <w:lang w:eastAsia="en-AU"/>
          <w14:ligatures w14:val="none"/>
        </w:rPr>
        <w:br w:type="page"/>
      </w:r>
    </w:p>
    <w:p w14:paraId="71900AD8" w14:textId="28D41F15" w:rsidR="0007136A" w:rsidRDefault="0007136A" w:rsidP="0007136A">
      <w:pPr>
        <w:pStyle w:val="Caption"/>
        <w:keepNext/>
      </w:pPr>
      <w:bookmarkStart w:id="25" w:name="_Ref225859587"/>
      <w:r>
        <w:lastRenderedPageBreak/>
        <w:t xml:space="preserve">Table </w:t>
      </w:r>
      <w:r>
        <w:fldChar w:fldCharType="begin"/>
      </w:r>
      <w:r>
        <w:instrText>SEQ Table \* ARABIC</w:instrText>
      </w:r>
      <w:r>
        <w:fldChar w:fldCharType="separate"/>
      </w:r>
      <w:r w:rsidR="00B90577">
        <w:rPr>
          <w:noProof/>
        </w:rPr>
        <w:t>2</w:t>
      </w:r>
      <w:r>
        <w:fldChar w:fldCharType="end"/>
      </w:r>
      <w:bookmarkEnd w:id="25"/>
      <w:r>
        <w:t xml:space="preserve"> -</w:t>
      </w:r>
      <w:r w:rsidRPr="0007136A">
        <w:t xml:space="preserve"> </w:t>
      </w:r>
      <w:r>
        <w:t xml:space="preserve">Comparison of </w:t>
      </w:r>
      <w:r w:rsidR="006213AB">
        <w:t>Chronic Disease Risk Reduction (CDRR</w:t>
      </w:r>
      <w:r>
        <w:t>) recommendations for Australia and New Zealand with values set by comparable international jurisdictions</w:t>
      </w:r>
    </w:p>
    <w:tbl>
      <w:tblPr>
        <w:tblStyle w:val="TableGrid"/>
        <w:tblW w:w="10768" w:type="dxa"/>
        <w:jc w:val="center"/>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Look w:val="04A0" w:firstRow="1" w:lastRow="0" w:firstColumn="1" w:lastColumn="0" w:noHBand="0" w:noVBand="1"/>
      </w:tblPr>
      <w:tblGrid>
        <w:gridCol w:w="1129"/>
        <w:gridCol w:w="1701"/>
        <w:gridCol w:w="1560"/>
        <w:gridCol w:w="1417"/>
        <w:gridCol w:w="1843"/>
        <w:gridCol w:w="1559"/>
        <w:gridCol w:w="1559"/>
      </w:tblGrid>
      <w:tr w:rsidR="007752A8" w:rsidRPr="00EA2B2D" w14:paraId="044D8F31" w14:textId="71FCC04B" w:rsidTr="007752A8">
        <w:trPr>
          <w:trHeight w:val="1223"/>
          <w:jc w:val="center"/>
        </w:trPr>
        <w:tc>
          <w:tcPr>
            <w:tcW w:w="1129" w:type="dxa"/>
            <w:vMerge w:val="restart"/>
            <w:shd w:val="clear" w:color="auto" w:fill="156082" w:themeFill="accent1"/>
            <w:vAlign w:val="bottom"/>
          </w:tcPr>
          <w:p w14:paraId="1DE0C80D" w14:textId="2C0F5F9C" w:rsidR="007752A8" w:rsidRPr="00EA2B2D" w:rsidRDefault="007752A8" w:rsidP="00DC0F39">
            <w:pPr>
              <w:rPr>
                <w:color w:val="FFFFFF" w:themeColor="background1"/>
                <w:sz w:val="20"/>
                <w:szCs w:val="20"/>
              </w:rPr>
            </w:pPr>
            <w:r w:rsidRPr="00EA2B2D">
              <w:rPr>
                <w:b/>
                <w:bCs/>
                <w:color w:val="FFFFFF" w:themeColor="background1"/>
                <w:sz w:val="20"/>
                <w:szCs w:val="20"/>
              </w:rPr>
              <w:t>Age group</w:t>
            </w:r>
          </w:p>
        </w:tc>
        <w:tc>
          <w:tcPr>
            <w:tcW w:w="1701" w:type="dxa"/>
            <w:shd w:val="clear" w:color="auto" w:fill="156082" w:themeFill="accent1"/>
            <w:vAlign w:val="center"/>
          </w:tcPr>
          <w:p w14:paraId="1173E2E8" w14:textId="77777777" w:rsidR="007752A8" w:rsidRPr="00EA2B2D" w:rsidRDefault="007752A8">
            <w:pPr>
              <w:jc w:val="center"/>
              <w:rPr>
                <w:b/>
                <w:bCs/>
                <w:color w:val="FFFFFF" w:themeColor="background1"/>
                <w:sz w:val="20"/>
                <w:szCs w:val="20"/>
              </w:rPr>
            </w:pPr>
            <w:r w:rsidRPr="00EA2B2D">
              <w:rPr>
                <w:b/>
                <w:bCs/>
                <w:color w:val="FFFFFF" w:themeColor="background1"/>
                <w:sz w:val="20"/>
                <w:szCs w:val="20"/>
              </w:rPr>
              <w:t>Australia &amp; New Zealand</w:t>
            </w:r>
          </w:p>
          <w:p w14:paraId="0BF36429" w14:textId="6930A1ED" w:rsidR="007752A8" w:rsidRPr="00EA2B2D" w:rsidRDefault="007752A8">
            <w:pPr>
              <w:jc w:val="center"/>
              <w:rPr>
                <w:b/>
                <w:bCs/>
                <w:color w:val="FFFFFF" w:themeColor="background1"/>
                <w:sz w:val="20"/>
                <w:szCs w:val="20"/>
              </w:rPr>
            </w:pPr>
            <w:r w:rsidRPr="00EA2B2D">
              <w:rPr>
                <w:b/>
                <w:bCs/>
                <w:color w:val="FFFFFF" w:themeColor="background1"/>
                <w:sz w:val="20"/>
                <w:szCs w:val="20"/>
              </w:rPr>
              <w:fldChar w:fldCharType="begin"/>
            </w:r>
            <w:r w:rsidRPr="00EA2B2D">
              <w:rPr>
                <w:b/>
                <w:bCs/>
                <w:color w:val="FFFFFF" w:themeColor="background1"/>
                <w:sz w:val="20"/>
                <w:szCs w:val="20"/>
              </w:rPr>
              <w:instrText xml:space="preserve"> ADDIN EN.CITE &lt;EndNote&gt;&lt;Cite ExcludeAuth="1"&gt;&lt;Author&gt;National Health and Medical Research Council&lt;/Author&gt;&lt;Year&gt;2006&lt;/Year&gt;&lt;RecNum&gt;4629&lt;/RecNum&gt;&lt;Prefix&gt;NHMRC`, &lt;/Prefix&gt;&lt;DisplayText&gt;(NHMRC, 2006b)&lt;/DisplayText&gt;&lt;record&gt;&lt;rec-number&gt;4629&lt;/rec-number&gt;&lt;foreign-keys&gt;&lt;key app="EN" db-id="wwsdv2wwp29fenerv0kx5tw9zxtx2fdrprx2" timestamp="1774923627"&gt;4629&lt;/key&gt;&lt;/foreign-keys&gt;&lt;ref-type name="Government Document"&gt;46&lt;/ref-type&gt;&lt;contributors&gt;&lt;authors&gt;&lt;author&gt;National Health and Medical Research Council, NHMRC&lt;/author&gt;&lt;/authors&gt;&lt;secondary-authors&gt;&lt;author&gt;Australian Government Department of Health and Ageing&lt;/author&gt;&lt;/secondary-authors&gt;&lt;/contributors&gt;&lt;titles&gt;&lt;title&gt;Nutrient Reference Values for Australia and New Zealand&lt;/title&gt;&lt;/titles&gt;&lt;dates&gt;&lt;year&gt;2006&lt;/year&gt;&lt;/dates&gt;&lt;pub-location&gt;Canberra&lt;/pub-location&gt;&lt;publisher&gt;NHMRC&lt;/publisher&gt;&lt;urls&gt;&lt;related-urls&gt;&lt;url&gt;https://www.nhmrc.gov.au/about-us/publications/nutrient-reference-values-australia-and-new-zealand-including-recommended-dietary-intakes&lt;/url&gt;&lt;/related-urls&gt;&lt;/urls&gt;&lt;/record&gt;&lt;/Cite&gt;&lt;/EndNote&gt;</w:instrText>
            </w:r>
            <w:r w:rsidRPr="00EA2B2D">
              <w:rPr>
                <w:b/>
                <w:bCs/>
                <w:color w:val="FFFFFF" w:themeColor="background1"/>
                <w:sz w:val="20"/>
                <w:szCs w:val="20"/>
              </w:rPr>
              <w:fldChar w:fldCharType="separate"/>
            </w:r>
            <w:r w:rsidRPr="00EA2B2D">
              <w:rPr>
                <w:b/>
                <w:bCs/>
                <w:noProof/>
                <w:color w:val="FFFFFF" w:themeColor="background1"/>
                <w:sz w:val="20"/>
                <w:szCs w:val="20"/>
              </w:rPr>
              <w:t>(NHMRC, 2006b)</w:t>
            </w:r>
            <w:r w:rsidRPr="00EA2B2D">
              <w:rPr>
                <w:b/>
                <w:bCs/>
                <w:color w:val="FFFFFF" w:themeColor="background1"/>
                <w:sz w:val="20"/>
                <w:szCs w:val="20"/>
              </w:rPr>
              <w:fldChar w:fldCharType="end"/>
            </w:r>
            <w:r w:rsidRPr="00EA2B2D">
              <w:rPr>
                <w:b/>
                <w:bCs/>
                <w:color w:val="FFFFFF" w:themeColor="background1"/>
                <w:sz w:val="20"/>
                <w:szCs w:val="20"/>
              </w:rPr>
              <w:t>^</w:t>
            </w:r>
          </w:p>
        </w:tc>
        <w:tc>
          <w:tcPr>
            <w:tcW w:w="1560" w:type="dxa"/>
            <w:shd w:val="clear" w:color="auto" w:fill="156082" w:themeFill="accent1"/>
            <w:vAlign w:val="center"/>
          </w:tcPr>
          <w:p w14:paraId="00BE828F" w14:textId="353B4775" w:rsidR="007752A8" w:rsidRPr="00EA2B2D" w:rsidRDefault="007752A8">
            <w:pPr>
              <w:jc w:val="center"/>
              <w:rPr>
                <w:b/>
                <w:bCs/>
                <w:color w:val="FFFFFF" w:themeColor="background1"/>
                <w:sz w:val="20"/>
                <w:szCs w:val="20"/>
              </w:rPr>
            </w:pPr>
            <w:r w:rsidRPr="00EA2B2D">
              <w:rPr>
                <w:b/>
                <w:bCs/>
                <w:color w:val="FFFFFF" w:themeColor="background1"/>
                <w:sz w:val="20"/>
                <w:szCs w:val="20"/>
              </w:rPr>
              <w:t xml:space="preserve">United States </w:t>
            </w:r>
            <w:r w:rsidRPr="00EA2B2D">
              <w:rPr>
                <w:b/>
                <w:bCs/>
                <w:color w:val="FFFFFF" w:themeColor="background1"/>
                <w:sz w:val="20"/>
                <w:szCs w:val="20"/>
              </w:rPr>
              <w:fldChar w:fldCharType="begin"/>
            </w:r>
            <w:r w:rsidRPr="00EA2B2D">
              <w:rPr>
                <w:b/>
                <w:bCs/>
                <w:color w:val="FFFFFF" w:themeColor="background1"/>
                <w:sz w:val="20"/>
                <w:szCs w:val="20"/>
              </w:rPr>
              <w:instrText xml:space="preserve"> ADDIN EN.CITE &lt;EndNote&gt;&lt;Cite ExcludeAuth="1"&gt;&lt;Author&gt;National Academies of Sciences&lt;/Author&gt;&lt;Year&gt;2019&lt;/Year&gt;&lt;RecNum&gt;4618&lt;/RecNum&gt;&lt;Prefix&gt;NASEM`, &lt;/Prefix&gt;&lt;DisplayText&gt;(NASEM, 2019)&lt;/DisplayText&gt;&lt;record&gt;&lt;rec-number&gt;4618&lt;/rec-number&gt;&lt;foreign-keys&gt;&lt;key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sidRPr="00EA2B2D">
              <w:rPr>
                <w:b/>
                <w:bCs/>
                <w:color w:val="FFFFFF" w:themeColor="background1"/>
                <w:sz w:val="20"/>
                <w:szCs w:val="20"/>
              </w:rPr>
              <w:fldChar w:fldCharType="separate"/>
            </w:r>
            <w:r w:rsidRPr="00EA2B2D">
              <w:rPr>
                <w:b/>
                <w:bCs/>
                <w:noProof/>
                <w:color w:val="FFFFFF" w:themeColor="background1"/>
                <w:sz w:val="20"/>
                <w:szCs w:val="20"/>
              </w:rPr>
              <w:t>(NASEM, 2019)</w:t>
            </w:r>
            <w:r w:rsidRPr="00EA2B2D">
              <w:rPr>
                <w:b/>
                <w:bCs/>
                <w:color w:val="FFFFFF" w:themeColor="background1"/>
                <w:sz w:val="20"/>
                <w:szCs w:val="20"/>
              </w:rPr>
              <w:fldChar w:fldCharType="end"/>
            </w:r>
          </w:p>
        </w:tc>
        <w:tc>
          <w:tcPr>
            <w:tcW w:w="1417" w:type="dxa"/>
            <w:shd w:val="clear" w:color="auto" w:fill="156082" w:themeFill="accent1"/>
            <w:vAlign w:val="center"/>
          </w:tcPr>
          <w:p w14:paraId="7B124FCC" w14:textId="77777777" w:rsidR="007752A8" w:rsidRPr="00EA2B2D" w:rsidRDefault="007752A8">
            <w:pPr>
              <w:jc w:val="center"/>
              <w:rPr>
                <w:b/>
                <w:bCs/>
                <w:color w:val="FFFFFF" w:themeColor="background1"/>
                <w:sz w:val="20"/>
                <w:szCs w:val="20"/>
              </w:rPr>
            </w:pPr>
            <w:r w:rsidRPr="00EA2B2D">
              <w:rPr>
                <w:b/>
                <w:bCs/>
                <w:color w:val="FFFFFF" w:themeColor="background1"/>
                <w:sz w:val="20"/>
                <w:szCs w:val="20"/>
              </w:rPr>
              <w:t xml:space="preserve">European Union </w:t>
            </w:r>
          </w:p>
          <w:p w14:paraId="27A36398" w14:textId="42B855B9" w:rsidR="007752A8" w:rsidRPr="00EA2B2D" w:rsidRDefault="007752A8">
            <w:pPr>
              <w:jc w:val="center"/>
              <w:rPr>
                <w:b/>
                <w:bCs/>
                <w:color w:val="FFFFFF" w:themeColor="background1"/>
                <w:sz w:val="20"/>
                <w:szCs w:val="20"/>
              </w:rPr>
            </w:pPr>
            <w:r w:rsidRPr="00EA2B2D">
              <w:rPr>
                <w:b/>
                <w:bCs/>
                <w:color w:val="FFFFFF" w:themeColor="background1"/>
                <w:sz w:val="20"/>
                <w:szCs w:val="20"/>
              </w:rPr>
              <w:fldChar w:fldCharType="begin"/>
            </w:r>
            <w:r>
              <w:rPr>
                <w:b/>
                <w:bCs/>
                <w:color w:val="FFFFFF" w:themeColor="background1"/>
                <w:sz w:val="20"/>
                <w:szCs w:val="20"/>
              </w:rPr>
              <w:instrText xml:space="preserve"> ADDIN EN.CITE &lt;EndNote&gt;&lt;Cite ExcludeAuth="1"&gt;&lt;Author&gt;European Food Safety Authority&lt;/Author&gt;&lt;Year&gt;2019&lt;/Year&gt;&lt;RecNum&gt;1&lt;/RecNum&gt;&lt;Prefix&gt;EFSA`, &lt;/Prefix&gt;&lt;DisplayText&gt;(EFSA, 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rsidRPr="00EA2B2D">
              <w:rPr>
                <w:b/>
                <w:bCs/>
                <w:color w:val="FFFFFF" w:themeColor="background1"/>
                <w:sz w:val="20"/>
                <w:szCs w:val="20"/>
              </w:rPr>
              <w:fldChar w:fldCharType="separate"/>
            </w:r>
            <w:r w:rsidRPr="00EA2B2D">
              <w:rPr>
                <w:b/>
                <w:bCs/>
                <w:noProof/>
                <w:color w:val="FFFFFF" w:themeColor="background1"/>
                <w:sz w:val="20"/>
                <w:szCs w:val="20"/>
              </w:rPr>
              <w:t>(EFSA, 2019)</w:t>
            </w:r>
            <w:r w:rsidRPr="00EA2B2D">
              <w:rPr>
                <w:b/>
                <w:bCs/>
                <w:color w:val="FFFFFF" w:themeColor="background1"/>
                <w:sz w:val="20"/>
                <w:szCs w:val="20"/>
              </w:rPr>
              <w:fldChar w:fldCharType="end"/>
            </w:r>
          </w:p>
        </w:tc>
        <w:tc>
          <w:tcPr>
            <w:tcW w:w="1843" w:type="dxa"/>
            <w:shd w:val="clear" w:color="auto" w:fill="156082" w:themeFill="accent1"/>
            <w:vAlign w:val="center"/>
          </w:tcPr>
          <w:p w14:paraId="4230882D" w14:textId="77777777" w:rsidR="007752A8" w:rsidRPr="00EA2B2D" w:rsidRDefault="007752A8">
            <w:pPr>
              <w:jc w:val="center"/>
              <w:rPr>
                <w:b/>
                <w:bCs/>
                <w:color w:val="FFFFFF" w:themeColor="background1"/>
                <w:sz w:val="20"/>
                <w:szCs w:val="20"/>
              </w:rPr>
            </w:pPr>
            <w:r w:rsidRPr="00EA2B2D">
              <w:rPr>
                <w:b/>
                <w:bCs/>
                <w:color w:val="FFFFFF" w:themeColor="background1"/>
                <w:sz w:val="20"/>
                <w:szCs w:val="20"/>
              </w:rPr>
              <w:t>Nordic and Baltic Populations</w:t>
            </w:r>
          </w:p>
          <w:p w14:paraId="5AE4F00A" w14:textId="49C82A99" w:rsidR="007752A8" w:rsidRPr="00EA2B2D" w:rsidRDefault="007752A8">
            <w:pPr>
              <w:jc w:val="center"/>
              <w:rPr>
                <w:b/>
                <w:bCs/>
                <w:color w:val="FFFFFF" w:themeColor="background1"/>
                <w:sz w:val="20"/>
                <w:szCs w:val="20"/>
              </w:rPr>
            </w:pPr>
            <w:r w:rsidRPr="00EA2B2D">
              <w:rPr>
                <w:b/>
                <w:bCs/>
                <w:color w:val="FFFFFF" w:themeColor="background1"/>
                <w:sz w:val="20"/>
                <w:szCs w:val="20"/>
              </w:rPr>
              <w:fldChar w:fldCharType="begin"/>
            </w:r>
            <w:r w:rsidRPr="00EA2B2D">
              <w:rPr>
                <w:b/>
                <w:bCs/>
                <w:color w:val="FFFFFF" w:themeColor="background1"/>
                <w:sz w:val="20"/>
                <w:szCs w:val="20"/>
              </w:rPr>
              <w:instrText xml:space="preserve"> ADDIN EN.CITE &lt;EndNote&gt;&lt;Cite&gt;&lt;Author&gt;Blomhoff&lt;/Author&gt;&lt;Year&gt;2023&lt;/Year&gt;&lt;RecNum&gt;4617&lt;/RecNum&gt;&lt;DisplayText&gt;(Blomhoff et al., 2023)&lt;/DisplayText&gt;&lt;record&gt;&lt;rec-number&gt;4617&lt;/rec-number&gt;&lt;foreign-keys&gt;&lt;key app="EN" db-id="wwsdv2wwp29fenerv0kx5tw9zxtx2fdrprx2" timestamp="1774921009"&gt;4617&lt;/key&gt;&lt;/foreign-keys&gt;&lt;ref-type name="Book"&gt;6&lt;/ref-type&gt;&lt;contributors&gt;&lt;authors&gt;&lt;author&gt;Blomhoff, Rune&lt;/author&gt;&lt;author&gt;Andersen, Rikke&lt;/author&gt;&lt;author&gt;Arnesen, Erik&lt;/author&gt;&lt;author&gt;Christensen, Jacob&lt;/author&gt;&lt;author&gt;Eneroth, Hanna&lt;/author&gt;&lt;author&gt;Erkkola, Maijaliisa&lt;/author&gt;&lt;author&gt;Gudanaviciene, Ieva&lt;/author&gt;&lt;author&gt;Høyer-Lund, Anne&lt;/author&gt;&lt;author&gt;Lemming, Eva&lt;/author&gt;&lt;author&gt;Meltzer, Helle&lt;/author&gt;&lt;author&gt;Pitsi, Tagli&lt;/author&gt;&lt;author&gt;Siksna, Inese&lt;/author&gt;&lt;author&gt;Thorsdottir, Inga&lt;/author&gt;&lt;author&gt;Trolle, Ellen&lt;/author&gt;&lt;/authors&gt;&lt;/contributors&gt;&lt;titles&gt;&lt;title&gt;Nordic Nutrition Recommendations 2023&lt;/title&gt;&lt;/titles&gt;&lt;dates&gt;&lt;year&gt;2023&lt;/year&gt;&lt;/dates&gt;&lt;isbn&gt;9789289375344&lt;/isbn&gt;&lt;urls&gt;&lt;/urls&gt;&lt;electronic-resource-num&gt;10.6027/nord2023-003&lt;/electronic-resource-num&gt;&lt;/record&gt;&lt;/Cite&gt;&lt;/EndNote&gt;</w:instrText>
            </w:r>
            <w:r w:rsidRPr="00EA2B2D">
              <w:rPr>
                <w:b/>
                <w:bCs/>
                <w:color w:val="FFFFFF" w:themeColor="background1"/>
                <w:sz w:val="20"/>
                <w:szCs w:val="20"/>
              </w:rPr>
              <w:fldChar w:fldCharType="separate"/>
            </w:r>
            <w:r w:rsidRPr="00EA2B2D">
              <w:rPr>
                <w:b/>
                <w:bCs/>
                <w:noProof/>
                <w:color w:val="FFFFFF" w:themeColor="background1"/>
                <w:sz w:val="20"/>
                <w:szCs w:val="20"/>
              </w:rPr>
              <w:t>(Blomhoff et al., 2023)</w:t>
            </w:r>
            <w:r w:rsidRPr="00EA2B2D">
              <w:rPr>
                <w:b/>
                <w:bCs/>
                <w:color w:val="FFFFFF" w:themeColor="background1"/>
                <w:sz w:val="20"/>
                <w:szCs w:val="20"/>
              </w:rPr>
              <w:fldChar w:fldCharType="end"/>
            </w:r>
          </w:p>
        </w:tc>
        <w:tc>
          <w:tcPr>
            <w:tcW w:w="1559" w:type="dxa"/>
            <w:shd w:val="clear" w:color="auto" w:fill="156082" w:themeFill="accent1"/>
          </w:tcPr>
          <w:p w14:paraId="78DA54F5" w14:textId="77777777" w:rsidR="007752A8" w:rsidRPr="00EA2B2D" w:rsidRDefault="007752A8">
            <w:pPr>
              <w:jc w:val="center"/>
              <w:rPr>
                <w:b/>
                <w:bCs/>
                <w:color w:val="FFFFFF" w:themeColor="background1"/>
                <w:sz w:val="20"/>
                <w:szCs w:val="20"/>
              </w:rPr>
            </w:pPr>
            <w:r w:rsidRPr="00EA2B2D">
              <w:rPr>
                <w:b/>
                <w:bCs/>
                <w:color w:val="FFFFFF" w:themeColor="background1"/>
                <w:sz w:val="20"/>
                <w:szCs w:val="20"/>
              </w:rPr>
              <w:t>Germany, Austria &amp; Switzerland</w:t>
            </w:r>
          </w:p>
          <w:p w14:paraId="1BD98EF2" w14:textId="7EA2DB12" w:rsidR="007752A8" w:rsidRPr="00EA2B2D" w:rsidRDefault="007752A8">
            <w:pPr>
              <w:jc w:val="center"/>
              <w:rPr>
                <w:b/>
                <w:bCs/>
                <w:color w:val="FFFFFF" w:themeColor="background1"/>
                <w:sz w:val="20"/>
                <w:szCs w:val="20"/>
              </w:rPr>
            </w:pPr>
            <w:r w:rsidRPr="00EA2B2D">
              <w:rPr>
                <w:b/>
                <w:bCs/>
                <w:color w:val="FFFFFF" w:themeColor="background1"/>
                <w:sz w:val="20"/>
                <w:szCs w:val="20"/>
              </w:rPr>
              <w:fldChar w:fldCharType="begin">
                <w:fldData xml:space="preserve">PEVuZE5vdGU+PENpdGU+PEF1dGhvcj5TdHJvaG08L0F1dGhvcj48WWVhcj4yMDE4PC9ZZWFyPjxS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</w:fldData>
              </w:fldChar>
            </w:r>
            <w:r w:rsidRPr="00EA2B2D">
              <w:rPr>
                <w:b/>
                <w:bCs/>
                <w:color w:val="FFFFFF" w:themeColor="background1"/>
                <w:sz w:val="20"/>
                <w:szCs w:val="20"/>
              </w:rPr>
              <w:instrText xml:space="preserve"> ADDIN EN.CITE </w:instrText>
            </w:r>
            <w:r w:rsidRPr="00EA2B2D">
              <w:rPr>
                <w:b/>
                <w:bCs/>
                <w:color w:val="FFFFFF" w:themeColor="background1"/>
                <w:sz w:val="20"/>
                <w:szCs w:val="20"/>
              </w:rPr>
              <w:fldChar w:fldCharType="begin">
                <w:fldData xml:space="preserve">PEVuZE5vdGU+PENpdGU+PEF1dGhvcj5TdHJvaG08L0F1dGhvcj48WWVhcj4yMDE4PC9ZZWFyPjxS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</w:fldData>
              </w:fldChar>
            </w:r>
            <w:r w:rsidRPr="00EA2B2D">
              <w:rPr>
                <w:b/>
                <w:bCs/>
                <w:color w:val="FFFFFF" w:themeColor="background1"/>
                <w:sz w:val="20"/>
                <w:szCs w:val="20"/>
              </w:rPr>
              <w:instrText xml:space="preserve"> ADDIN EN.CITE.DATA </w:instrText>
            </w:r>
            <w:r w:rsidRPr="00EA2B2D">
              <w:rPr>
                <w:b/>
                <w:bCs/>
                <w:color w:val="FFFFFF" w:themeColor="background1"/>
                <w:sz w:val="20"/>
                <w:szCs w:val="20"/>
              </w:rPr>
            </w:r>
            <w:r w:rsidRPr="00EA2B2D">
              <w:rPr>
                <w:b/>
                <w:bCs/>
                <w:color w:val="FFFFFF" w:themeColor="background1"/>
                <w:sz w:val="20"/>
                <w:szCs w:val="20"/>
              </w:rPr>
              <w:fldChar w:fldCharType="end"/>
            </w:r>
            <w:r w:rsidRPr="00EA2B2D">
              <w:rPr>
                <w:b/>
                <w:bCs/>
                <w:color w:val="FFFFFF" w:themeColor="background1"/>
                <w:sz w:val="20"/>
                <w:szCs w:val="20"/>
              </w:rPr>
            </w:r>
            <w:r w:rsidRPr="00EA2B2D">
              <w:rPr>
                <w:b/>
                <w:bCs/>
                <w:color w:val="FFFFFF" w:themeColor="background1"/>
                <w:sz w:val="20"/>
                <w:szCs w:val="20"/>
              </w:rPr>
              <w:fldChar w:fldCharType="separate"/>
            </w:r>
            <w:r w:rsidRPr="00EA2B2D">
              <w:rPr>
                <w:b/>
                <w:bCs/>
                <w:noProof/>
                <w:color w:val="FFFFFF" w:themeColor="background1"/>
                <w:sz w:val="20"/>
                <w:szCs w:val="20"/>
              </w:rPr>
              <w:t>(Strohm et al., 2018)</w:t>
            </w:r>
            <w:r w:rsidRPr="00EA2B2D">
              <w:rPr>
                <w:b/>
                <w:bCs/>
                <w:color w:val="FFFFFF" w:themeColor="background1"/>
                <w:sz w:val="20"/>
                <w:szCs w:val="20"/>
              </w:rPr>
              <w:fldChar w:fldCharType="end"/>
            </w:r>
          </w:p>
        </w:tc>
        <w:tc>
          <w:tcPr>
            <w:tcW w:w="1559" w:type="dxa"/>
            <w:shd w:val="clear" w:color="auto" w:fill="156082" w:themeFill="accent1"/>
          </w:tcPr>
          <w:p w14:paraId="0869EB52" w14:textId="51427D98" w:rsidR="007752A8" w:rsidRPr="00EA2B2D" w:rsidRDefault="007752A8">
            <w:pPr>
              <w:jc w:val="center"/>
              <w:rPr>
                <w:b/>
                <w:bCs/>
                <w:color w:val="FFFFFF" w:themeColor="background1"/>
                <w:sz w:val="20"/>
                <w:szCs w:val="20"/>
              </w:rPr>
            </w:pPr>
            <w:r>
              <w:rPr>
                <w:b/>
                <w:bCs/>
                <w:color w:val="FFFFFF" w:themeColor="background1"/>
                <w:sz w:val="20"/>
                <w:szCs w:val="20"/>
              </w:rPr>
              <w:t xml:space="preserve">World Health Organisation </w:t>
            </w:r>
            <w:r w:rsidR="00224CFB">
              <w:rPr>
                <w:b/>
                <w:bCs/>
                <w:color w:val="FFFFFF" w:themeColor="background1"/>
                <w:sz w:val="20"/>
                <w:szCs w:val="20"/>
              </w:rPr>
              <w:fldChar w:fldCharType="begin"/>
            </w:r>
            <w:r w:rsidR="00224CFB">
              <w:rPr>
                <w:b/>
                <w:bCs/>
                <w:color w:val="FFFFFF" w:themeColor="background1"/>
                <w:sz w:val="20"/>
                <w:szCs w:val="20"/>
              </w:rPr>
              <w:instrText xml:space="preserve"> ADDIN EN.CITE &lt;EndNote&gt;&lt;Cite ExcludeAuth="1"&gt;&lt;Author&gt;World Health Organization&lt;/Author&gt;&lt;Year&gt;2012&lt;/Year&gt;&lt;RecNum&gt;4621&lt;/RecNum&gt;&lt;Prefix&gt;WHO`, &lt;/Prefix&gt;&lt;DisplayText&gt;(WHO, 2012)&lt;/DisplayText&gt;&lt;record&gt;&lt;rec-number&gt;4621&lt;/rec-number&gt;&lt;foreign-keys&gt;&lt;key app="EN" db-id="wwsdv2wwp29fenerv0kx5tw9zxtx2fdrprx2" timestamp="1774922300"&gt;4621&lt;/key&gt;&lt;/foreign-keys&gt;&lt;ref-type name="Electronic Book"&gt;44&lt;/ref-type&gt;&lt;contributors&gt;&lt;authors&gt;&lt;author&gt;World Health Organization, WHO&lt;/author&gt;&lt;/authors&gt;&lt;/contributors&gt;&lt;titles&gt;&lt;title&gt;Guideline: Sodium Intake for Adults and Children&lt;/title&gt;&lt;/titles&gt;&lt;dates&gt;&lt;year&gt;2012&lt;/year&gt;&lt;/dates&gt;&lt;pub-location&gt;Geneva&lt;/pub-location&gt;&lt;publisher&gt;WHO&lt;/publisher&gt;&lt;urls&gt;&lt;related-urls&gt;&lt;url&gt;https://www.who.int/publications/i/item/9789241504836&lt;/url&gt;&lt;/related-urls&gt;&lt;/urls&gt;&lt;/record&gt;&lt;/Cite&gt;&lt;/EndNote&gt;</w:instrText>
            </w:r>
            <w:r w:rsidR="00224CFB">
              <w:rPr>
                <w:b/>
                <w:bCs/>
                <w:color w:val="FFFFFF" w:themeColor="background1"/>
                <w:sz w:val="20"/>
                <w:szCs w:val="20"/>
              </w:rPr>
              <w:fldChar w:fldCharType="separate"/>
            </w:r>
            <w:r w:rsidR="00224CFB">
              <w:rPr>
                <w:b/>
                <w:bCs/>
                <w:noProof/>
                <w:color w:val="FFFFFF" w:themeColor="background1"/>
                <w:sz w:val="20"/>
                <w:szCs w:val="20"/>
              </w:rPr>
              <w:t>(WHO, 2012)</w:t>
            </w:r>
            <w:r w:rsidR="00224CFB">
              <w:rPr>
                <w:b/>
                <w:bCs/>
                <w:color w:val="FFFFFF" w:themeColor="background1"/>
                <w:sz w:val="20"/>
                <w:szCs w:val="20"/>
              </w:rPr>
              <w:fldChar w:fldCharType="end"/>
            </w:r>
          </w:p>
        </w:tc>
      </w:tr>
      <w:tr w:rsidR="007752A8" w:rsidRPr="00EA2B2D" w14:paraId="6266D8C3" w14:textId="682C9FAA" w:rsidTr="007752A8">
        <w:trPr>
          <w:jc w:val="center"/>
        </w:trPr>
        <w:tc>
          <w:tcPr>
            <w:tcW w:w="1129" w:type="dxa"/>
            <w:vMerge/>
            <w:shd w:val="clear" w:color="auto" w:fill="156082" w:themeFill="accent1"/>
            <w:vAlign w:val="bottom"/>
          </w:tcPr>
          <w:p w14:paraId="2E7B03E6" w14:textId="65DE82AC" w:rsidR="007752A8" w:rsidRPr="00EA2B2D" w:rsidRDefault="007752A8">
            <w:pPr>
              <w:rPr>
                <w:b/>
                <w:bCs/>
                <w:color w:val="FFFFFF" w:themeColor="background1"/>
                <w:sz w:val="20"/>
                <w:szCs w:val="20"/>
              </w:rPr>
            </w:pPr>
          </w:p>
        </w:tc>
        <w:tc>
          <w:tcPr>
            <w:tcW w:w="1701" w:type="dxa"/>
            <w:shd w:val="clear" w:color="auto" w:fill="156082" w:themeFill="accent1"/>
          </w:tcPr>
          <w:p w14:paraId="4F520F82" w14:textId="53954810" w:rsidR="007752A8" w:rsidRPr="00A13941" w:rsidRDefault="007752A8">
            <w:pPr>
              <w:jc w:val="center"/>
              <w:rPr>
                <w:b/>
                <w:bCs/>
                <w:color w:val="FFFFFF" w:themeColor="background1"/>
                <w:sz w:val="20"/>
                <w:szCs w:val="20"/>
              </w:rPr>
            </w:pPr>
            <w:hyperlink r:id="rId34" w:anchor="SDT" w:history="1">
              <w:r w:rsidRPr="00F62AA2">
                <w:rPr>
                  <w:rStyle w:val="Hyperlink"/>
                  <w:b/>
                  <w:bCs/>
                  <w:color w:val="FFFFFF" w:themeColor="background1"/>
                  <w:sz w:val="20"/>
                  <w:szCs w:val="20"/>
                </w:rPr>
                <w:t>SDT</w:t>
              </w:r>
            </w:hyperlink>
          </w:p>
        </w:tc>
        <w:tc>
          <w:tcPr>
            <w:tcW w:w="1560" w:type="dxa"/>
            <w:shd w:val="clear" w:color="auto" w:fill="156082" w:themeFill="accent1"/>
          </w:tcPr>
          <w:p w14:paraId="0ABAA36C" w14:textId="7629FEB4" w:rsidR="007752A8" w:rsidRPr="00EA2B2D" w:rsidRDefault="007752A8" w:rsidP="00DD6EF1">
            <w:pPr>
              <w:jc w:val="center"/>
              <w:rPr>
                <w:b/>
                <w:bCs/>
                <w:color w:val="FFFFFF" w:themeColor="background1"/>
                <w:sz w:val="20"/>
                <w:szCs w:val="20"/>
              </w:rPr>
            </w:pPr>
            <w:r w:rsidRPr="00EA2B2D">
              <w:rPr>
                <w:b/>
                <w:bCs/>
                <w:color w:val="FFFFFF" w:themeColor="background1"/>
                <w:sz w:val="20"/>
                <w:szCs w:val="20"/>
              </w:rPr>
              <w:t xml:space="preserve">CDRR </w:t>
            </w:r>
          </w:p>
        </w:tc>
        <w:tc>
          <w:tcPr>
            <w:tcW w:w="1417" w:type="dxa"/>
            <w:shd w:val="clear" w:color="auto" w:fill="156082" w:themeFill="accent1"/>
          </w:tcPr>
          <w:p w14:paraId="351C2A32" w14:textId="553CECAB" w:rsidR="007752A8" w:rsidRPr="00EA2B2D" w:rsidRDefault="007752A8">
            <w:pPr>
              <w:jc w:val="center"/>
              <w:rPr>
                <w:b/>
                <w:bCs/>
                <w:color w:val="FFFFFF" w:themeColor="background1"/>
                <w:sz w:val="20"/>
                <w:szCs w:val="20"/>
              </w:rPr>
            </w:pPr>
            <w:r w:rsidRPr="00EA2B2D">
              <w:rPr>
                <w:b/>
                <w:bCs/>
                <w:color w:val="FFFFFF" w:themeColor="background1"/>
                <w:sz w:val="20"/>
                <w:szCs w:val="20"/>
              </w:rPr>
              <w:t>‘Safe and Adequate’</w:t>
            </w:r>
            <w:r w:rsidRPr="00EA2B2D">
              <w:rPr>
                <w:b/>
                <w:bCs/>
                <w:color w:val="FFFFFF" w:themeColor="background1"/>
                <w:sz w:val="20"/>
                <w:szCs w:val="20"/>
                <w:vertAlign w:val="superscript"/>
              </w:rPr>
              <w:t>#</w:t>
            </w:r>
          </w:p>
        </w:tc>
        <w:tc>
          <w:tcPr>
            <w:tcW w:w="1843" w:type="dxa"/>
            <w:shd w:val="clear" w:color="auto" w:fill="156082" w:themeFill="accent1"/>
          </w:tcPr>
          <w:p w14:paraId="148B9057" w14:textId="2EA210C7" w:rsidR="007752A8" w:rsidRPr="00EA2B2D" w:rsidRDefault="007752A8" w:rsidP="00DD6EF1">
            <w:pPr>
              <w:jc w:val="center"/>
              <w:rPr>
                <w:b/>
                <w:bCs/>
                <w:color w:val="FFFFFF" w:themeColor="background1"/>
                <w:sz w:val="20"/>
                <w:szCs w:val="20"/>
              </w:rPr>
            </w:pPr>
            <w:r w:rsidRPr="00EA2B2D">
              <w:rPr>
                <w:b/>
                <w:bCs/>
                <w:color w:val="FFFFFF" w:themeColor="background1"/>
                <w:sz w:val="20"/>
                <w:szCs w:val="20"/>
              </w:rPr>
              <w:t>CDRRI</w:t>
            </w:r>
          </w:p>
        </w:tc>
        <w:tc>
          <w:tcPr>
            <w:tcW w:w="1559" w:type="dxa"/>
            <w:shd w:val="clear" w:color="auto" w:fill="156082" w:themeFill="accent1"/>
          </w:tcPr>
          <w:p w14:paraId="492D1AB8" w14:textId="7946478A" w:rsidR="007752A8" w:rsidRPr="00EA2B2D" w:rsidRDefault="007752A8">
            <w:pPr>
              <w:jc w:val="center"/>
              <w:rPr>
                <w:b/>
                <w:bCs/>
                <w:color w:val="FFFFFF" w:themeColor="background1"/>
                <w:sz w:val="20"/>
                <w:szCs w:val="20"/>
              </w:rPr>
            </w:pPr>
            <w:r>
              <w:rPr>
                <w:b/>
                <w:bCs/>
                <w:color w:val="FFFFFF" w:themeColor="background1"/>
                <w:sz w:val="20"/>
                <w:szCs w:val="20"/>
              </w:rPr>
              <w:t>CDRR</w:t>
            </w:r>
          </w:p>
        </w:tc>
        <w:tc>
          <w:tcPr>
            <w:tcW w:w="1559" w:type="dxa"/>
            <w:shd w:val="clear" w:color="auto" w:fill="156082" w:themeFill="accent1"/>
          </w:tcPr>
          <w:p w14:paraId="12F6377E" w14:textId="749B4EE8" w:rsidR="007752A8" w:rsidRDefault="00224CFB">
            <w:pPr>
              <w:jc w:val="center"/>
              <w:rPr>
                <w:b/>
                <w:bCs/>
                <w:color w:val="FFFFFF" w:themeColor="background1"/>
                <w:sz w:val="20"/>
                <w:szCs w:val="20"/>
              </w:rPr>
            </w:pPr>
            <w:r>
              <w:rPr>
                <w:b/>
                <w:bCs/>
                <w:color w:val="FFFFFF" w:themeColor="background1"/>
                <w:sz w:val="20"/>
                <w:szCs w:val="20"/>
              </w:rPr>
              <w:t>CDRR</w:t>
            </w:r>
          </w:p>
        </w:tc>
      </w:tr>
      <w:tr w:rsidR="007752A8" w:rsidRPr="00EA2B2D" w14:paraId="33D24E32" w14:textId="6A9BBD9A" w:rsidTr="007752A8">
        <w:trPr>
          <w:jc w:val="center"/>
        </w:trPr>
        <w:tc>
          <w:tcPr>
            <w:tcW w:w="1129" w:type="dxa"/>
            <w:vMerge/>
            <w:shd w:val="clear" w:color="auto" w:fill="156082" w:themeFill="accent1"/>
          </w:tcPr>
          <w:p w14:paraId="1E969B77" w14:textId="77777777" w:rsidR="007752A8" w:rsidRPr="00EA2B2D" w:rsidRDefault="007752A8">
            <w:pPr>
              <w:rPr>
                <w:color w:val="FFFFFF" w:themeColor="background1"/>
                <w:sz w:val="20"/>
                <w:szCs w:val="20"/>
              </w:rPr>
            </w:pPr>
          </w:p>
        </w:tc>
        <w:tc>
          <w:tcPr>
            <w:tcW w:w="1701" w:type="dxa"/>
            <w:shd w:val="clear" w:color="auto" w:fill="156082" w:themeFill="accent1"/>
          </w:tcPr>
          <w:p w14:paraId="12D6E9EB" w14:textId="77777777" w:rsidR="007752A8" w:rsidRPr="00EA2B2D" w:rsidRDefault="007752A8">
            <w:pPr>
              <w:jc w:val="center"/>
              <w:rPr>
                <w:b/>
                <w:bCs/>
                <w:color w:val="FFFFFF" w:themeColor="background1"/>
                <w:sz w:val="20"/>
                <w:szCs w:val="20"/>
              </w:rPr>
            </w:pPr>
            <w:r w:rsidRPr="00EA2B2D">
              <w:rPr>
                <w:b/>
                <w:bCs/>
                <w:color w:val="FFFFFF" w:themeColor="background1"/>
                <w:sz w:val="20"/>
                <w:szCs w:val="20"/>
              </w:rPr>
              <w:t>mg/day</w:t>
            </w:r>
          </w:p>
        </w:tc>
        <w:tc>
          <w:tcPr>
            <w:tcW w:w="1560" w:type="dxa"/>
            <w:shd w:val="clear" w:color="auto" w:fill="156082" w:themeFill="accent1"/>
          </w:tcPr>
          <w:p w14:paraId="63A60E6B" w14:textId="77777777" w:rsidR="007752A8" w:rsidRPr="00EA2B2D" w:rsidRDefault="007752A8">
            <w:pPr>
              <w:jc w:val="center"/>
              <w:rPr>
                <w:color w:val="FFFFFF" w:themeColor="background1"/>
                <w:sz w:val="20"/>
                <w:szCs w:val="20"/>
              </w:rPr>
            </w:pPr>
            <w:r w:rsidRPr="00EA2B2D">
              <w:rPr>
                <w:b/>
                <w:bCs/>
                <w:color w:val="FFFFFF" w:themeColor="background1"/>
                <w:sz w:val="20"/>
                <w:szCs w:val="20"/>
              </w:rPr>
              <w:t>mg/day</w:t>
            </w:r>
          </w:p>
        </w:tc>
        <w:tc>
          <w:tcPr>
            <w:tcW w:w="1417" w:type="dxa"/>
            <w:shd w:val="clear" w:color="auto" w:fill="156082" w:themeFill="accent1"/>
          </w:tcPr>
          <w:p w14:paraId="7483FB68" w14:textId="77777777" w:rsidR="007752A8" w:rsidRPr="00EA2B2D" w:rsidRDefault="007752A8">
            <w:pPr>
              <w:jc w:val="center"/>
              <w:rPr>
                <w:color w:val="FFFFFF" w:themeColor="background1"/>
                <w:sz w:val="20"/>
                <w:szCs w:val="20"/>
              </w:rPr>
            </w:pPr>
            <w:r w:rsidRPr="00EA2B2D">
              <w:rPr>
                <w:b/>
                <w:bCs/>
                <w:color w:val="FFFFFF" w:themeColor="background1"/>
                <w:sz w:val="20"/>
                <w:szCs w:val="20"/>
              </w:rPr>
              <w:t>mg/day</w:t>
            </w:r>
          </w:p>
        </w:tc>
        <w:tc>
          <w:tcPr>
            <w:tcW w:w="1843" w:type="dxa"/>
            <w:shd w:val="clear" w:color="auto" w:fill="156082" w:themeFill="accent1"/>
          </w:tcPr>
          <w:p w14:paraId="0650AB23" w14:textId="77777777" w:rsidR="007752A8" w:rsidRPr="00EA2B2D" w:rsidRDefault="007752A8">
            <w:pPr>
              <w:jc w:val="center"/>
              <w:rPr>
                <w:color w:val="FFFFFF" w:themeColor="background1"/>
                <w:sz w:val="20"/>
                <w:szCs w:val="20"/>
              </w:rPr>
            </w:pPr>
            <w:r w:rsidRPr="00EA2B2D">
              <w:rPr>
                <w:b/>
                <w:bCs/>
                <w:color w:val="FFFFFF" w:themeColor="background1"/>
                <w:sz w:val="20"/>
                <w:szCs w:val="20"/>
              </w:rPr>
              <w:t>mg/day</w:t>
            </w:r>
          </w:p>
        </w:tc>
        <w:tc>
          <w:tcPr>
            <w:tcW w:w="1559" w:type="dxa"/>
            <w:shd w:val="clear" w:color="auto" w:fill="156082" w:themeFill="accent1"/>
          </w:tcPr>
          <w:p w14:paraId="5FC215FC" w14:textId="77777777" w:rsidR="007752A8" w:rsidRPr="00EA2B2D" w:rsidRDefault="007752A8">
            <w:pPr>
              <w:jc w:val="center"/>
              <w:rPr>
                <w:b/>
                <w:bCs/>
                <w:color w:val="FFFFFF" w:themeColor="background1"/>
                <w:sz w:val="20"/>
                <w:szCs w:val="20"/>
              </w:rPr>
            </w:pPr>
            <w:r w:rsidRPr="00EA2B2D">
              <w:rPr>
                <w:b/>
                <w:bCs/>
                <w:color w:val="FFFFFF" w:themeColor="background1"/>
                <w:sz w:val="20"/>
                <w:szCs w:val="20"/>
              </w:rPr>
              <w:t>mg/day</w:t>
            </w:r>
          </w:p>
        </w:tc>
        <w:tc>
          <w:tcPr>
            <w:tcW w:w="1559" w:type="dxa"/>
            <w:shd w:val="clear" w:color="auto" w:fill="156082" w:themeFill="accent1"/>
          </w:tcPr>
          <w:p w14:paraId="73C5A398" w14:textId="5F481C98" w:rsidR="007752A8" w:rsidRPr="00EA2B2D" w:rsidRDefault="00224CFB">
            <w:pPr>
              <w:jc w:val="center"/>
              <w:rPr>
                <w:b/>
                <w:bCs/>
                <w:color w:val="FFFFFF" w:themeColor="background1"/>
                <w:sz w:val="20"/>
                <w:szCs w:val="20"/>
              </w:rPr>
            </w:pPr>
            <w:r w:rsidRPr="00EA2B2D">
              <w:rPr>
                <w:b/>
                <w:bCs/>
                <w:color w:val="FFFFFF" w:themeColor="background1"/>
                <w:sz w:val="20"/>
                <w:szCs w:val="20"/>
              </w:rPr>
              <w:t>mg/day</w:t>
            </w:r>
          </w:p>
        </w:tc>
      </w:tr>
      <w:tr w:rsidR="007752A8" w:rsidRPr="00EA2B2D" w14:paraId="2BE3F008" w14:textId="5E7DA812" w:rsidTr="007752A8">
        <w:trPr>
          <w:jc w:val="center"/>
        </w:trPr>
        <w:tc>
          <w:tcPr>
            <w:tcW w:w="1129" w:type="dxa"/>
          </w:tcPr>
          <w:p w14:paraId="260EB25A" w14:textId="77777777" w:rsidR="007752A8" w:rsidRPr="00EA2B2D" w:rsidRDefault="007752A8">
            <w:pPr>
              <w:rPr>
                <w:sz w:val="20"/>
                <w:szCs w:val="20"/>
              </w:rPr>
            </w:pPr>
            <w:r w:rsidRPr="00EA2B2D">
              <w:rPr>
                <w:sz w:val="20"/>
                <w:szCs w:val="20"/>
              </w:rPr>
              <w:t>Adults</w:t>
            </w:r>
          </w:p>
        </w:tc>
        <w:tc>
          <w:tcPr>
            <w:tcW w:w="1701" w:type="dxa"/>
            <w:vAlign w:val="center"/>
          </w:tcPr>
          <w:p w14:paraId="1CDCE689" w14:textId="4357487E" w:rsidR="007752A8" w:rsidRPr="00EA2B2D" w:rsidRDefault="007752A8">
            <w:pPr>
              <w:jc w:val="center"/>
              <w:rPr>
                <w:sz w:val="20"/>
                <w:szCs w:val="20"/>
              </w:rPr>
            </w:pPr>
            <w:r w:rsidRPr="00EA2B2D">
              <w:rPr>
                <w:sz w:val="20"/>
                <w:szCs w:val="20"/>
              </w:rPr>
              <w:t>2,000</w:t>
            </w:r>
          </w:p>
        </w:tc>
        <w:tc>
          <w:tcPr>
            <w:tcW w:w="1560" w:type="dxa"/>
            <w:vMerge w:val="restart"/>
            <w:vAlign w:val="center"/>
          </w:tcPr>
          <w:p w14:paraId="42849561" w14:textId="4F0342F2" w:rsidR="007752A8" w:rsidRPr="00EA2B2D" w:rsidRDefault="007752A8">
            <w:pPr>
              <w:jc w:val="center"/>
              <w:rPr>
                <w:sz w:val="20"/>
                <w:szCs w:val="20"/>
              </w:rPr>
            </w:pPr>
            <w:r w:rsidRPr="00EA2B2D">
              <w:rPr>
                <w:sz w:val="20"/>
                <w:szCs w:val="20"/>
              </w:rPr>
              <w:t>2,300</w:t>
            </w:r>
          </w:p>
        </w:tc>
        <w:tc>
          <w:tcPr>
            <w:tcW w:w="1417" w:type="dxa"/>
            <w:vMerge w:val="restart"/>
            <w:vAlign w:val="center"/>
          </w:tcPr>
          <w:p w14:paraId="73638FEA" w14:textId="77777777" w:rsidR="007752A8" w:rsidRPr="00EA2B2D" w:rsidRDefault="007752A8">
            <w:pPr>
              <w:jc w:val="center"/>
              <w:rPr>
                <w:sz w:val="20"/>
                <w:szCs w:val="20"/>
              </w:rPr>
            </w:pPr>
            <w:r w:rsidRPr="00EA2B2D">
              <w:rPr>
                <w:sz w:val="20"/>
                <w:szCs w:val="20"/>
              </w:rPr>
              <w:t>2,000</w:t>
            </w:r>
          </w:p>
        </w:tc>
        <w:tc>
          <w:tcPr>
            <w:tcW w:w="1843" w:type="dxa"/>
            <w:vMerge w:val="restart"/>
            <w:vAlign w:val="center"/>
          </w:tcPr>
          <w:p w14:paraId="4D94F081" w14:textId="34F0553E" w:rsidR="007752A8" w:rsidRPr="00EA2B2D" w:rsidRDefault="007752A8">
            <w:pPr>
              <w:jc w:val="center"/>
              <w:rPr>
                <w:sz w:val="20"/>
                <w:szCs w:val="20"/>
              </w:rPr>
            </w:pPr>
            <w:r w:rsidRPr="00EA2B2D">
              <w:rPr>
                <w:sz w:val="20"/>
                <w:szCs w:val="20"/>
              </w:rPr>
              <w:t>2,300</w:t>
            </w:r>
          </w:p>
        </w:tc>
        <w:tc>
          <w:tcPr>
            <w:tcW w:w="1559" w:type="dxa"/>
            <w:vAlign w:val="center"/>
          </w:tcPr>
          <w:p w14:paraId="65DB5F4D" w14:textId="5CB1E7F5" w:rsidR="007752A8" w:rsidRPr="00EA2B2D" w:rsidRDefault="007752A8">
            <w:pPr>
              <w:jc w:val="center"/>
              <w:rPr>
                <w:sz w:val="20"/>
                <w:szCs w:val="20"/>
              </w:rPr>
            </w:pPr>
            <w:r w:rsidRPr="00EA2B2D">
              <w:rPr>
                <w:sz w:val="20"/>
                <w:szCs w:val="20"/>
              </w:rPr>
              <w:t>2,400*</w:t>
            </w:r>
          </w:p>
        </w:tc>
        <w:tc>
          <w:tcPr>
            <w:tcW w:w="1559" w:type="dxa"/>
          </w:tcPr>
          <w:p w14:paraId="15A59C2C" w14:textId="07237769" w:rsidR="007752A8" w:rsidRPr="00EA2B2D" w:rsidRDefault="00C51B73">
            <w:pPr>
              <w:jc w:val="center"/>
              <w:rPr>
                <w:sz w:val="20"/>
                <w:szCs w:val="20"/>
              </w:rPr>
            </w:pPr>
            <w:r>
              <w:rPr>
                <w:sz w:val="20"/>
                <w:szCs w:val="20"/>
              </w:rPr>
              <w:t>2,000</w:t>
            </w:r>
          </w:p>
        </w:tc>
      </w:tr>
      <w:tr w:rsidR="007752A8" w:rsidRPr="00EA2B2D" w14:paraId="7610D671" w14:textId="4D487E95" w:rsidTr="007752A8">
        <w:trPr>
          <w:jc w:val="center"/>
        </w:trPr>
        <w:tc>
          <w:tcPr>
            <w:tcW w:w="1129" w:type="dxa"/>
          </w:tcPr>
          <w:p w14:paraId="627C1B53" w14:textId="77777777" w:rsidR="007752A8" w:rsidRPr="00EA2B2D" w:rsidRDefault="007752A8">
            <w:pPr>
              <w:rPr>
                <w:sz w:val="20"/>
                <w:szCs w:val="20"/>
              </w:rPr>
            </w:pPr>
            <w:r w:rsidRPr="00EA2B2D">
              <w:rPr>
                <w:sz w:val="20"/>
                <w:szCs w:val="20"/>
              </w:rPr>
              <w:t>Pregnancy</w:t>
            </w:r>
          </w:p>
        </w:tc>
        <w:tc>
          <w:tcPr>
            <w:tcW w:w="1701" w:type="dxa"/>
            <w:vMerge w:val="restart"/>
            <w:vAlign w:val="center"/>
          </w:tcPr>
          <w:p w14:paraId="4E3136BD" w14:textId="5A9DE88C" w:rsidR="007752A8" w:rsidRPr="00EA2B2D" w:rsidRDefault="007752A8">
            <w:pPr>
              <w:jc w:val="center"/>
              <w:rPr>
                <w:sz w:val="20"/>
                <w:szCs w:val="20"/>
              </w:rPr>
            </w:pPr>
            <w:r w:rsidRPr="00EA2B2D">
              <w:rPr>
                <w:sz w:val="20"/>
                <w:szCs w:val="20"/>
              </w:rPr>
              <w:t>NS</w:t>
            </w:r>
          </w:p>
        </w:tc>
        <w:tc>
          <w:tcPr>
            <w:tcW w:w="1560" w:type="dxa"/>
            <w:vMerge/>
            <w:vAlign w:val="center"/>
          </w:tcPr>
          <w:p w14:paraId="1888E8E6" w14:textId="77777777" w:rsidR="007752A8" w:rsidRPr="00EA2B2D" w:rsidRDefault="007752A8">
            <w:pPr>
              <w:jc w:val="center"/>
              <w:rPr>
                <w:sz w:val="20"/>
                <w:szCs w:val="20"/>
              </w:rPr>
            </w:pPr>
          </w:p>
        </w:tc>
        <w:tc>
          <w:tcPr>
            <w:tcW w:w="1417" w:type="dxa"/>
            <w:vMerge/>
            <w:vAlign w:val="center"/>
          </w:tcPr>
          <w:p w14:paraId="575B890F" w14:textId="77777777" w:rsidR="007752A8" w:rsidRPr="00EA2B2D" w:rsidRDefault="007752A8">
            <w:pPr>
              <w:jc w:val="center"/>
              <w:rPr>
                <w:sz w:val="20"/>
                <w:szCs w:val="20"/>
              </w:rPr>
            </w:pPr>
          </w:p>
        </w:tc>
        <w:tc>
          <w:tcPr>
            <w:tcW w:w="1843" w:type="dxa"/>
            <w:vMerge/>
            <w:vAlign w:val="center"/>
          </w:tcPr>
          <w:p w14:paraId="6DA5E58E" w14:textId="77777777" w:rsidR="007752A8" w:rsidRPr="00EA2B2D" w:rsidRDefault="007752A8">
            <w:pPr>
              <w:jc w:val="center"/>
              <w:rPr>
                <w:sz w:val="20"/>
                <w:szCs w:val="20"/>
              </w:rPr>
            </w:pPr>
          </w:p>
        </w:tc>
        <w:tc>
          <w:tcPr>
            <w:tcW w:w="1559" w:type="dxa"/>
            <w:vMerge w:val="restart"/>
            <w:vAlign w:val="center"/>
          </w:tcPr>
          <w:p w14:paraId="10646203" w14:textId="30C253FE" w:rsidR="007752A8" w:rsidRPr="00EA2B2D" w:rsidRDefault="007752A8">
            <w:pPr>
              <w:jc w:val="center"/>
              <w:rPr>
                <w:sz w:val="20"/>
                <w:szCs w:val="20"/>
              </w:rPr>
            </w:pPr>
            <w:r w:rsidRPr="00EA2B2D">
              <w:rPr>
                <w:sz w:val="20"/>
                <w:szCs w:val="20"/>
              </w:rPr>
              <w:t>NS</w:t>
            </w:r>
          </w:p>
        </w:tc>
        <w:tc>
          <w:tcPr>
            <w:tcW w:w="1559" w:type="dxa"/>
          </w:tcPr>
          <w:p w14:paraId="712CF743" w14:textId="6FA8EDAF" w:rsidR="007752A8" w:rsidRPr="00EA2B2D" w:rsidRDefault="00C51B73">
            <w:pPr>
              <w:jc w:val="center"/>
              <w:rPr>
                <w:sz w:val="20"/>
                <w:szCs w:val="20"/>
              </w:rPr>
            </w:pPr>
            <w:r>
              <w:rPr>
                <w:sz w:val="20"/>
                <w:szCs w:val="20"/>
              </w:rPr>
              <w:t>2,000</w:t>
            </w:r>
          </w:p>
        </w:tc>
      </w:tr>
      <w:tr w:rsidR="007752A8" w:rsidRPr="00EA2B2D" w14:paraId="7A35960C" w14:textId="7133481B" w:rsidTr="007752A8">
        <w:trPr>
          <w:jc w:val="center"/>
        </w:trPr>
        <w:tc>
          <w:tcPr>
            <w:tcW w:w="1129" w:type="dxa"/>
          </w:tcPr>
          <w:p w14:paraId="7EFFA695" w14:textId="77777777" w:rsidR="007752A8" w:rsidRPr="00EA2B2D" w:rsidRDefault="007752A8">
            <w:pPr>
              <w:rPr>
                <w:sz w:val="20"/>
                <w:szCs w:val="20"/>
              </w:rPr>
            </w:pPr>
            <w:r w:rsidRPr="00EA2B2D">
              <w:rPr>
                <w:sz w:val="20"/>
                <w:szCs w:val="20"/>
              </w:rPr>
              <w:t>Lactation</w:t>
            </w:r>
          </w:p>
        </w:tc>
        <w:tc>
          <w:tcPr>
            <w:tcW w:w="1701" w:type="dxa"/>
            <w:vMerge/>
            <w:vAlign w:val="center"/>
          </w:tcPr>
          <w:p w14:paraId="30A693F2" w14:textId="77777777" w:rsidR="007752A8" w:rsidRPr="00EA2B2D" w:rsidRDefault="007752A8">
            <w:pPr>
              <w:jc w:val="center"/>
              <w:rPr>
                <w:sz w:val="20"/>
                <w:szCs w:val="20"/>
              </w:rPr>
            </w:pPr>
          </w:p>
        </w:tc>
        <w:tc>
          <w:tcPr>
            <w:tcW w:w="1560" w:type="dxa"/>
            <w:vMerge/>
            <w:vAlign w:val="center"/>
          </w:tcPr>
          <w:p w14:paraId="2021377A" w14:textId="77777777" w:rsidR="007752A8" w:rsidRPr="00EA2B2D" w:rsidRDefault="007752A8">
            <w:pPr>
              <w:jc w:val="center"/>
              <w:rPr>
                <w:sz w:val="20"/>
                <w:szCs w:val="20"/>
              </w:rPr>
            </w:pPr>
          </w:p>
        </w:tc>
        <w:tc>
          <w:tcPr>
            <w:tcW w:w="1417" w:type="dxa"/>
            <w:vMerge/>
            <w:vAlign w:val="center"/>
          </w:tcPr>
          <w:p w14:paraId="355A1239" w14:textId="77777777" w:rsidR="007752A8" w:rsidRPr="00EA2B2D" w:rsidRDefault="007752A8">
            <w:pPr>
              <w:jc w:val="center"/>
              <w:rPr>
                <w:sz w:val="20"/>
                <w:szCs w:val="20"/>
              </w:rPr>
            </w:pPr>
          </w:p>
        </w:tc>
        <w:tc>
          <w:tcPr>
            <w:tcW w:w="1843" w:type="dxa"/>
            <w:vMerge/>
            <w:vAlign w:val="center"/>
          </w:tcPr>
          <w:p w14:paraId="5B79DDF3" w14:textId="77777777" w:rsidR="007752A8" w:rsidRPr="00EA2B2D" w:rsidRDefault="007752A8">
            <w:pPr>
              <w:jc w:val="center"/>
              <w:rPr>
                <w:sz w:val="20"/>
                <w:szCs w:val="20"/>
              </w:rPr>
            </w:pPr>
          </w:p>
        </w:tc>
        <w:tc>
          <w:tcPr>
            <w:tcW w:w="1559" w:type="dxa"/>
            <w:vMerge/>
            <w:vAlign w:val="center"/>
          </w:tcPr>
          <w:p w14:paraId="6D448F2D" w14:textId="77777777" w:rsidR="007752A8" w:rsidRPr="00EA2B2D" w:rsidRDefault="007752A8">
            <w:pPr>
              <w:jc w:val="center"/>
              <w:rPr>
                <w:sz w:val="20"/>
                <w:szCs w:val="20"/>
              </w:rPr>
            </w:pPr>
          </w:p>
        </w:tc>
        <w:tc>
          <w:tcPr>
            <w:tcW w:w="1559" w:type="dxa"/>
          </w:tcPr>
          <w:p w14:paraId="57621C2F" w14:textId="0201C6C8" w:rsidR="007752A8" w:rsidRPr="00EA2B2D" w:rsidRDefault="00C51B73">
            <w:pPr>
              <w:jc w:val="center"/>
              <w:rPr>
                <w:sz w:val="20"/>
                <w:szCs w:val="20"/>
              </w:rPr>
            </w:pPr>
            <w:r>
              <w:rPr>
                <w:sz w:val="20"/>
                <w:szCs w:val="20"/>
              </w:rPr>
              <w:t>2,000</w:t>
            </w:r>
          </w:p>
        </w:tc>
      </w:tr>
      <w:tr w:rsidR="007752A8" w:rsidRPr="00EA2B2D" w14:paraId="64C2C0E2" w14:textId="1BAE6112">
        <w:trPr>
          <w:jc w:val="center"/>
        </w:trPr>
        <w:tc>
          <w:tcPr>
            <w:tcW w:w="10768" w:type="dxa"/>
            <w:gridSpan w:val="7"/>
          </w:tcPr>
          <w:p w14:paraId="0BCEC303" w14:textId="172D07B8" w:rsidR="007752A8" w:rsidRPr="00EA2B2D" w:rsidRDefault="007752A8">
            <w:pPr>
              <w:rPr>
                <w:sz w:val="20"/>
                <w:szCs w:val="20"/>
              </w:rPr>
            </w:pPr>
            <w:r w:rsidRPr="00EA2B2D">
              <w:rPr>
                <w:sz w:val="20"/>
                <w:szCs w:val="20"/>
              </w:rPr>
              <w:t>Children &amp; adolescents</w:t>
            </w:r>
          </w:p>
        </w:tc>
      </w:tr>
      <w:tr w:rsidR="004417CC" w:rsidRPr="00EA2B2D" w14:paraId="68E0E497" w14:textId="0D275143" w:rsidTr="0016764D">
        <w:trPr>
          <w:jc w:val="center"/>
        </w:trPr>
        <w:tc>
          <w:tcPr>
            <w:tcW w:w="1129" w:type="dxa"/>
          </w:tcPr>
          <w:p w14:paraId="1143AFF9" w14:textId="2A908AEA" w:rsidR="004417CC" w:rsidRPr="00EA2B2D" w:rsidRDefault="004417CC" w:rsidP="004417CC">
            <w:pPr>
              <w:ind w:left="22"/>
              <w:rPr>
                <w:sz w:val="20"/>
                <w:szCs w:val="20"/>
              </w:rPr>
            </w:pPr>
            <w:r>
              <w:rPr>
                <w:sz w:val="20"/>
                <w:szCs w:val="20"/>
              </w:rPr>
              <w:t xml:space="preserve">   </w:t>
            </w:r>
            <w:r w:rsidRPr="00EA2B2D">
              <w:rPr>
                <w:sz w:val="20"/>
                <w:szCs w:val="20"/>
              </w:rPr>
              <w:t>1 yr</w:t>
            </w:r>
          </w:p>
        </w:tc>
        <w:tc>
          <w:tcPr>
            <w:tcW w:w="1701" w:type="dxa"/>
            <w:vMerge w:val="restart"/>
            <w:vAlign w:val="center"/>
          </w:tcPr>
          <w:p w14:paraId="6CC29DE6" w14:textId="6004D56A" w:rsidR="004417CC" w:rsidRPr="00EA2B2D" w:rsidRDefault="004417CC" w:rsidP="00BF5C44">
            <w:pPr>
              <w:jc w:val="center"/>
              <w:rPr>
                <w:sz w:val="20"/>
                <w:szCs w:val="20"/>
              </w:rPr>
            </w:pPr>
            <w:r w:rsidRPr="00EA2B2D">
              <w:rPr>
                <w:sz w:val="20"/>
                <w:szCs w:val="20"/>
              </w:rPr>
              <w:t>NS</w:t>
            </w:r>
          </w:p>
        </w:tc>
        <w:tc>
          <w:tcPr>
            <w:tcW w:w="1560" w:type="dxa"/>
            <w:vMerge w:val="restart"/>
            <w:vAlign w:val="center"/>
          </w:tcPr>
          <w:p w14:paraId="3AF0F96F" w14:textId="728038B8" w:rsidR="004417CC" w:rsidRPr="00EA2B2D" w:rsidRDefault="004417CC">
            <w:pPr>
              <w:jc w:val="center"/>
              <w:rPr>
                <w:sz w:val="20"/>
                <w:szCs w:val="20"/>
              </w:rPr>
            </w:pPr>
            <w:r w:rsidRPr="00EA2B2D">
              <w:rPr>
                <w:sz w:val="20"/>
                <w:szCs w:val="20"/>
              </w:rPr>
              <w:t>1,200</w:t>
            </w:r>
          </w:p>
        </w:tc>
        <w:tc>
          <w:tcPr>
            <w:tcW w:w="1417" w:type="dxa"/>
            <w:vMerge w:val="restart"/>
            <w:vAlign w:val="center"/>
          </w:tcPr>
          <w:p w14:paraId="499DE8FF" w14:textId="77777777" w:rsidR="004417CC" w:rsidRPr="00EA2B2D" w:rsidRDefault="004417CC">
            <w:pPr>
              <w:jc w:val="center"/>
              <w:rPr>
                <w:sz w:val="20"/>
                <w:szCs w:val="20"/>
              </w:rPr>
            </w:pPr>
            <w:r w:rsidRPr="00EA2B2D">
              <w:rPr>
                <w:sz w:val="20"/>
                <w:szCs w:val="20"/>
              </w:rPr>
              <w:t>1,100</w:t>
            </w:r>
          </w:p>
        </w:tc>
        <w:tc>
          <w:tcPr>
            <w:tcW w:w="1843" w:type="dxa"/>
            <w:vMerge w:val="restart"/>
            <w:vAlign w:val="center"/>
          </w:tcPr>
          <w:p w14:paraId="4A00637D" w14:textId="38E5B43E" w:rsidR="004417CC" w:rsidRPr="00EA2B2D" w:rsidRDefault="004417CC">
            <w:pPr>
              <w:jc w:val="center"/>
              <w:rPr>
                <w:sz w:val="20"/>
                <w:szCs w:val="20"/>
              </w:rPr>
            </w:pPr>
            <w:r w:rsidRPr="00EA2B2D">
              <w:rPr>
                <w:sz w:val="20"/>
                <w:szCs w:val="20"/>
              </w:rPr>
              <w:t>1,100</w:t>
            </w:r>
          </w:p>
        </w:tc>
        <w:tc>
          <w:tcPr>
            <w:tcW w:w="1559" w:type="dxa"/>
            <w:vMerge w:val="restart"/>
            <w:vAlign w:val="center"/>
          </w:tcPr>
          <w:p w14:paraId="0BF59EFC" w14:textId="24E2C553" w:rsidR="004417CC" w:rsidRPr="00EA2B2D" w:rsidRDefault="004417CC">
            <w:pPr>
              <w:jc w:val="center"/>
              <w:rPr>
                <w:sz w:val="20"/>
                <w:szCs w:val="20"/>
              </w:rPr>
            </w:pPr>
            <w:r w:rsidRPr="00EA2B2D">
              <w:rPr>
                <w:sz w:val="20"/>
                <w:szCs w:val="20"/>
              </w:rPr>
              <w:t>NS</w:t>
            </w:r>
          </w:p>
        </w:tc>
        <w:tc>
          <w:tcPr>
            <w:tcW w:w="1559" w:type="dxa"/>
          </w:tcPr>
          <w:p w14:paraId="38653B86" w14:textId="74C0CCF5" w:rsidR="004417CC" w:rsidRPr="00EA2B2D" w:rsidRDefault="004417CC">
            <w:pPr>
              <w:jc w:val="center"/>
              <w:rPr>
                <w:sz w:val="20"/>
                <w:szCs w:val="20"/>
              </w:rPr>
            </w:pPr>
            <w:r>
              <w:rPr>
                <w:sz w:val="20"/>
                <w:szCs w:val="20"/>
              </w:rPr>
              <w:t>NS</w:t>
            </w:r>
          </w:p>
        </w:tc>
      </w:tr>
      <w:tr w:rsidR="004417CC" w:rsidRPr="00EA2B2D" w14:paraId="269F7CA0" w14:textId="6F5736E6" w:rsidTr="00CD1292">
        <w:trPr>
          <w:jc w:val="center"/>
        </w:trPr>
        <w:tc>
          <w:tcPr>
            <w:tcW w:w="1129" w:type="dxa"/>
          </w:tcPr>
          <w:p w14:paraId="38D14B8B" w14:textId="577B910B" w:rsidR="004417CC" w:rsidRPr="00EA2B2D" w:rsidRDefault="004417CC" w:rsidP="004417CC">
            <w:pPr>
              <w:ind w:left="22"/>
              <w:rPr>
                <w:sz w:val="20"/>
                <w:szCs w:val="20"/>
              </w:rPr>
            </w:pPr>
            <w:r>
              <w:rPr>
                <w:sz w:val="20"/>
                <w:szCs w:val="20"/>
              </w:rPr>
              <w:t xml:space="preserve">   </w:t>
            </w:r>
            <w:r w:rsidRPr="00EA2B2D">
              <w:rPr>
                <w:sz w:val="20"/>
                <w:szCs w:val="20"/>
              </w:rPr>
              <w:t>2 yr</w:t>
            </w:r>
          </w:p>
        </w:tc>
        <w:tc>
          <w:tcPr>
            <w:tcW w:w="1701" w:type="dxa"/>
            <w:vMerge/>
            <w:vAlign w:val="center"/>
          </w:tcPr>
          <w:p w14:paraId="504BE132" w14:textId="2B8A674D" w:rsidR="004417CC" w:rsidRPr="00EA2B2D" w:rsidRDefault="004417CC">
            <w:pPr>
              <w:jc w:val="center"/>
              <w:rPr>
                <w:sz w:val="20"/>
                <w:szCs w:val="20"/>
              </w:rPr>
            </w:pPr>
          </w:p>
        </w:tc>
        <w:tc>
          <w:tcPr>
            <w:tcW w:w="1560" w:type="dxa"/>
            <w:vMerge/>
            <w:vAlign w:val="center"/>
          </w:tcPr>
          <w:p w14:paraId="6845611C" w14:textId="77777777" w:rsidR="004417CC" w:rsidRPr="00EA2B2D" w:rsidRDefault="004417CC">
            <w:pPr>
              <w:jc w:val="center"/>
              <w:rPr>
                <w:sz w:val="20"/>
                <w:szCs w:val="20"/>
              </w:rPr>
            </w:pPr>
          </w:p>
        </w:tc>
        <w:tc>
          <w:tcPr>
            <w:tcW w:w="1417" w:type="dxa"/>
            <w:vMerge/>
            <w:vAlign w:val="center"/>
          </w:tcPr>
          <w:p w14:paraId="48AB4D6E" w14:textId="77777777" w:rsidR="004417CC" w:rsidRPr="00EA2B2D" w:rsidRDefault="004417CC">
            <w:pPr>
              <w:jc w:val="center"/>
              <w:rPr>
                <w:sz w:val="20"/>
                <w:szCs w:val="20"/>
              </w:rPr>
            </w:pPr>
          </w:p>
        </w:tc>
        <w:tc>
          <w:tcPr>
            <w:tcW w:w="1843" w:type="dxa"/>
            <w:vMerge/>
            <w:vAlign w:val="center"/>
          </w:tcPr>
          <w:p w14:paraId="6EC66221" w14:textId="77777777" w:rsidR="004417CC" w:rsidRPr="00EA2B2D" w:rsidRDefault="004417CC">
            <w:pPr>
              <w:jc w:val="center"/>
              <w:rPr>
                <w:sz w:val="20"/>
                <w:szCs w:val="20"/>
              </w:rPr>
            </w:pPr>
          </w:p>
        </w:tc>
        <w:tc>
          <w:tcPr>
            <w:tcW w:w="1559" w:type="dxa"/>
            <w:vMerge/>
            <w:vAlign w:val="center"/>
          </w:tcPr>
          <w:p w14:paraId="4BAF7EC7" w14:textId="77777777" w:rsidR="004417CC" w:rsidRPr="00EA2B2D" w:rsidRDefault="004417CC">
            <w:pPr>
              <w:jc w:val="center"/>
              <w:rPr>
                <w:sz w:val="20"/>
                <w:szCs w:val="20"/>
              </w:rPr>
            </w:pPr>
          </w:p>
        </w:tc>
        <w:tc>
          <w:tcPr>
            <w:tcW w:w="1559" w:type="dxa"/>
            <w:vMerge w:val="restart"/>
            <w:vAlign w:val="center"/>
          </w:tcPr>
          <w:p w14:paraId="7FE1F59C" w14:textId="735CCC54" w:rsidR="004417CC" w:rsidRPr="00164E0E" w:rsidRDefault="004417CC">
            <w:pPr>
              <w:jc w:val="center"/>
              <w:rPr>
                <w:i/>
                <w:iCs/>
                <w:sz w:val="20"/>
                <w:szCs w:val="20"/>
              </w:rPr>
            </w:pPr>
            <w:r w:rsidRPr="00164E0E">
              <w:rPr>
                <w:i/>
                <w:iCs/>
                <w:sz w:val="20"/>
                <w:szCs w:val="20"/>
              </w:rPr>
              <w:t xml:space="preserve">No specific value provided - Recommended maximum level extrapolated from an adult value of 2,000 mg/day based on energy requirements of children relative to those of adults. </w:t>
            </w:r>
          </w:p>
        </w:tc>
      </w:tr>
      <w:tr w:rsidR="004417CC" w:rsidRPr="00EA2B2D" w14:paraId="64213929" w14:textId="532A850E" w:rsidTr="00AD2B40">
        <w:trPr>
          <w:jc w:val="center"/>
        </w:trPr>
        <w:tc>
          <w:tcPr>
            <w:tcW w:w="1129" w:type="dxa"/>
          </w:tcPr>
          <w:p w14:paraId="00282C44" w14:textId="2A295F11" w:rsidR="004417CC" w:rsidRPr="00EA2B2D" w:rsidRDefault="004417CC" w:rsidP="004417CC">
            <w:pPr>
              <w:ind w:left="22"/>
              <w:rPr>
                <w:sz w:val="20"/>
                <w:szCs w:val="20"/>
              </w:rPr>
            </w:pPr>
            <w:r>
              <w:rPr>
                <w:sz w:val="20"/>
                <w:szCs w:val="20"/>
              </w:rPr>
              <w:t xml:space="preserve">   </w:t>
            </w:r>
            <w:r w:rsidRPr="00EA2B2D">
              <w:rPr>
                <w:sz w:val="20"/>
                <w:szCs w:val="20"/>
              </w:rPr>
              <w:t>3 yr</w:t>
            </w:r>
          </w:p>
        </w:tc>
        <w:tc>
          <w:tcPr>
            <w:tcW w:w="1701" w:type="dxa"/>
            <w:vMerge/>
            <w:vAlign w:val="center"/>
          </w:tcPr>
          <w:p w14:paraId="2036E2A7" w14:textId="05696AA0" w:rsidR="004417CC" w:rsidRPr="00EA2B2D" w:rsidRDefault="004417CC">
            <w:pPr>
              <w:jc w:val="center"/>
              <w:rPr>
                <w:sz w:val="20"/>
                <w:szCs w:val="20"/>
              </w:rPr>
            </w:pPr>
          </w:p>
        </w:tc>
        <w:tc>
          <w:tcPr>
            <w:tcW w:w="1560" w:type="dxa"/>
            <w:vMerge/>
            <w:vAlign w:val="center"/>
          </w:tcPr>
          <w:p w14:paraId="03D23BC6" w14:textId="77777777" w:rsidR="004417CC" w:rsidRPr="00EA2B2D" w:rsidRDefault="004417CC">
            <w:pPr>
              <w:jc w:val="center"/>
              <w:rPr>
                <w:sz w:val="20"/>
                <w:szCs w:val="20"/>
              </w:rPr>
            </w:pPr>
          </w:p>
        </w:tc>
        <w:tc>
          <w:tcPr>
            <w:tcW w:w="1417" w:type="dxa"/>
            <w:vMerge/>
            <w:vAlign w:val="center"/>
          </w:tcPr>
          <w:p w14:paraId="334BCA83" w14:textId="77777777" w:rsidR="004417CC" w:rsidRPr="00EA2B2D" w:rsidRDefault="004417CC">
            <w:pPr>
              <w:jc w:val="center"/>
              <w:rPr>
                <w:sz w:val="20"/>
                <w:szCs w:val="20"/>
              </w:rPr>
            </w:pPr>
          </w:p>
        </w:tc>
        <w:tc>
          <w:tcPr>
            <w:tcW w:w="1843" w:type="dxa"/>
            <w:vMerge/>
            <w:vAlign w:val="center"/>
          </w:tcPr>
          <w:p w14:paraId="7DA4C42D" w14:textId="77777777" w:rsidR="004417CC" w:rsidRPr="00EA2B2D" w:rsidRDefault="004417CC">
            <w:pPr>
              <w:jc w:val="center"/>
              <w:rPr>
                <w:sz w:val="20"/>
                <w:szCs w:val="20"/>
              </w:rPr>
            </w:pPr>
          </w:p>
        </w:tc>
        <w:tc>
          <w:tcPr>
            <w:tcW w:w="1559" w:type="dxa"/>
            <w:vMerge/>
            <w:vAlign w:val="center"/>
          </w:tcPr>
          <w:p w14:paraId="3506E237" w14:textId="77777777" w:rsidR="004417CC" w:rsidRPr="00EA2B2D" w:rsidRDefault="004417CC">
            <w:pPr>
              <w:jc w:val="center"/>
              <w:rPr>
                <w:sz w:val="20"/>
                <w:szCs w:val="20"/>
              </w:rPr>
            </w:pPr>
          </w:p>
        </w:tc>
        <w:tc>
          <w:tcPr>
            <w:tcW w:w="1559" w:type="dxa"/>
            <w:vMerge/>
          </w:tcPr>
          <w:p w14:paraId="213F4114" w14:textId="77777777" w:rsidR="004417CC" w:rsidRPr="00EA2B2D" w:rsidRDefault="004417CC">
            <w:pPr>
              <w:jc w:val="center"/>
              <w:rPr>
                <w:sz w:val="20"/>
                <w:szCs w:val="20"/>
              </w:rPr>
            </w:pPr>
          </w:p>
        </w:tc>
      </w:tr>
      <w:tr w:rsidR="004417CC" w:rsidRPr="00EA2B2D" w14:paraId="565F249E" w14:textId="047DCF87" w:rsidTr="00ED0B2D">
        <w:trPr>
          <w:jc w:val="center"/>
        </w:trPr>
        <w:tc>
          <w:tcPr>
            <w:tcW w:w="1129" w:type="dxa"/>
          </w:tcPr>
          <w:p w14:paraId="724F3E0A" w14:textId="41EE995F" w:rsidR="004417CC" w:rsidRPr="00EA2B2D" w:rsidRDefault="004417CC" w:rsidP="004417CC">
            <w:pPr>
              <w:ind w:left="22"/>
              <w:rPr>
                <w:sz w:val="20"/>
                <w:szCs w:val="20"/>
              </w:rPr>
            </w:pPr>
            <w:r>
              <w:rPr>
                <w:sz w:val="20"/>
                <w:szCs w:val="20"/>
              </w:rPr>
              <w:t xml:space="preserve">   </w:t>
            </w:r>
            <w:r w:rsidRPr="00EA2B2D">
              <w:rPr>
                <w:sz w:val="20"/>
                <w:szCs w:val="20"/>
              </w:rPr>
              <w:t>4 yr</w:t>
            </w:r>
          </w:p>
        </w:tc>
        <w:tc>
          <w:tcPr>
            <w:tcW w:w="1701" w:type="dxa"/>
            <w:vMerge/>
            <w:vAlign w:val="center"/>
          </w:tcPr>
          <w:p w14:paraId="650BF892" w14:textId="705F40CD" w:rsidR="004417CC" w:rsidRPr="00EA2B2D" w:rsidRDefault="004417CC">
            <w:pPr>
              <w:jc w:val="center"/>
              <w:rPr>
                <w:sz w:val="20"/>
                <w:szCs w:val="20"/>
              </w:rPr>
            </w:pPr>
          </w:p>
        </w:tc>
        <w:tc>
          <w:tcPr>
            <w:tcW w:w="1560" w:type="dxa"/>
            <w:vMerge w:val="restart"/>
            <w:vAlign w:val="center"/>
          </w:tcPr>
          <w:p w14:paraId="5694A8FD" w14:textId="499221AA" w:rsidR="004417CC" w:rsidRPr="00EA2B2D" w:rsidRDefault="004417CC">
            <w:pPr>
              <w:jc w:val="center"/>
              <w:rPr>
                <w:sz w:val="20"/>
                <w:szCs w:val="20"/>
              </w:rPr>
            </w:pPr>
            <w:r w:rsidRPr="00EA2B2D">
              <w:rPr>
                <w:sz w:val="20"/>
                <w:szCs w:val="20"/>
              </w:rPr>
              <w:t>1,500</w:t>
            </w:r>
          </w:p>
        </w:tc>
        <w:tc>
          <w:tcPr>
            <w:tcW w:w="1417" w:type="dxa"/>
            <w:vMerge w:val="restart"/>
            <w:vAlign w:val="center"/>
          </w:tcPr>
          <w:p w14:paraId="2023E8AC" w14:textId="77777777" w:rsidR="004417CC" w:rsidRPr="00EA2B2D" w:rsidRDefault="004417CC">
            <w:pPr>
              <w:jc w:val="center"/>
              <w:rPr>
                <w:sz w:val="20"/>
                <w:szCs w:val="20"/>
              </w:rPr>
            </w:pPr>
            <w:r w:rsidRPr="00EA2B2D">
              <w:rPr>
                <w:sz w:val="20"/>
                <w:szCs w:val="20"/>
              </w:rPr>
              <w:t>1,300</w:t>
            </w:r>
          </w:p>
        </w:tc>
        <w:tc>
          <w:tcPr>
            <w:tcW w:w="1843" w:type="dxa"/>
            <w:vMerge w:val="restart"/>
            <w:vAlign w:val="center"/>
          </w:tcPr>
          <w:p w14:paraId="1CA1E481" w14:textId="4D893DBA" w:rsidR="004417CC" w:rsidRPr="00EA2B2D" w:rsidRDefault="004417CC">
            <w:pPr>
              <w:jc w:val="center"/>
              <w:rPr>
                <w:sz w:val="20"/>
                <w:szCs w:val="20"/>
              </w:rPr>
            </w:pPr>
            <w:r w:rsidRPr="00EA2B2D">
              <w:rPr>
                <w:sz w:val="20"/>
                <w:szCs w:val="20"/>
              </w:rPr>
              <w:t>1,400</w:t>
            </w:r>
          </w:p>
        </w:tc>
        <w:tc>
          <w:tcPr>
            <w:tcW w:w="1559" w:type="dxa"/>
            <w:vMerge/>
            <w:vAlign w:val="center"/>
          </w:tcPr>
          <w:p w14:paraId="09C7F06C" w14:textId="11043783" w:rsidR="004417CC" w:rsidRPr="00EA2B2D" w:rsidRDefault="004417CC">
            <w:pPr>
              <w:jc w:val="center"/>
              <w:rPr>
                <w:sz w:val="20"/>
                <w:szCs w:val="20"/>
              </w:rPr>
            </w:pPr>
          </w:p>
        </w:tc>
        <w:tc>
          <w:tcPr>
            <w:tcW w:w="1559" w:type="dxa"/>
            <w:vMerge/>
          </w:tcPr>
          <w:p w14:paraId="698F2629" w14:textId="77777777" w:rsidR="004417CC" w:rsidRPr="00EA2B2D" w:rsidRDefault="004417CC">
            <w:pPr>
              <w:jc w:val="center"/>
              <w:rPr>
                <w:sz w:val="20"/>
                <w:szCs w:val="20"/>
              </w:rPr>
            </w:pPr>
          </w:p>
        </w:tc>
      </w:tr>
      <w:tr w:rsidR="004417CC" w:rsidRPr="00EA2B2D" w14:paraId="242C842C" w14:textId="614337C5" w:rsidTr="004E3401">
        <w:trPr>
          <w:jc w:val="center"/>
        </w:trPr>
        <w:tc>
          <w:tcPr>
            <w:tcW w:w="1129" w:type="dxa"/>
          </w:tcPr>
          <w:p w14:paraId="4ED177A4" w14:textId="0C56DE59" w:rsidR="004417CC" w:rsidRPr="00EA2B2D" w:rsidRDefault="004417CC" w:rsidP="004417CC">
            <w:pPr>
              <w:ind w:left="22"/>
              <w:rPr>
                <w:sz w:val="20"/>
                <w:szCs w:val="20"/>
              </w:rPr>
            </w:pPr>
            <w:r>
              <w:rPr>
                <w:sz w:val="20"/>
                <w:szCs w:val="20"/>
              </w:rPr>
              <w:t xml:space="preserve">   </w:t>
            </w:r>
            <w:r w:rsidRPr="00EA2B2D">
              <w:rPr>
                <w:sz w:val="20"/>
                <w:szCs w:val="20"/>
              </w:rPr>
              <w:t>5 yr</w:t>
            </w:r>
          </w:p>
        </w:tc>
        <w:tc>
          <w:tcPr>
            <w:tcW w:w="1701" w:type="dxa"/>
            <w:vMerge/>
            <w:vAlign w:val="center"/>
          </w:tcPr>
          <w:p w14:paraId="54E7A99D" w14:textId="2779DD64" w:rsidR="004417CC" w:rsidRPr="00EA2B2D" w:rsidRDefault="004417CC">
            <w:pPr>
              <w:jc w:val="center"/>
              <w:rPr>
                <w:sz w:val="20"/>
                <w:szCs w:val="20"/>
              </w:rPr>
            </w:pPr>
          </w:p>
        </w:tc>
        <w:tc>
          <w:tcPr>
            <w:tcW w:w="1560" w:type="dxa"/>
            <w:vMerge/>
            <w:vAlign w:val="center"/>
          </w:tcPr>
          <w:p w14:paraId="2A4A6623" w14:textId="77777777" w:rsidR="004417CC" w:rsidRPr="00EA2B2D" w:rsidRDefault="004417CC">
            <w:pPr>
              <w:jc w:val="center"/>
              <w:rPr>
                <w:sz w:val="20"/>
                <w:szCs w:val="20"/>
              </w:rPr>
            </w:pPr>
          </w:p>
        </w:tc>
        <w:tc>
          <w:tcPr>
            <w:tcW w:w="1417" w:type="dxa"/>
            <w:vMerge/>
            <w:vAlign w:val="center"/>
          </w:tcPr>
          <w:p w14:paraId="033D20F0" w14:textId="77777777" w:rsidR="004417CC" w:rsidRPr="00EA2B2D" w:rsidRDefault="004417CC">
            <w:pPr>
              <w:jc w:val="center"/>
              <w:rPr>
                <w:sz w:val="20"/>
                <w:szCs w:val="20"/>
              </w:rPr>
            </w:pPr>
          </w:p>
        </w:tc>
        <w:tc>
          <w:tcPr>
            <w:tcW w:w="1843" w:type="dxa"/>
            <w:vMerge/>
            <w:vAlign w:val="center"/>
          </w:tcPr>
          <w:p w14:paraId="5B2550F5" w14:textId="77777777" w:rsidR="004417CC" w:rsidRPr="00EA2B2D" w:rsidRDefault="004417CC">
            <w:pPr>
              <w:jc w:val="center"/>
              <w:rPr>
                <w:sz w:val="20"/>
                <w:szCs w:val="20"/>
              </w:rPr>
            </w:pPr>
          </w:p>
        </w:tc>
        <w:tc>
          <w:tcPr>
            <w:tcW w:w="1559" w:type="dxa"/>
            <w:vMerge/>
            <w:vAlign w:val="center"/>
          </w:tcPr>
          <w:p w14:paraId="419FA292" w14:textId="77777777" w:rsidR="004417CC" w:rsidRPr="00EA2B2D" w:rsidRDefault="004417CC">
            <w:pPr>
              <w:jc w:val="center"/>
              <w:rPr>
                <w:sz w:val="20"/>
                <w:szCs w:val="20"/>
              </w:rPr>
            </w:pPr>
          </w:p>
        </w:tc>
        <w:tc>
          <w:tcPr>
            <w:tcW w:w="1559" w:type="dxa"/>
            <w:vMerge/>
          </w:tcPr>
          <w:p w14:paraId="6ABF5828" w14:textId="77777777" w:rsidR="004417CC" w:rsidRPr="00EA2B2D" w:rsidRDefault="004417CC">
            <w:pPr>
              <w:jc w:val="center"/>
              <w:rPr>
                <w:sz w:val="20"/>
                <w:szCs w:val="20"/>
              </w:rPr>
            </w:pPr>
          </w:p>
        </w:tc>
      </w:tr>
      <w:tr w:rsidR="004417CC" w:rsidRPr="00EA2B2D" w14:paraId="3E88D0BA" w14:textId="6B51D98C" w:rsidTr="002C4F0C">
        <w:trPr>
          <w:jc w:val="center"/>
        </w:trPr>
        <w:tc>
          <w:tcPr>
            <w:tcW w:w="1129" w:type="dxa"/>
          </w:tcPr>
          <w:p w14:paraId="104850EB" w14:textId="37F072A6" w:rsidR="004417CC" w:rsidRPr="00EA2B2D" w:rsidRDefault="004417CC" w:rsidP="004417CC">
            <w:pPr>
              <w:ind w:left="22"/>
              <w:rPr>
                <w:sz w:val="20"/>
                <w:szCs w:val="20"/>
              </w:rPr>
            </w:pPr>
            <w:r>
              <w:rPr>
                <w:sz w:val="20"/>
                <w:szCs w:val="20"/>
              </w:rPr>
              <w:t xml:space="preserve">   </w:t>
            </w:r>
            <w:r w:rsidRPr="00EA2B2D">
              <w:rPr>
                <w:sz w:val="20"/>
                <w:szCs w:val="20"/>
              </w:rPr>
              <w:t>6 yr</w:t>
            </w:r>
          </w:p>
        </w:tc>
        <w:tc>
          <w:tcPr>
            <w:tcW w:w="1701" w:type="dxa"/>
            <w:vMerge/>
            <w:vAlign w:val="center"/>
          </w:tcPr>
          <w:p w14:paraId="41550EC7" w14:textId="0D139E0C" w:rsidR="004417CC" w:rsidRPr="00EA2B2D" w:rsidRDefault="004417CC">
            <w:pPr>
              <w:jc w:val="center"/>
              <w:rPr>
                <w:sz w:val="20"/>
                <w:szCs w:val="20"/>
              </w:rPr>
            </w:pPr>
          </w:p>
        </w:tc>
        <w:tc>
          <w:tcPr>
            <w:tcW w:w="1560" w:type="dxa"/>
            <w:vMerge/>
            <w:vAlign w:val="center"/>
          </w:tcPr>
          <w:p w14:paraId="58D0BD2B" w14:textId="77777777" w:rsidR="004417CC" w:rsidRPr="00EA2B2D" w:rsidRDefault="004417CC">
            <w:pPr>
              <w:jc w:val="center"/>
              <w:rPr>
                <w:sz w:val="20"/>
                <w:szCs w:val="20"/>
              </w:rPr>
            </w:pPr>
          </w:p>
        </w:tc>
        <w:tc>
          <w:tcPr>
            <w:tcW w:w="1417" w:type="dxa"/>
            <w:vMerge/>
            <w:vAlign w:val="center"/>
          </w:tcPr>
          <w:p w14:paraId="5AF5FFD9" w14:textId="77777777" w:rsidR="004417CC" w:rsidRPr="00EA2B2D" w:rsidRDefault="004417CC">
            <w:pPr>
              <w:jc w:val="center"/>
              <w:rPr>
                <w:sz w:val="20"/>
                <w:szCs w:val="20"/>
              </w:rPr>
            </w:pPr>
          </w:p>
        </w:tc>
        <w:tc>
          <w:tcPr>
            <w:tcW w:w="1843" w:type="dxa"/>
            <w:vMerge/>
            <w:vAlign w:val="center"/>
          </w:tcPr>
          <w:p w14:paraId="2A6510E2" w14:textId="77777777" w:rsidR="004417CC" w:rsidRPr="00EA2B2D" w:rsidRDefault="004417CC">
            <w:pPr>
              <w:jc w:val="center"/>
              <w:rPr>
                <w:sz w:val="20"/>
                <w:szCs w:val="20"/>
              </w:rPr>
            </w:pPr>
          </w:p>
        </w:tc>
        <w:tc>
          <w:tcPr>
            <w:tcW w:w="1559" w:type="dxa"/>
            <w:vMerge/>
            <w:vAlign w:val="center"/>
          </w:tcPr>
          <w:p w14:paraId="02457AE8" w14:textId="77777777" w:rsidR="004417CC" w:rsidRPr="00EA2B2D" w:rsidRDefault="004417CC">
            <w:pPr>
              <w:jc w:val="center"/>
              <w:rPr>
                <w:sz w:val="20"/>
                <w:szCs w:val="20"/>
              </w:rPr>
            </w:pPr>
          </w:p>
        </w:tc>
        <w:tc>
          <w:tcPr>
            <w:tcW w:w="1559" w:type="dxa"/>
            <w:vMerge/>
          </w:tcPr>
          <w:p w14:paraId="3E13B8AF" w14:textId="77777777" w:rsidR="004417CC" w:rsidRPr="00EA2B2D" w:rsidRDefault="004417CC">
            <w:pPr>
              <w:jc w:val="center"/>
              <w:rPr>
                <w:sz w:val="20"/>
                <w:szCs w:val="20"/>
              </w:rPr>
            </w:pPr>
          </w:p>
        </w:tc>
      </w:tr>
      <w:tr w:rsidR="004417CC" w:rsidRPr="00EA2B2D" w14:paraId="282FB003" w14:textId="2D91768B" w:rsidTr="00E96BB4">
        <w:trPr>
          <w:jc w:val="center"/>
        </w:trPr>
        <w:tc>
          <w:tcPr>
            <w:tcW w:w="1129" w:type="dxa"/>
          </w:tcPr>
          <w:p w14:paraId="4D81BF07" w14:textId="3028038C" w:rsidR="004417CC" w:rsidRPr="00EA2B2D" w:rsidRDefault="004417CC" w:rsidP="004417CC">
            <w:pPr>
              <w:ind w:left="22"/>
              <w:rPr>
                <w:sz w:val="20"/>
                <w:szCs w:val="20"/>
              </w:rPr>
            </w:pPr>
            <w:r>
              <w:rPr>
                <w:sz w:val="20"/>
                <w:szCs w:val="20"/>
              </w:rPr>
              <w:t xml:space="preserve">   </w:t>
            </w:r>
            <w:r w:rsidRPr="00EA2B2D">
              <w:rPr>
                <w:sz w:val="20"/>
                <w:szCs w:val="20"/>
              </w:rPr>
              <w:t>7 yr</w:t>
            </w:r>
          </w:p>
        </w:tc>
        <w:tc>
          <w:tcPr>
            <w:tcW w:w="1701" w:type="dxa"/>
            <w:vMerge/>
            <w:vAlign w:val="center"/>
          </w:tcPr>
          <w:p w14:paraId="058A578C" w14:textId="4A427EDB" w:rsidR="004417CC" w:rsidRPr="00EA2B2D" w:rsidRDefault="004417CC">
            <w:pPr>
              <w:jc w:val="center"/>
              <w:rPr>
                <w:sz w:val="20"/>
                <w:szCs w:val="20"/>
              </w:rPr>
            </w:pPr>
          </w:p>
        </w:tc>
        <w:tc>
          <w:tcPr>
            <w:tcW w:w="1560" w:type="dxa"/>
            <w:vMerge/>
            <w:vAlign w:val="center"/>
          </w:tcPr>
          <w:p w14:paraId="5BAFB227" w14:textId="77777777" w:rsidR="004417CC" w:rsidRPr="00EA2B2D" w:rsidRDefault="004417CC">
            <w:pPr>
              <w:jc w:val="center"/>
              <w:rPr>
                <w:sz w:val="20"/>
                <w:szCs w:val="20"/>
              </w:rPr>
            </w:pPr>
          </w:p>
        </w:tc>
        <w:tc>
          <w:tcPr>
            <w:tcW w:w="1417" w:type="dxa"/>
            <w:vMerge w:val="restart"/>
            <w:vAlign w:val="center"/>
          </w:tcPr>
          <w:p w14:paraId="7E5270D5" w14:textId="77777777" w:rsidR="004417CC" w:rsidRPr="00EA2B2D" w:rsidRDefault="004417CC">
            <w:pPr>
              <w:jc w:val="center"/>
              <w:rPr>
                <w:sz w:val="20"/>
                <w:szCs w:val="20"/>
              </w:rPr>
            </w:pPr>
            <w:r w:rsidRPr="00EA2B2D">
              <w:rPr>
                <w:sz w:val="20"/>
                <w:szCs w:val="20"/>
              </w:rPr>
              <w:t>1,700</w:t>
            </w:r>
          </w:p>
        </w:tc>
        <w:tc>
          <w:tcPr>
            <w:tcW w:w="1843" w:type="dxa"/>
            <w:vMerge w:val="restart"/>
            <w:vAlign w:val="center"/>
          </w:tcPr>
          <w:p w14:paraId="3BBFA672" w14:textId="49890F8D" w:rsidR="004417CC" w:rsidRPr="00EA2B2D" w:rsidRDefault="004417CC">
            <w:pPr>
              <w:jc w:val="center"/>
              <w:rPr>
                <w:sz w:val="20"/>
                <w:szCs w:val="20"/>
              </w:rPr>
            </w:pPr>
            <w:r w:rsidRPr="00EA2B2D">
              <w:rPr>
                <w:sz w:val="20"/>
                <w:szCs w:val="20"/>
              </w:rPr>
              <w:t>1,700</w:t>
            </w:r>
          </w:p>
        </w:tc>
        <w:tc>
          <w:tcPr>
            <w:tcW w:w="1559" w:type="dxa"/>
            <w:vMerge/>
            <w:vAlign w:val="center"/>
          </w:tcPr>
          <w:p w14:paraId="4261420C" w14:textId="69D24B1E" w:rsidR="004417CC" w:rsidRPr="00EA2B2D" w:rsidRDefault="004417CC">
            <w:pPr>
              <w:jc w:val="center"/>
              <w:rPr>
                <w:sz w:val="20"/>
                <w:szCs w:val="20"/>
              </w:rPr>
            </w:pPr>
          </w:p>
        </w:tc>
        <w:tc>
          <w:tcPr>
            <w:tcW w:w="1559" w:type="dxa"/>
            <w:vMerge/>
          </w:tcPr>
          <w:p w14:paraId="407D70D6" w14:textId="77777777" w:rsidR="004417CC" w:rsidRPr="00EA2B2D" w:rsidRDefault="004417CC">
            <w:pPr>
              <w:jc w:val="center"/>
              <w:rPr>
                <w:sz w:val="20"/>
                <w:szCs w:val="20"/>
              </w:rPr>
            </w:pPr>
          </w:p>
        </w:tc>
      </w:tr>
      <w:tr w:rsidR="004417CC" w:rsidRPr="00EA2B2D" w14:paraId="586BC871" w14:textId="26BF2EDE" w:rsidTr="00040DA7">
        <w:trPr>
          <w:jc w:val="center"/>
        </w:trPr>
        <w:tc>
          <w:tcPr>
            <w:tcW w:w="1129" w:type="dxa"/>
          </w:tcPr>
          <w:p w14:paraId="759542D8" w14:textId="2B45D406" w:rsidR="004417CC" w:rsidRPr="00EA2B2D" w:rsidRDefault="004417CC" w:rsidP="004417CC">
            <w:pPr>
              <w:ind w:left="22"/>
              <w:rPr>
                <w:sz w:val="20"/>
                <w:szCs w:val="20"/>
              </w:rPr>
            </w:pPr>
            <w:r>
              <w:rPr>
                <w:sz w:val="20"/>
                <w:szCs w:val="20"/>
              </w:rPr>
              <w:t xml:space="preserve">   </w:t>
            </w:r>
            <w:r w:rsidRPr="00EA2B2D">
              <w:rPr>
                <w:sz w:val="20"/>
                <w:szCs w:val="20"/>
              </w:rPr>
              <w:t>8 yr</w:t>
            </w:r>
          </w:p>
        </w:tc>
        <w:tc>
          <w:tcPr>
            <w:tcW w:w="1701" w:type="dxa"/>
            <w:vMerge/>
            <w:vAlign w:val="center"/>
          </w:tcPr>
          <w:p w14:paraId="7A324F60" w14:textId="7BF4E282" w:rsidR="004417CC" w:rsidRPr="00EA2B2D" w:rsidRDefault="004417CC">
            <w:pPr>
              <w:jc w:val="center"/>
              <w:rPr>
                <w:sz w:val="20"/>
                <w:szCs w:val="20"/>
              </w:rPr>
            </w:pPr>
          </w:p>
        </w:tc>
        <w:tc>
          <w:tcPr>
            <w:tcW w:w="1560" w:type="dxa"/>
            <w:vMerge/>
            <w:vAlign w:val="center"/>
          </w:tcPr>
          <w:p w14:paraId="0D0EBD6D" w14:textId="77777777" w:rsidR="004417CC" w:rsidRPr="00EA2B2D" w:rsidRDefault="004417CC">
            <w:pPr>
              <w:jc w:val="center"/>
              <w:rPr>
                <w:sz w:val="20"/>
                <w:szCs w:val="20"/>
              </w:rPr>
            </w:pPr>
          </w:p>
        </w:tc>
        <w:tc>
          <w:tcPr>
            <w:tcW w:w="1417" w:type="dxa"/>
            <w:vMerge/>
            <w:vAlign w:val="center"/>
          </w:tcPr>
          <w:p w14:paraId="0985C7A8" w14:textId="77777777" w:rsidR="004417CC" w:rsidRPr="00EA2B2D" w:rsidRDefault="004417CC">
            <w:pPr>
              <w:jc w:val="center"/>
              <w:rPr>
                <w:sz w:val="20"/>
                <w:szCs w:val="20"/>
              </w:rPr>
            </w:pPr>
          </w:p>
        </w:tc>
        <w:tc>
          <w:tcPr>
            <w:tcW w:w="1843" w:type="dxa"/>
            <w:vMerge/>
            <w:vAlign w:val="center"/>
          </w:tcPr>
          <w:p w14:paraId="6C492F53" w14:textId="77777777" w:rsidR="004417CC" w:rsidRPr="00EA2B2D" w:rsidRDefault="004417CC">
            <w:pPr>
              <w:jc w:val="center"/>
              <w:rPr>
                <w:sz w:val="20"/>
                <w:szCs w:val="20"/>
              </w:rPr>
            </w:pPr>
          </w:p>
        </w:tc>
        <w:tc>
          <w:tcPr>
            <w:tcW w:w="1559" w:type="dxa"/>
            <w:vMerge/>
            <w:vAlign w:val="center"/>
          </w:tcPr>
          <w:p w14:paraId="4EA9854D" w14:textId="77777777" w:rsidR="004417CC" w:rsidRPr="00EA2B2D" w:rsidRDefault="004417CC">
            <w:pPr>
              <w:jc w:val="center"/>
              <w:rPr>
                <w:sz w:val="20"/>
                <w:szCs w:val="20"/>
              </w:rPr>
            </w:pPr>
          </w:p>
        </w:tc>
        <w:tc>
          <w:tcPr>
            <w:tcW w:w="1559" w:type="dxa"/>
            <w:vMerge/>
          </w:tcPr>
          <w:p w14:paraId="0F75BA91" w14:textId="77777777" w:rsidR="004417CC" w:rsidRPr="00EA2B2D" w:rsidRDefault="004417CC">
            <w:pPr>
              <w:jc w:val="center"/>
              <w:rPr>
                <w:sz w:val="20"/>
                <w:szCs w:val="20"/>
              </w:rPr>
            </w:pPr>
          </w:p>
        </w:tc>
      </w:tr>
      <w:tr w:rsidR="004417CC" w:rsidRPr="00EA2B2D" w14:paraId="31FA228A" w14:textId="3B5EA3E3" w:rsidTr="00F04C8C">
        <w:trPr>
          <w:jc w:val="center"/>
        </w:trPr>
        <w:tc>
          <w:tcPr>
            <w:tcW w:w="1129" w:type="dxa"/>
          </w:tcPr>
          <w:p w14:paraId="1A23738B" w14:textId="78958C7B" w:rsidR="004417CC" w:rsidRPr="00EA2B2D" w:rsidRDefault="004417CC" w:rsidP="004417CC">
            <w:pPr>
              <w:ind w:left="22"/>
              <w:rPr>
                <w:sz w:val="20"/>
                <w:szCs w:val="20"/>
              </w:rPr>
            </w:pPr>
            <w:r>
              <w:rPr>
                <w:sz w:val="20"/>
                <w:szCs w:val="20"/>
              </w:rPr>
              <w:t xml:space="preserve">   </w:t>
            </w:r>
            <w:r w:rsidRPr="00EA2B2D">
              <w:rPr>
                <w:sz w:val="20"/>
                <w:szCs w:val="20"/>
              </w:rPr>
              <w:t>9 yr</w:t>
            </w:r>
          </w:p>
        </w:tc>
        <w:tc>
          <w:tcPr>
            <w:tcW w:w="1701" w:type="dxa"/>
            <w:vMerge/>
            <w:vAlign w:val="center"/>
          </w:tcPr>
          <w:p w14:paraId="5D1458C9" w14:textId="33D386E5" w:rsidR="004417CC" w:rsidRPr="00EA2B2D" w:rsidRDefault="004417CC">
            <w:pPr>
              <w:jc w:val="center"/>
              <w:rPr>
                <w:sz w:val="20"/>
                <w:szCs w:val="20"/>
              </w:rPr>
            </w:pPr>
          </w:p>
        </w:tc>
        <w:tc>
          <w:tcPr>
            <w:tcW w:w="1560" w:type="dxa"/>
            <w:vMerge w:val="restart"/>
            <w:vAlign w:val="center"/>
          </w:tcPr>
          <w:p w14:paraId="1FE3930F" w14:textId="5660974B" w:rsidR="004417CC" w:rsidRPr="00EA2B2D" w:rsidRDefault="004417CC">
            <w:pPr>
              <w:jc w:val="center"/>
              <w:rPr>
                <w:sz w:val="20"/>
                <w:szCs w:val="20"/>
              </w:rPr>
            </w:pPr>
            <w:r w:rsidRPr="00EA2B2D">
              <w:rPr>
                <w:sz w:val="20"/>
                <w:szCs w:val="20"/>
              </w:rPr>
              <w:t>1,800</w:t>
            </w:r>
          </w:p>
        </w:tc>
        <w:tc>
          <w:tcPr>
            <w:tcW w:w="1417" w:type="dxa"/>
            <w:vMerge/>
            <w:vAlign w:val="center"/>
          </w:tcPr>
          <w:p w14:paraId="788D5906" w14:textId="77777777" w:rsidR="004417CC" w:rsidRPr="00EA2B2D" w:rsidRDefault="004417CC">
            <w:pPr>
              <w:jc w:val="center"/>
              <w:rPr>
                <w:sz w:val="20"/>
                <w:szCs w:val="20"/>
              </w:rPr>
            </w:pPr>
          </w:p>
        </w:tc>
        <w:tc>
          <w:tcPr>
            <w:tcW w:w="1843" w:type="dxa"/>
            <w:vMerge/>
            <w:vAlign w:val="center"/>
          </w:tcPr>
          <w:p w14:paraId="619D2C52" w14:textId="77777777" w:rsidR="004417CC" w:rsidRPr="00EA2B2D" w:rsidRDefault="004417CC">
            <w:pPr>
              <w:jc w:val="center"/>
              <w:rPr>
                <w:sz w:val="20"/>
                <w:szCs w:val="20"/>
              </w:rPr>
            </w:pPr>
          </w:p>
        </w:tc>
        <w:tc>
          <w:tcPr>
            <w:tcW w:w="1559" w:type="dxa"/>
            <w:vMerge/>
            <w:vAlign w:val="center"/>
          </w:tcPr>
          <w:p w14:paraId="65BA2A6A" w14:textId="77777777" w:rsidR="004417CC" w:rsidRPr="00EA2B2D" w:rsidRDefault="004417CC">
            <w:pPr>
              <w:jc w:val="center"/>
              <w:rPr>
                <w:sz w:val="20"/>
                <w:szCs w:val="20"/>
              </w:rPr>
            </w:pPr>
          </w:p>
        </w:tc>
        <w:tc>
          <w:tcPr>
            <w:tcW w:w="1559" w:type="dxa"/>
            <w:vMerge/>
          </w:tcPr>
          <w:p w14:paraId="38C1FE14" w14:textId="77777777" w:rsidR="004417CC" w:rsidRPr="00EA2B2D" w:rsidRDefault="004417CC">
            <w:pPr>
              <w:jc w:val="center"/>
              <w:rPr>
                <w:sz w:val="20"/>
                <w:szCs w:val="20"/>
              </w:rPr>
            </w:pPr>
          </w:p>
        </w:tc>
      </w:tr>
      <w:tr w:rsidR="004417CC" w:rsidRPr="00EA2B2D" w14:paraId="2D7D07A1" w14:textId="4B7D7744" w:rsidTr="00FC4515">
        <w:trPr>
          <w:jc w:val="center"/>
        </w:trPr>
        <w:tc>
          <w:tcPr>
            <w:tcW w:w="1129" w:type="dxa"/>
          </w:tcPr>
          <w:p w14:paraId="3425BEF2" w14:textId="67D9D454" w:rsidR="004417CC" w:rsidRPr="00EA2B2D" w:rsidRDefault="004417CC" w:rsidP="004417CC">
            <w:pPr>
              <w:ind w:left="22"/>
              <w:rPr>
                <w:sz w:val="20"/>
                <w:szCs w:val="20"/>
              </w:rPr>
            </w:pPr>
            <w:r>
              <w:rPr>
                <w:sz w:val="20"/>
                <w:szCs w:val="20"/>
              </w:rPr>
              <w:t xml:space="preserve">   </w:t>
            </w:r>
            <w:r w:rsidRPr="00EA2B2D">
              <w:rPr>
                <w:sz w:val="20"/>
                <w:szCs w:val="20"/>
              </w:rPr>
              <w:t>10 yr</w:t>
            </w:r>
          </w:p>
        </w:tc>
        <w:tc>
          <w:tcPr>
            <w:tcW w:w="1701" w:type="dxa"/>
            <w:vMerge/>
            <w:vAlign w:val="center"/>
          </w:tcPr>
          <w:p w14:paraId="271B0D47" w14:textId="57B6E07F" w:rsidR="004417CC" w:rsidRPr="00EA2B2D" w:rsidRDefault="004417CC">
            <w:pPr>
              <w:jc w:val="center"/>
              <w:rPr>
                <w:sz w:val="20"/>
                <w:szCs w:val="20"/>
              </w:rPr>
            </w:pPr>
          </w:p>
        </w:tc>
        <w:tc>
          <w:tcPr>
            <w:tcW w:w="1560" w:type="dxa"/>
            <w:vMerge/>
            <w:vAlign w:val="center"/>
          </w:tcPr>
          <w:p w14:paraId="4B040536" w14:textId="77777777" w:rsidR="004417CC" w:rsidRPr="00EA2B2D" w:rsidRDefault="004417CC">
            <w:pPr>
              <w:jc w:val="center"/>
              <w:rPr>
                <w:sz w:val="20"/>
                <w:szCs w:val="20"/>
              </w:rPr>
            </w:pPr>
          </w:p>
        </w:tc>
        <w:tc>
          <w:tcPr>
            <w:tcW w:w="1417" w:type="dxa"/>
            <w:vMerge/>
            <w:vAlign w:val="center"/>
          </w:tcPr>
          <w:p w14:paraId="7448B989" w14:textId="77777777" w:rsidR="004417CC" w:rsidRPr="00EA2B2D" w:rsidRDefault="004417CC">
            <w:pPr>
              <w:jc w:val="center"/>
              <w:rPr>
                <w:sz w:val="20"/>
                <w:szCs w:val="20"/>
              </w:rPr>
            </w:pPr>
          </w:p>
        </w:tc>
        <w:tc>
          <w:tcPr>
            <w:tcW w:w="1843" w:type="dxa"/>
            <w:vMerge/>
            <w:vAlign w:val="center"/>
          </w:tcPr>
          <w:p w14:paraId="2502C391" w14:textId="77777777" w:rsidR="004417CC" w:rsidRPr="00EA2B2D" w:rsidRDefault="004417CC">
            <w:pPr>
              <w:jc w:val="center"/>
              <w:rPr>
                <w:sz w:val="20"/>
                <w:szCs w:val="20"/>
              </w:rPr>
            </w:pPr>
          </w:p>
        </w:tc>
        <w:tc>
          <w:tcPr>
            <w:tcW w:w="1559" w:type="dxa"/>
            <w:vMerge/>
            <w:vAlign w:val="center"/>
          </w:tcPr>
          <w:p w14:paraId="761562D2" w14:textId="4398B662" w:rsidR="004417CC" w:rsidRPr="00EA2B2D" w:rsidRDefault="004417CC">
            <w:pPr>
              <w:jc w:val="center"/>
              <w:rPr>
                <w:sz w:val="20"/>
                <w:szCs w:val="20"/>
              </w:rPr>
            </w:pPr>
          </w:p>
        </w:tc>
        <w:tc>
          <w:tcPr>
            <w:tcW w:w="1559" w:type="dxa"/>
            <w:vMerge/>
          </w:tcPr>
          <w:p w14:paraId="275548FE" w14:textId="77777777" w:rsidR="004417CC" w:rsidRPr="00EA2B2D" w:rsidRDefault="004417CC">
            <w:pPr>
              <w:jc w:val="center"/>
              <w:rPr>
                <w:sz w:val="20"/>
                <w:szCs w:val="20"/>
              </w:rPr>
            </w:pPr>
          </w:p>
        </w:tc>
      </w:tr>
      <w:tr w:rsidR="004417CC" w:rsidRPr="00EA2B2D" w14:paraId="1CDCFAA5" w14:textId="267398A5" w:rsidTr="0082422D">
        <w:trPr>
          <w:jc w:val="center"/>
        </w:trPr>
        <w:tc>
          <w:tcPr>
            <w:tcW w:w="1129" w:type="dxa"/>
          </w:tcPr>
          <w:p w14:paraId="2FD4DD66" w14:textId="3175E37C" w:rsidR="004417CC" w:rsidRPr="00EA2B2D" w:rsidRDefault="004417CC" w:rsidP="004417CC">
            <w:pPr>
              <w:ind w:left="22"/>
              <w:rPr>
                <w:sz w:val="20"/>
                <w:szCs w:val="20"/>
              </w:rPr>
            </w:pPr>
            <w:r>
              <w:rPr>
                <w:sz w:val="20"/>
                <w:szCs w:val="20"/>
              </w:rPr>
              <w:t xml:space="preserve">   </w:t>
            </w:r>
            <w:r w:rsidRPr="00EA2B2D">
              <w:rPr>
                <w:sz w:val="20"/>
                <w:szCs w:val="20"/>
              </w:rPr>
              <w:t>11 yr</w:t>
            </w:r>
          </w:p>
        </w:tc>
        <w:tc>
          <w:tcPr>
            <w:tcW w:w="1701" w:type="dxa"/>
            <w:vMerge/>
            <w:vAlign w:val="center"/>
          </w:tcPr>
          <w:p w14:paraId="143E6E72" w14:textId="09D2E626" w:rsidR="004417CC" w:rsidRPr="00EA2B2D" w:rsidRDefault="004417CC">
            <w:pPr>
              <w:jc w:val="center"/>
              <w:rPr>
                <w:sz w:val="20"/>
                <w:szCs w:val="20"/>
              </w:rPr>
            </w:pPr>
          </w:p>
        </w:tc>
        <w:tc>
          <w:tcPr>
            <w:tcW w:w="1560" w:type="dxa"/>
            <w:vMerge/>
            <w:vAlign w:val="center"/>
          </w:tcPr>
          <w:p w14:paraId="6EB464F4" w14:textId="77777777" w:rsidR="004417CC" w:rsidRPr="00EA2B2D" w:rsidRDefault="004417CC">
            <w:pPr>
              <w:jc w:val="center"/>
              <w:rPr>
                <w:sz w:val="20"/>
                <w:szCs w:val="20"/>
              </w:rPr>
            </w:pPr>
          </w:p>
        </w:tc>
        <w:tc>
          <w:tcPr>
            <w:tcW w:w="1417" w:type="dxa"/>
            <w:vMerge w:val="restart"/>
            <w:vAlign w:val="center"/>
          </w:tcPr>
          <w:p w14:paraId="1991E5F8" w14:textId="77777777" w:rsidR="004417CC" w:rsidRPr="00EA2B2D" w:rsidRDefault="004417CC">
            <w:pPr>
              <w:jc w:val="center"/>
              <w:rPr>
                <w:sz w:val="20"/>
                <w:szCs w:val="20"/>
              </w:rPr>
            </w:pPr>
            <w:r w:rsidRPr="00EA2B2D">
              <w:rPr>
                <w:sz w:val="20"/>
                <w:szCs w:val="20"/>
              </w:rPr>
              <w:t>2,000</w:t>
            </w:r>
          </w:p>
        </w:tc>
        <w:tc>
          <w:tcPr>
            <w:tcW w:w="1843" w:type="dxa"/>
            <w:vMerge w:val="restart"/>
            <w:vAlign w:val="center"/>
          </w:tcPr>
          <w:p w14:paraId="0D30225B" w14:textId="6DE71D9A" w:rsidR="004417CC" w:rsidRPr="00EA2B2D" w:rsidRDefault="004417CC">
            <w:pPr>
              <w:jc w:val="center"/>
              <w:rPr>
                <w:sz w:val="20"/>
                <w:szCs w:val="20"/>
              </w:rPr>
            </w:pPr>
            <w:r w:rsidRPr="00EA2B2D">
              <w:rPr>
                <w:sz w:val="20"/>
                <w:szCs w:val="20"/>
              </w:rPr>
              <w:t>2,300</w:t>
            </w:r>
          </w:p>
        </w:tc>
        <w:tc>
          <w:tcPr>
            <w:tcW w:w="1559" w:type="dxa"/>
            <w:vMerge/>
            <w:vAlign w:val="center"/>
          </w:tcPr>
          <w:p w14:paraId="0AA2A693" w14:textId="77777777" w:rsidR="004417CC" w:rsidRPr="00EA2B2D" w:rsidRDefault="004417CC">
            <w:pPr>
              <w:jc w:val="center"/>
              <w:rPr>
                <w:sz w:val="20"/>
                <w:szCs w:val="20"/>
              </w:rPr>
            </w:pPr>
          </w:p>
        </w:tc>
        <w:tc>
          <w:tcPr>
            <w:tcW w:w="1559" w:type="dxa"/>
            <w:vMerge/>
          </w:tcPr>
          <w:p w14:paraId="3BB3B527" w14:textId="77777777" w:rsidR="004417CC" w:rsidRPr="00EA2B2D" w:rsidRDefault="004417CC">
            <w:pPr>
              <w:jc w:val="center"/>
              <w:rPr>
                <w:sz w:val="20"/>
                <w:szCs w:val="20"/>
              </w:rPr>
            </w:pPr>
          </w:p>
        </w:tc>
      </w:tr>
      <w:tr w:rsidR="004417CC" w:rsidRPr="00EA2B2D" w14:paraId="02D6A725" w14:textId="69B5D958" w:rsidTr="00E819D4">
        <w:trPr>
          <w:jc w:val="center"/>
        </w:trPr>
        <w:tc>
          <w:tcPr>
            <w:tcW w:w="1129" w:type="dxa"/>
          </w:tcPr>
          <w:p w14:paraId="5B8B0B4E" w14:textId="0CDBED06" w:rsidR="004417CC" w:rsidRPr="00EA2B2D" w:rsidRDefault="004417CC" w:rsidP="004417CC">
            <w:pPr>
              <w:ind w:left="22"/>
              <w:rPr>
                <w:sz w:val="20"/>
                <w:szCs w:val="20"/>
              </w:rPr>
            </w:pPr>
            <w:r>
              <w:rPr>
                <w:sz w:val="20"/>
                <w:szCs w:val="20"/>
              </w:rPr>
              <w:t xml:space="preserve">   </w:t>
            </w:r>
            <w:r w:rsidRPr="00EA2B2D">
              <w:rPr>
                <w:sz w:val="20"/>
                <w:szCs w:val="20"/>
              </w:rPr>
              <w:t>12 yr</w:t>
            </w:r>
          </w:p>
        </w:tc>
        <w:tc>
          <w:tcPr>
            <w:tcW w:w="1701" w:type="dxa"/>
            <w:vMerge/>
            <w:vAlign w:val="center"/>
          </w:tcPr>
          <w:p w14:paraId="003DA979" w14:textId="65E42F3A" w:rsidR="004417CC" w:rsidRPr="00EA2B2D" w:rsidRDefault="004417CC">
            <w:pPr>
              <w:jc w:val="center"/>
              <w:rPr>
                <w:sz w:val="20"/>
                <w:szCs w:val="20"/>
              </w:rPr>
            </w:pPr>
          </w:p>
        </w:tc>
        <w:tc>
          <w:tcPr>
            <w:tcW w:w="1560" w:type="dxa"/>
            <w:vMerge/>
            <w:vAlign w:val="center"/>
          </w:tcPr>
          <w:p w14:paraId="568AC115" w14:textId="77777777" w:rsidR="004417CC" w:rsidRPr="00EA2B2D" w:rsidRDefault="004417CC">
            <w:pPr>
              <w:jc w:val="center"/>
              <w:rPr>
                <w:sz w:val="20"/>
                <w:szCs w:val="20"/>
              </w:rPr>
            </w:pPr>
          </w:p>
        </w:tc>
        <w:tc>
          <w:tcPr>
            <w:tcW w:w="1417" w:type="dxa"/>
            <w:vMerge/>
            <w:vAlign w:val="center"/>
          </w:tcPr>
          <w:p w14:paraId="241E2742" w14:textId="77777777" w:rsidR="004417CC" w:rsidRPr="00EA2B2D" w:rsidRDefault="004417CC">
            <w:pPr>
              <w:jc w:val="center"/>
              <w:rPr>
                <w:sz w:val="20"/>
                <w:szCs w:val="20"/>
              </w:rPr>
            </w:pPr>
          </w:p>
        </w:tc>
        <w:tc>
          <w:tcPr>
            <w:tcW w:w="1843" w:type="dxa"/>
            <w:vMerge/>
            <w:vAlign w:val="center"/>
          </w:tcPr>
          <w:p w14:paraId="33D4E6A5" w14:textId="77777777" w:rsidR="004417CC" w:rsidRPr="00EA2B2D" w:rsidRDefault="004417CC">
            <w:pPr>
              <w:jc w:val="center"/>
              <w:rPr>
                <w:sz w:val="20"/>
                <w:szCs w:val="20"/>
              </w:rPr>
            </w:pPr>
          </w:p>
        </w:tc>
        <w:tc>
          <w:tcPr>
            <w:tcW w:w="1559" w:type="dxa"/>
            <w:vMerge/>
            <w:vAlign w:val="center"/>
          </w:tcPr>
          <w:p w14:paraId="09A10F5A" w14:textId="77777777" w:rsidR="004417CC" w:rsidRPr="00EA2B2D" w:rsidRDefault="004417CC">
            <w:pPr>
              <w:jc w:val="center"/>
              <w:rPr>
                <w:sz w:val="20"/>
                <w:szCs w:val="20"/>
              </w:rPr>
            </w:pPr>
          </w:p>
        </w:tc>
        <w:tc>
          <w:tcPr>
            <w:tcW w:w="1559" w:type="dxa"/>
            <w:vMerge/>
          </w:tcPr>
          <w:p w14:paraId="005FF36B" w14:textId="77777777" w:rsidR="004417CC" w:rsidRPr="00EA2B2D" w:rsidRDefault="004417CC">
            <w:pPr>
              <w:jc w:val="center"/>
              <w:rPr>
                <w:sz w:val="20"/>
                <w:szCs w:val="20"/>
              </w:rPr>
            </w:pPr>
          </w:p>
        </w:tc>
      </w:tr>
      <w:tr w:rsidR="004417CC" w:rsidRPr="00EA2B2D" w14:paraId="7B90E8E8" w14:textId="21B583CB" w:rsidTr="00522F39">
        <w:trPr>
          <w:jc w:val="center"/>
        </w:trPr>
        <w:tc>
          <w:tcPr>
            <w:tcW w:w="1129" w:type="dxa"/>
          </w:tcPr>
          <w:p w14:paraId="753A12A0" w14:textId="1B61331E" w:rsidR="004417CC" w:rsidRPr="00EA2B2D" w:rsidRDefault="004417CC" w:rsidP="004417CC">
            <w:pPr>
              <w:ind w:left="22"/>
              <w:rPr>
                <w:sz w:val="20"/>
                <w:szCs w:val="20"/>
              </w:rPr>
            </w:pPr>
            <w:r>
              <w:rPr>
                <w:sz w:val="20"/>
                <w:szCs w:val="20"/>
              </w:rPr>
              <w:t xml:space="preserve">   </w:t>
            </w:r>
            <w:r w:rsidRPr="00EA2B2D">
              <w:rPr>
                <w:sz w:val="20"/>
                <w:szCs w:val="20"/>
              </w:rPr>
              <w:t>13 yr</w:t>
            </w:r>
          </w:p>
        </w:tc>
        <w:tc>
          <w:tcPr>
            <w:tcW w:w="1701" w:type="dxa"/>
            <w:vMerge/>
            <w:vAlign w:val="center"/>
          </w:tcPr>
          <w:p w14:paraId="4FE97D49" w14:textId="762D86A9" w:rsidR="004417CC" w:rsidRPr="00EA2B2D" w:rsidRDefault="004417CC">
            <w:pPr>
              <w:jc w:val="center"/>
              <w:rPr>
                <w:sz w:val="20"/>
                <w:szCs w:val="20"/>
              </w:rPr>
            </w:pPr>
          </w:p>
        </w:tc>
        <w:tc>
          <w:tcPr>
            <w:tcW w:w="1560" w:type="dxa"/>
            <w:vMerge/>
            <w:vAlign w:val="center"/>
          </w:tcPr>
          <w:p w14:paraId="5BB374F9" w14:textId="77777777" w:rsidR="004417CC" w:rsidRPr="00EA2B2D" w:rsidRDefault="004417CC">
            <w:pPr>
              <w:jc w:val="center"/>
              <w:rPr>
                <w:sz w:val="20"/>
                <w:szCs w:val="20"/>
              </w:rPr>
            </w:pPr>
          </w:p>
        </w:tc>
        <w:tc>
          <w:tcPr>
            <w:tcW w:w="1417" w:type="dxa"/>
            <w:vMerge/>
            <w:vAlign w:val="center"/>
          </w:tcPr>
          <w:p w14:paraId="0E9B6813" w14:textId="77777777" w:rsidR="004417CC" w:rsidRPr="00EA2B2D" w:rsidRDefault="004417CC">
            <w:pPr>
              <w:jc w:val="center"/>
              <w:rPr>
                <w:sz w:val="20"/>
                <w:szCs w:val="20"/>
              </w:rPr>
            </w:pPr>
          </w:p>
        </w:tc>
        <w:tc>
          <w:tcPr>
            <w:tcW w:w="1843" w:type="dxa"/>
            <w:vMerge/>
            <w:vAlign w:val="center"/>
          </w:tcPr>
          <w:p w14:paraId="7AF45ECA" w14:textId="77777777" w:rsidR="004417CC" w:rsidRPr="00EA2B2D" w:rsidRDefault="004417CC">
            <w:pPr>
              <w:jc w:val="center"/>
              <w:rPr>
                <w:sz w:val="20"/>
                <w:szCs w:val="20"/>
              </w:rPr>
            </w:pPr>
          </w:p>
        </w:tc>
        <w:tc>
          <w:tcPr>
            <w:tcW w:w="1559" w:type="dxa"/>
            <w:vMerge/>
            <w:vAlign w:val="center"/>
          </w:tcPr>
          <w:p w14:paraId="0BE56CF0" w14:textId="5499AA70" w:rsidR="004417CC" w:rsidRPr="00EA2B2D" w:rsidRDefault="004417CC">
            <w:pPr>
              <w:jc w:val="center"/>
              <w:rPr>
                <w:sz w:val="20"/>
                <w:szCs w:val="20"/>
              </w:rPr>
            </w:pPr>
          </w:p>
        </w:tc>
        <w:tc>
          <w:tcPr>
            <w:tcW w:w="1559" w:type="dxa"/>
            <w:vMerge/>
          </w:tcPr>
          <w:p w14:paraId="4B8DC056" w14:textId="77777777" w:rsidR="004417CC" w:rsidRPr="00EA2B2D" w:rsidRDefault="004417CC">
            <w:pPr>
              <w:jc w:val="center"/>
              <w:rPr>
                <w:sz w:val="20"/>
                <w:szCs w:val="20"/>
              </w:rPr>
            </w:pPr>
          </w:p>
        </w:tc>
      </w:tr>
      <w:tr w:rsidR="004417CC" w:rsidRPr="00EA2B2D" w14:paraId="76A63D49" w14:textId="20879E17" w:rsidTr="00670C6E">
        <w:trPr>
          <w:jc w:val="center"/>
        </w:trPr>
        <w:tc>
          <w:tcPr>
            <w:tcW w:w="1129" w:type="dxa"/>
          </w:tcPr>
          <w:p w14:paraId="2BFB9312" w14:textId="0D23AAE2" w:rsidR="004417CC" w:rsidRPr="00EA2B2D" w:rsidRDefault="004417CC" w:rsidP="004417CC">
            <w:pPr>
              <w:ind w:left="22"/>
              <w:rPr>
                <w:sz w:val="20"/>
                <w:szCs w:val="20"/>
              </w:rPr>
            </w:pPr>
            <w:r>
              <w:rPr>
                <w:sz w:val="20"/>
                <w:szCs w:val="20"/>
              </w:rPr>
              <w:t xml:space="preserve">   </w:t>
            </w:r>
            <w:r w:rsidRPr="00EA2B2D">
              <w:rPr>
                <w:sz w:val="20"/>
                <w:szCs w:val="20"/>
              </w:rPr>
              <w:t>14 yr</w:t>
            </w:r>
          </w:p>
        </w:tc>
        <w:tc>
          <w:tcPr>
            <w:tcW w:w="1701" w:type="dxa"/>
            <w:vMerge/>
            <w:vAlign w:val="center"/>
          </w:tcPr>
          <w:p w14:paraId="6D45F301" w14:textId="53A8C971" w:rsidR="004417CC" w:rsidRPr="00EA2B2D" w:rsidRDefault="004417CC">
            <w:pPr>
              <w:jc w:val="center"/>
              <w:rPr>
                <w:sz w:val="20"/>
                <w:szCs w:val="20"/>
              </w:rPr>
            </w:pPr>
          </w:p>
        </w:tc>
        <w:tc>
          <w:tcPr>
            <w:tcW w:w="1560" w:type="dxa"/>
            <w:vMerge w:val="restart"/>
            <w:vAlign w:val="center"/>
          </w:tcPr>
          <w:p w14:paraId="1B276BD8" w14:textId="5DD058B8" w:rsidR="004417CC" w:rsidRPr="00EA2B2D" w:rsidRDefault="004417CC">
            <w:pPr>
              <w:jc w:val="center"/>
              <w:rPr>
                <w:sz w:val="20"/>
                <w:szCs w:val="20"/>
              </w:rPr>
            </w:pPr>
            <w:r w:rsidRPr="00EA2B2D">
              <w:rPr>
                <w:sz w:val="20"/>
                <w:szCs w:val="20"/>
              </w:rPr>
              <w:t>2,300</w:t>
            </w:r>
          </w:p>
        </w:tc>
        <w:tc>
          <w:tcPr>
            <w:tcW w:w="1417" w:type="dxa"/>
            <w:vMerge/>
            <w:vAlign w:val="center"/>
          </w:tcPr>
          <w:p w14:paraId="52610181" w14:textId="77777777" w:rsidR="004417CC" w:rsidRPr="00EA2B2D" w:rsidRDefault="004417CC">
            <w:pPr>
              <w:jc w:val="center"/>
              <w:rPr>
                <w:sz w:val="20"/>
                <w:szCs w:val="20"/>
              </w:rPr>
            </w:pPr>
          </w:p>
        </w:tc>
        <w:tc>
          <w:tcPr>
            <w:tcW w:w="1843" w:type="dxa"/>
            <w:vMerge/>
            <w:vAlign w:val="center"/>
          </w:tcPr>
          <w:p w14:paraId="6E838901" w14:textId="77777777" w:rsidR="004417CC" w:rsidRPr="00EA2B2D" w:rsidRDefault="004417CC">
            <w:pPr>
              <w:jc w:val="center"/>
              <w:rPr>
                <w:sz w:val="20"/>
                <w:szCs w:val="20"/>
              </w:rPr>
            </w:pPr>
          </w:p>
        </w:tc>
        <w:tc>
          <w:tcPr>
            <w:tcW w:w="1559" w:type="dxa"/>
            <w:vMerge/>
            <w:vAlign w:val="center"/>
          </w:tcPr>
          <w:p w14:paraId="472BCEB8" w14:textId="77777777" w:rsidR="004417CC" w:rsidRPr="00EA2B2D" w:rsidRDefault="004417CC">
            <w:pPr>
              <w:jc w:val="center"/>
              <w:rPr>
                <w:sz w:val="20"/>
                <w:szCs w:val="20"/>
              </w:rPr>
            </w:pPr>
          </w:p>
        </w:tc>
        <w:tc>
          <w:tcPr>
            <w:tcW w:w="1559" w:type="dxa"/>
            <w:vMerge/>
          </w:tcPr>
          <w:p w14:paraId="0DC8950D" w14:textId="77777777" w:rsidR="004417CC" w:rsidRPr="00EA2B2D" w:rsidRDefault="004417CC">
            <w:pPr>
              <w:jc w:val="center"/>
              <w:rPr>
                <w:sz w:val="20"/>
                <w:szCs w:val="20"/>
              </w:rPr>
            </w:pPr>
          </w:p>
        </w:tc>
      </w:tr>
      <w:tr w:rsidR="004417CC" w:rsidRPr="00EA2B2D" w14:paraId="2CF7A3BE" w14:textId="4F5F52B5" w:rsidTr="004367C0">
        <w:trPr>
          <w:jc w:val="center"/>
        </w:trPr>
        <w:tc>
          <w:tcPr>
            <w:tcW w:w="1129" w:type="dxa"/>
          </w:tcPr>
          <w:p w14:paraId="655D534C" w14:textId="43EEB8CE" w:rsidR="004417CC" w:rsidRPr="00EA2B2D" w:rsidRDefault="004417CC" w:rsidP="004417CC">
            <w:pPr>
              <w:ind w:left="22"/>
              <w:rPr>
                <w:sz w:val="20"/>
                <w:szCs w:val="20"/>
              </w:rPr>
            </w:pPr>
            <w:r>
              <w:rPr>
                <w:sz w:val="20"/>
                <w:szCs w:val="20"/>
              </w:rPr>
              <w:t xml:space="preserve">   </w:t>
            </w:r>
            <w:r w:rsidRPr="00EA2B2D">
              <w:rPr>
                <w:sz w:val="20"/>
                <w:szCs w:val="20"/>
              </w:rPr>
              <w:t>15 yr</w:t>
            </w:r>
          </w:p>
        </w:tc>
        <w:tc>
          <w:tcPr>
            <w:tcW w:w="1701" w:type="dxa"/>
            <w:vMerge/>
            <w:vAlign w:val="center"/>
          </w:tcPr>
          <w:p w14:paraId="48517229" w14:textId="77777777" w:rsidR="004417CC" w:rsidRPr="00EA2B2D" w:rsidRDefault="004417CC">
            <w:pPr>
              <w:jc w:val="center"/>
              <w:rPr>
                <w:sz w:val="20"/>
                <w:szCs w:val="20"/>
              </w:rPr>
            </w:pPr>
          </w:p>
        </w:tc>
        <w:tc>
          <w:tcPr>
            <w:tcW w:w="1560" w:type="dxa"/>
            <w:vMerge/>
            <w:vAlign w:val="center"/>
          </w:tcPr>
          <w:p w14:paraId="3A080429" w14:textId="77777777" w:rsidR="004417CC" w:rsidRPr="00EA2B2D" w:rsidRDefault="004417CC">
            <w:pPr>
              <w:jc w:val="center"/>
              <w:rPr>
                <w:sz w:val="20"/>
                <w:szCs w:val="20"/>
              </w:rPr>
            </w:pPr>
          </w:p>
        </w:tc>
        <w:tc>
          <w:tcPr>
            <w:tcW w:w="1417" w:type="dxa"/>
            <w:vMerge/>
            <w:vAlign w:val="center"/>
          </w:tcPr>
          <w:p w14:paraId="60945EF3" w14:textId="77777777" w:rsidR="004417CC" w:rsidRPr="00EA2B2D" w:rsidRDefault="004417CC">
            <w:pPr>
              <w:jc w:val="center"/>
              <w:rPr>
                <w:sz w:val="20"/>
                <w:szCs w:val="20"/>
              </w:rPr>
            </w:pPr>
          </w:p>
        </w:tc>
        <w:tc>
          <w:tcPr>
            <w:tcW w:w="1843" w:type="dxa"/>
            <w:vMerge w:val="restart"/>
            <w:vAlign w:val="center"/>
          </w:tcPr>
          <w:p w14:paraId="370B8A1D" w14:textId="64E8C819" w:rsidR="004417CC" w:rsidRPr="00EA2B2D" w:rsidRDefault="004417CC">
            <w:pPr>
              <w:jc w:val="center"/>
              <w:rPr>
                <w:sz w:val="20"/>
                <w:szCs w:val="20"/>
              </w:rPr>
            </w:pPr>
            <w:r w:rsidRPr="00EA2B2D">
              <w:rPr>
                <w:sz w:val="20"/>
                <w:szCs w:val="20"/>
              </w:rPr>
              <w:t>2,300</w:t>
            </w:r>
          </w:p>
        </w:tc>
        <w:tc>
          <w:tcPr>
            <w:tcW w:w="1559" w:type="dxa"/>
            <w:vMerge/>
            <w:vAlign w:val="center"/>
          </w:tcPr>
          <w:p w14:paraId="50BE3B59" w14:textId="262C668D" w:rsidR="004417CC" w:rsidRPr="00EA2B2D" w:rsidRDefault="004417CC">
            <w:pPr>
              <w:jc w:val="center"/>
              <w:rPr>
                <w:sz w:val="20"/>
                <w:szCs w:val="20"/>
              </w:rPr>
            </w:pPr>
          </w:p>
        </w:tc>
        <w:tc>
          <w:tcPr>
            <w:tcW w:w="1559" w:type="dxa"/>
            <w:vMerge/>
          </w:tcPr>
          <w:p w14:paraId="16F4CBEA" w14:textId="77777777" w:rsidR="004417CC" w:rsidRPr="00EA2B2D" w:rsidRDefault="004417CC">
            <w:pPr>
              <w:jc w:val="center"/>
              <w:rPr>
                <w:sz w:val="20"/>
                <w:szCs w:val="20"/>
              </w:rPr>
            </w:pPr>
          </w:p>
        </w:tc>
      </w:tr>
      <w:tr w:rsidR="004417CC" w:rsidRPr="00EA2B2D" w14:paraId="1559BA18" w14:textId="46229413" w:rsidTr="00007DAB">
        <w:trPr>
          <w:jc w:val="center"/>
        </w:trPr>
        <w:tc>
          <w:tcPr>
            <w:tcW w:w="1129" w:type="dxa"/>
          </w:tcPr>
          <w:p w14:paraId="595F3DC0" w14:textId="024D1714" w:rsidR="004417CC" w:rsidRPr="00EA2B2D" w:rsidRDefault="004417CC" w:rsidP="004417CC">
            <w:pPr>
              <w:ind w:left="22"/>
              <w:rPr>
                <w:sz w:val="20"/>
                <w:szCs w:val="20"/>
              </w:rPr>
            </w:pPr>
            <w:r>
              <w:rPr>
                <w:sz w:val="20"/>
                <w:szCs w:val="20"/>
              </w:rPr>
              <w:t xml:space="preserve">   </w:t>
            </w:r>
            <w:r w:rsidRPr="00EA2B2D">
              <w:rPr>
                <w:sz w:val="20"/>
                <w:szCs w:val="20"/>
              </w:rPr>
              <w:t>16 yr</w:t>
            </w:r>
          </w:p>
        </w:tc>
        <w:tc>
          <w:tcPr>
            <w:tcW w:w="1701" w:type="dxa"/>
            <w:vMerge/>
            <w:vAlign w:val="center"/>
          </w:tcPr>
          <w:p w14:paraId="35D0D3D4" w14:textId="77777777" w:rsidR="004417CC" w:rsidRPr="00EA2B2D" w:rsidRDefault="004417CC">
            <w:pPr>
              <w:jc w:val="center"/>
              <w:rPr>
                <w:sz w:val="20"/>
                <w:szCs w:val="20"/>
              </w:rPr>
            </w:pPr>
          </w:p>
        </w:tc>
        <w:tc>
          <w:tcPr>
            <w:tcW w:w="1560" w:type="dxa"/>
            <w:vMerge/>
            <w:vAlign w:val="center"/>
          </w:tcPr>
          <w:p w14:paraId="73C49207" w14:textId="77777777" w:rsidR="004417CC" w:rsidRPr="00EA2B2D" w:rsidRDefault="004417CC">
            <w:pPr>
              <w:jc w:val="center"/>
              <w:rPr>
                <w:sz w:val="20"/>
                <w:szCs w:val="20"/>
              </w:rPr>
            </w:pPr>
          </w:p>
        </w:tc>
        <w:tc>
          <w:tcPr>
            <w:tcW w:w="1417" w:type="dxa"/>
            <w:vMerge/>
            <w:vAlign w:val="center"/>
          </w:tcPr>
          <w:p w14:paraId="57231CF7" w14:textId="77777777" w:rsidR="004417CC" w:rsidRPr="00EA2B2D" w:rsidRDefault="004417CC">
            <w:pPr>
              <w:jc w:val="center"/>
              <w:rPr>
                <w:sz w:val="20"/>
                <w:szCs w:val="20"/>
              </w:rPr>
            </w:pPr>
          </w:p>
        </w:tc>
        <w:tc>
          <w:tcPr>
            <w:tcW w:w="1843" w:type="dxa"/>
            <w:vMerge/>
            <w:vAlign w:val="center"/>
          </w:tcPr>
          <w:p w14:paraId="791B0479" w14:textId="77777777" w:rsidR="004417CC" w:rsidRPr="00EA2B2D" w:rsidRDefault="004417CC">
            <w:pPr>
              <w:jc w:val="center"/>
              <w:rPr>
                <w:sz w:val="20"/>
                <w:szCs w:val="20"/>
              </w:rPr>
            </w:pPr>
          </w:p>
        </w:tc>
        <w:tc>
          <w:tcPr>
            <w:tcW w:w="1559" w:type="dxa"/>
            <w:vMerge/>
          </w:tcPr>
          <w:p w14:paraId="1C878082" w14:textId="77777777" w:rsidR="004417CC" w:rsidRPr="00EA2B2D" w:rsidRDefault="004417CC">
            <w:pPr>
              <w:jc w:val="center"/>
              <w:rPr>
                <w:sz w:val="20"/>
                <w:szCs w:val="20"/>
              </w:rPr>
            </w:pPr>
          </w:p>
        </w:tc>
        <w:tc>
          <w:tcPr>
            <w:tcW w:w="1559" w:type="dxa"/>
            <w:vMerge w:val="restart"/>
            <w:vAlign w:val="center"/>
          </w:tcPr>
          <w:p w14:paraId="379787C0" w14:textId="494B4E99" w:rsidR="004417CC" w:rsidRPr="00EA2B2D" w:rsidRDefault="004417CC" w:rsidP="00007DAB">
            <w:pPr>
              <w:jc w:val="center"/>
              <w:rPr>
                <w:sz w:val="20"/>
                <w:szCs w:val="20"/>
              </w:rPr>
            </w:pPr>
            <w:r>
              <w:rPr>
                <w:sz w:val="20"/>
                <w:szCs w:val="20"/>
              </w:rPr>
              <w:t>2,000</w:t>
            </w:r>
          </w:p>
        </w:tc>
      </w:tr>
      <w:tr w:rsidR="004417CC" w:rsidRPr="00EA2B2D" w14:paraId="302754B9" w14:textId="742C1B56" w:rsidTr="00E47D01">
        <w:trPr>
          <w:jc w:val="center"/>
        </w:trPr>
        <w:tc>
          <w:tcPr>
            <w:tcW w:w="1129" w:type="dxa"/>
          </w:tcPr>
          <w:p w14:paraId="25547B96" w14:textId="26D6576F" w:rsidR="004417CC" w:rsidRPr="00EA2B2D" w:rsidRDefault="004417CC" w:rsidP="004417CC">
            <w:pPr>
              <w:ind w:left="22"/>
              <w:rPr>
                <w:sz w:val="20"/>
                <w:szCs w:val="20"/>
              </w:rPr>
            </w:pPr>
            <w:r>
              <w:rPr>
                <w:sz w:val="20"/>
                <w:szCs w:val="20"/>
              </w:rPr>
              <w:t xml:space="preserve">   </w:t>
            </w:r>
            <w:r w:rsidRPr="00EA2B2D">
              <w:rPr>
                <w:sz w:val="20"/>
                <w:szCs w:val="20"/>
              </w:rPr>
              <w:t>17 yr</w:t>
            </w:r>
          </w:p>
        </w:tc>
        <w:tc>
          <w:tcPr>
            <w:tcW w:w="1701" w:type="dxa"/>
            <w:vMerge/>
            <w:vAlign w:val="center"/>
          </w:tcPr>
          <w:p w14:paraId="3515E3F0" w14:textId="77777777" w:rsidR="004417CC" w:rsidRPr="00EA2B2D" w:rsidRDefault="004417CC">
            <w:pPr>
              <w:jc w:val="center"/>
              <w:rPr>
                <w:sz w:val="20"/>
                <w:szCs w:val="20"/>
              </w:rPr>
            </w:pPr>
          </w:p>
        </w:tc>
        <w:tc>
          <w:tcPr>
            <w:tcW w:w="1560" w:type="dxa"/>
            <w:vMerge/>
            <w:vAlign w:val="center"/>
          </w:tcPr>
          <w:p w14:paraId="6CBE9B6C" w14:textId="77777777" w:rsidR="004417CC" w:rsidRPr="00EA2B2D" w:rsidRDefault="004417CC">
            <w:pPr>
              <w:jc w:val="center"/>
              <w:rPr>
                <w:sz w:val="20"/>
                <w:szCs w:val="20"/>
              </w:rPr>
            </w:pPr>
          </w:p>
        </w:tc>
        <w:tc>
          <w:tcPr>
            <w:tcW w:w="1417" w:type="dxa"/>
            <w:vMerge/>
            <w:vAlign w:val="center"/>
          </w:tcPr>
          <w:p w14:paraId="675D6F4D" w14:textId="77777777" w:rsidR="004417CC" w:rsidRPr="00EA2B2D" w:rsidRDefault="004417CC">
            <w:pPr>
              <w:jc w:val="center"/>
              <w:rPr>
                <w:sz w:val="20"/>
                <w:szCs w:val="20"/>
              </w:rPr>
            </w:pPr>
          </w:p>
        </w:tc>
        <w:tc>
          <w:tcPr>
            <w:tcW w:w="1843" w:type="dxa"/>
            <w:vMerge/>
            <w:vAlign w:val="center"/>
          </w:tcPr>
          <w:p w14:paraId="0683BA90" w14:textId="77777777" w:rsidR="004417CC" w:rsidRPr="00EA2B2D" w:rsidRDefault="004417CC">
            <w:pPr>
              <w:jc w:val="center"/>
              <w:rPr>
                <w:sz w:val="20"/>
                <w:szCs w:val="20"/>
              </w:rPr>
            </w:pPr>
          </w:p>
        </w:tc>
        <w:tc>
          <w:tcPr>
            <w:tcW w:w="1559" w:type="dxa"/>
            <w:vMerge/>
          </w:tcPr>
          <w:p w14:paraId="0698D4C6" w14:textId="77777777" w:rsidR="004417CC" w:rsidRPr="00EA2B2D" w:rsidRDefault="004417CC">
            <w:pPr>
              <w:jc w:val="center"/>
              <w:rPr>
                <w:sz w:val="20"/>
                <w:szCs w:val="20"/>
              </w:rPr>
            </w:pPr>
          </w:p>
        </w:tc>
        <w:tc>
          <w:tcPr>
            <w:tcW w:w="1559" w:type="dxa"/>
            <w:vMerge/>
          </w:tcPr>
          <w:p w14:paraId="5B21AA93" w14:textId="77777777" w:rsidR="004417CC" w:rsidRPr="00EA2B2D" w:rsidRDefault="004417CC">
            <w:pPr>
              <w:jc w:val="center"/>
              <w:rPr>
                <w:sz w:val="20"/>
                <w:szCs w:val="20"/>
              </w:rPr>
            </w:pPr>
          </w:p>
        </w:tc>
      </w:tr>
    </w:tbl>
    <w:p w14:paraId="7C28DBA9" w14:textId="77777777" w:rsidR="00D2440B" w:rsidRDefault="006163C6" w:rsidP="008C2AB7">
      <w:pPr>
        <w:spacing w:after="0"/>
        <w:rPr>
          <w:sz w:val="20"/>
          <w:szCs w:val="20"/>
        </w:rPr>
      </w:pPr>
      <w:r w:rsidRPr="006163C6">
        <w:rPr>
          <w:sz w:val="20"/>
          <w:szCs w:val="20"/>
        </w:rPr>
        <w:t>NS = Not specified</w:t>
      </w:r>
    </w:p>
    <w:p w14:paraId="2B4F22E0" w14:textId="08F7E8C8" w:rsidR="00886451" w:rsidRDefault="00886451" w:rsidP="008C2AB7">
      <w:pPr>
        <w:spacing w:after="0"/>
        <w:rPr>
          <w:sz w:val="20"/>
          <w:szCs w:val="20"/>
        </w:rPr>
      </w:pPr>
      <w:r>
        <w:rPr>
          <w:sz w:val="20"/>
          <w:szCs w:val="20"/>
        </w:rPr>
        <w:t xml:space="preserve">^ </w:t>
      </w:r>
      <w:r w:rsidR="00377F24">
        <w:rPr>
          <w:sz w:val="20"/>
          <w:szCs w:val="20"/>
        </w:rPr>
        <w:t xml:space="preserve">SDT values for Australia and New Zealand were revised in </w:t>
      </w:r>
      <w:r>
        <w:rPr>
          <w:sz w:val="20"/>
          <w:szCs w:val="20"/>
        </w:rPr>
        <w:t>September 2017</w:t>
      </w:r>
    </w:p>
    <w:p w14:paraId="20E21F8A" w14:textId="6A005F26" w:rsidR="0052386E" w:rsidRDefault="008C2AB7" w:rsidP="008C2AB7">
      <w:pPr>
        <w:spacing w:after="0"/>
        <w:rPr>
          <w:sz w:val="20"/>
          <w:szCs w:val="20"/>
        </w:rPr>
      </w:pPr>
      <w:r w:rsidRPr="008C2AB7">
        <w:rPr>
          <w:sz w:val="20"/>
          <w:szCs w:val="20"/>
        </w:rPr>
        <w:t xml:space="preserve">* D-A-CH age grouping for adults is 19 years and older </w:t>
      </w:r>
    </w:p>
    <w:p w14:paraId="2891F748" w14:textId="17FC0FD1" w:rsidR="00DC0F39" w:rsidRPr="008C2AB7" w:rsidRDefault="00DC0F39" w:rsidP="008C2AB7">
      <w:pPr>
        <w:spacing w:after="0"/>
        <w:rPr>
          <w:sz w:val="20"/>
          <w:szCs w:val="20"/>
        </w:rPr>
      </w:pPr>
      <w:r>
        <w:rPr>
          <w:sz w:val="20"/>
          <w:szCs w:val="20"/>
        </w:rPr>
        <w:t>#</w:t>
      </w:r>
      <w:r w:rsidRPr="00DC0F39">
        <w:rPr>
          <w:sz w:val="20"/>
          <w:szCs w:val="20"/>
        </w:rPr>
        <w:t xml:space="preserve"> </w:t>
      </w:r>
      <w:r>
        <w:rPr>
          <w:sz w:val="20"/>
          <w:szCs w:val="20"/>
        </w:rPr>
        <w:t>EFSA did not establish a ‘CDRR’, instead establishing a ‘safe and adequate’ intake, which constitutes a level of intake that is both sufficient for requirements, and reduces health risk</w:t>
      </w:r>
    </w:p>
    <w:p w14:paraId="6D449A5F" w14:textId="77777777" w:rsidR="00257E4C" w:rsidRDefault="00257E4C">
      <w:pPr>
        <w:rPr>
          <w:rFonts w:asciiTheme="majorHAnsi" w:eastAsiaTheme="majorEastAsia" w:hAnsiTheme="majorHAnsi" w:cstheme="majorBidi"/>
          <w:color w:val="0F4761" w:themeColor="accent1" w:themeShade="BF"/>
          <w:sz w:val="32"/>
          <w:szCs w:val="32"/>
        </w:rPr>
      </w:pPr>
      <w:r>
        <w:br w:type="page"/>
      </w:r>
    </w:p>
    <w:p w14:paraId="257BE847" w14:textId="066BB67D" w:rsidR="007D7D68" w:rsidRPr="00C44EA6" w:rsidRDefault="007D7D68" w:rsidP="00C44EA6">
      <w:pPr>
        <w:pStyle w:val="Heading2"/>
        <w:tabs>
          <w:tab w:val="left" w:pos="5546"/>
        </w:tabs>
        <w:rPr>
          <w:b/>
          <w:bCs/>
        </w:rPr>
      </w:pPr>
      <w:bookmarkStart w:id="26" w:name="_Toc234960825"/>
      <w:r w:rsidRPr="00C44EA6">
        <w:rPr>
          <w:b/>
          <w:bCs/>
        </w:rPr>
        <w:lastRenderedPageBreak/>
        <w:t>Upper Levels</w:t>
      </w:r>
      <w:bookmarkEnd w:id="26"/>
    </w:p>
    <w:p w14:paraId="1D8AB47A" w14:textId="77777777" w:rsidR="007D7D68" w:rsidRPr="00E532F6" w:rsidRDefault="007D7D68" w:rsidP="00E532F6">
      <w:pPr>
        <w:pStyle w:val="Heading3"/>
        <w:spacing w:line="240" w:lineRule="auto"/>
      </w:pPr>
      <w:bookmarkStart w:id="27" w:name="_Toc234960826"/>
      <w:r>
        <w:t>Australian and New Zealand NRVs</w:t>
      </w:r>
      <w:bookmarkEnd w:id="27"/>
      <w:r>
        <w:t xml:space="preserve"> </w:t>
      </w:r>
    </w:p>
    <w:p w14:paraId="4673EC33" w14:textId="42307A4A" w:rsidR="00130DA8" w:rsidRDefault="00130DA8" w:rsidP="005D41BE">
      <w:pPr>
        <w:spacing w:line="276" w:lineRule="auto"/>
      </w:pPr>
      <w:r>
        <w:t xml:space="preserve">During the 2017 review of the adult SDT, </w:t>
      </w:r>
      <w:r w:rsidRPr="00130DA8">
        <w:t xml:space="preserve">the </w:t>
      </w:r>
      <w:r w:rsidR="005A1A51">
        <w:t xml:space="preserve">adult </w:t>
      </w:r>
      <w:hyperlink r:id="rId35" w:anchor="UL" w:history="1">
        <w:r w:rsidRPr="0033570A">
          <w:rPr>
            <w:rStyle w:val="Hyperlink"/>
            <w:rFonts w:eastAsiaTheme="majorEastAsia"/>
          </w:rPr>
          <w:t>UL</w:t>
        </w:r>
      </w:hyperlink>
      <w:r>
        <w:t xml:space="preserve"> was changed from </w:t>
      </w:r>
      <w:r w:rsidRPr="0033570A">
        <w:t xml:space="preserve">2,300 mg/day to ‘not determined’ reflecting the inability to identify a single point </w:t>
      </w:r>
      <w:r w:rsidR="00C34285">
        <w:t xml:space="preserve">of sodium exposure </w:t>
      </w:r>
      <w:r w:rsidRPr="0033570A">
        <w:t>below which there is low risk</w:t>
      </w:r>
      <w:r>
        <w:t>. This was based on</w:t>
      </w:r>
      <w:r w:rsidRPr="0033570A">
        <w:t xml:space="preserve"> an analysis of </w:t>
      </w:r>
      <w:r>
        <w:t xml:space="preserve">intakes between </w:t>
      </w:r>
      <w:r w:rsidRPr="0033570A">
        <w:t>1200 and 3300mg</w:t>
      </w:r>
      <w:r>
        <w:t xml:space="preserve"> which suggested that increased sodium intake was associated with increased blood pressure at all measured levels of intake. This approach </w:t>
      </w:r>
      <w:r w:rsidRPr="0033570A">
        <w:t>align</w:t>
      </w:r>
      <w:r w:rsidR="00BA1A8A">
        <w:t>s</w:t>
      </w:r>
      <w:r w:rsidRPr="0033570A">
        <w:t xml:space="preserve"> with </w:t>
      </w:r>
      <w:r w:rsidR="00BA1A8A">
        <w:t xml:space="preserve">recommendations of comparable </w:t>
      </w:r>
      <w:r w:rsidRPr="0033570A">
        <w:t xml:space="preserve">international </w:t>
      </w:r>
      <w:r w:rsidR="00BA1A8A">
        <w:t xml:space="preserve">jurisdictions </w:t>
      </w:r>
      <w:r w:rsidR="00934213">
        <w:fldChar w:fldCharType="begin"/>
      </w:r>
      <w:r w:rsidR="00185BC5">
        <w:instrText xml:space="preserve"> ADDIN EN.CITE &lt;EndNote&gt;&lt;Cite ExcludeAuth="1"&gt;&lt;Author&gt;European Food Safety Authority&lt;/Author&gt;&lt;Year&gt;2019&lt;/Year&gt;&lt;RecNum&gt;1&lt;/RecNum&gt;&lt;Prefix&gt;EFSA`, &lt;/Prefix&gt;&lt;DisplayText&gt;(EFSA, 2019; NASEM, 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Cite ExcludeAuth="1"&gt;&lt;Author&gt;National Academies of Sciences&lt;/Author&gt;&lt;Year&gt;2019&lt;/Year&gt;&lt;RecNum&gt;4618&lt;/RecNum&gt;&lt;Prefix&gt;NASEM`, &lt;/Prefix&gt;&lt;record&gt;&lt;rec-number&gt;4618&lt;/rec-number&gt;&lt;foreign-keys&gt;&lt;key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sidR="00934213">
        <w:fldChar w:fldCharType="separate"/>
      </w:r>
      <w:r w:rsidR="009F77CB">
        <w:rPr>
          <w:noProof/>
        </w:rPr>
        <w:t>(EFSA, 2019; NASEM, 2019)</w:t>
      </w:r>
      <w:r w:rsidR="00934213">
        <w:fldChar w:fldCharType="end"/>
      </w:r>
      <w:r w:rsidRPr="0033570A">
        <w:t xml:space="preserve">. </w:t>
      </w:r>
    </w:p>
    <w:p w14:paraId="147E004E" w14:textId="1F308F31" w:rsidR="007D7D68" w:rsidRDefault="00130DA8" w:rsidP="005D41BE">
      <w:pPr>
        <w:spacing w:line="276" w:lineRule="auto"/>
      </w:pPr>
      <w:r w:rsidRPr="003762ED">
        <w:t>The </w:t>
      </w:r>
      <w:hyperlink r:id="rId36" w:anchor="UL" w:history="1">
        <w:r w:rsidRPr="003762ED">
          <w:rPr>
            <w:rStyle w:val="Hyperlink"/>
          </w:rPr>
          <w:t>UL</w:t>
        </w:r>
      </w:hyperlink>
      <w:r>
        <w:t>s</w:t>
      </w:r>
      <w:r w:rsidRPr="003762ED">
        <w:t> for infants and children</w:t>
      </w:r>
      <w:r>
        <w:t xml:space="preserve"> were not reviewed at this time, </w:t>
      </w:r>
      <w:r w:rsidR="009F77CB">
        <w:t xml:space="preserve">and </w:t>
      </w:r>
      <w:r w:rsidRPr="003762ED">
        <w:t>remain as per the 2006 </w:t>
      </w:r>
      <w:hyperlink r:id="rId37" w:anchor="NRV" w:history="1">
        <w:r w:rsidRPr="003762ED">
          <w:rPr>
            <w:rStyle w:val="Hyperlink"/>
          </w:rPr>
          <w:t>NRV</w:t>
        </w:r>
      </w:hyperlink>
      <w:r w:rsidRPr="003762ED">
        <w:t>s</w:t>
      </w:r>
      <w:r>
        <w:t xml:space="preserve"> (shown at</w:t>
      </w:r>
      <w:r w:rsidR="00AF5084">
        <w:t xml:space="preserve"> </w:t>
      </w:r>
      <w:r w:rsidR="00AF5084">
        <w:fldChar w:fldCharType="begin"/>
      </w:r>
      <w:r w:rsidR="00AF5084">
        <w:instrText xml:space="preserve"> REF _Ref228438500 \h </w:instrText>
      </w:r>
      <w:r w:rsidR="00AF5084">
        <w:fldChar w:fldCharType="separate"/>
      </w:r>
      <w:r w:rsidR="00CC4860">
        <w:t xml:space="preserve">Table </w:t>
      </w:r>
      <w:r w:rsidR="00CC4860">
        <w:rPr>
          <w:noProof/>
        </w:rPr>
        <w:t>3</w:t>
      </w:r>
      <w:r w:rsidR="00AF5084">
        <w:fldChar w:fldCharType="end"/>
      </w:r>
      <w:r>
        <w:t>)</w:t>
      </w:r>
      <w:r w:rsidR="009F77CB">
        <w:fldChar w:fldCharType="begin"/>
      </w:r>
      <w:r w:rsidR="00A71C3B">
        <w:instrText xml:space="preserve"> ADDIN EN.CITE &lt;EndNote&gt;&lt;Cite ExcludeAuth="1"&gt;&lt;Author&gt;National Health and Medical Research Council&lt;/Author&gt;&lt;Year&gt;2006&lt;/Year&gt;&lt;RecNum&gt;4629&lt;/RecNum&gt;&lt;Prefix&gt;NHMRC`, &lt;/Prefix&gt;&lt;DisplayText&gt;(NHMRC, 2006b)&lt;/DisplayText&gt;&lt;record&gt;&lt;rec-number&gt;4629&lt;/rec-number&gt;&lt;foreign-keys&gt;&lt;key app="EN" db-id="wwsdv2wwp29fenerv0kx5tw9zxtx2fdrprx2" timestamp="1774923627"&gt;4629&lt;/key&gt;&lt;/foreign-keys&gt;&lt;ref-type name="Government Document"&gt;46&lt;/ref-type&gt;&lt;contributors&gt;&lt;authors&gt;&lt;author&gt;National Health and Medical Research Council, NHMRC&lt;/author&gt;&lt;/authors&gt;&lt;secondary-authors&gt;&lt;author&gt;Australian Government Department of Health and Ageing&lt;/author&gt;&lt;/secondary-authors&gt;&lt;/contributors&gt;&lt;titles&gt;&lt;title&gt;Nutrient Reference Values for Australia and New Zealand&lt;/title&gt;&lt;/titles&gt;&lt;dates&gt;&lt;year&gt;2006&lt;/year&gt;&lt;/dates&gt;&lt;pub-location&gt;Canberra&lt;/pub-location&gt;&lt;publisher&gt;NHMRC&lt;/publisher&gt;&lt;urls&gt;&lt;related-urls&gt;&lt;url&gt;https://www.nhmrc.gov.au/about-us/publications/nutrient-reference-values-australia-and-new-zealand-including-recommended-dietary-intakes&lt;/url&gt;&lt;/related-urls&gt;&lt;/urls&gt;&lt;/record&gt;&lt;/Cite&gt;&lt;/EndNote&gt;</w:instrText>
      </w:r>
      <w:r w:rsidR="009F77CB">
        <w:fldChar w:fldCharType="separate"/>
      </w:r>
      <w:r w:rsidR="00A71C3B">
        <w:rPr>
          <w:noProof/>
        </w:rPr>
        <w:t>(NHMRC, 2006b)</w:t>
      </w:r>
      <w:r w:rsidR="009F77CB">
        <w:fldChar w:fldCharType="end"/>
      </w:r>
      <w:r>
        <w:t xml:space="preserve">. These values were </w:t>
      </w:r>
      <w:r w:rsidR="00F42468">
        <w:t>extrapolated from the adult UL on an energy intake basis</w:t>
      </w:r>
      <w:r w:rsidR="00EE644D">
        <w:t xml:space="preserve">. The adult UL was </w:t>
      </w:r>
      <w:r w:rsidR="00F1075D">
        <w:t xml:space="preserve">based on evidence for the adverse effects </w:t>
      </w:r>
      <w:r w:rsidR="00107060">
        <w:t>of higher sodium intake on blood pressure</w:t>
      </w:r>
      <w:r w:rsidR="00EE644D">
        <w:t xml:space="preserve">, with a NOAEL of 2,300 mg/day selected on the basis of evidence </w:t>
      </w:r>
      <w:r w:rsidR="0009265F">
        <w:t>of low levels of hypertension</w:t>
      </w:r>
      <w:r w:rsidR="009076F4">
        <w:t xml:space="preserve"> with intakes below this threshold </w:t>
      </w:r>
      <w:r w:rsidR="009076F4">
        <w:fldChar w:fldCharType="begin"/>
      </w:r>
      <w:r w:rsidR="00F45643">
        <w:instrText xml:space="preserve"> ADDIN EN.CITE &lt;EndNote&gt;&lt;Cite ExcludeAuth="1"&gt;&lt;Author&gt;National Health and Medical Research Council&lt;/Author&gt;&lt;Year&gt;2006&lt;/Year&gt;&lt;RecNum&gt;4629&lt;/RecNum&gt;&lt;Prefix&gt;NHMRC`, &lt;/Prefix&gt;&lt;DisplayText&gt;(NHMRC, 2006b)&lt;/DisplayText&gt;&lt;record&gt;&lt;rec-number&gt;4629&lt;/rec-number&gt;&lt;foreign-keys&gt;&lt;key app="EN" db-id="wwsdv2wwp29fenerv0kx5tw9zxtx2fdrprx2" timestamp="1774923627"&gt;4629&lt;/key&gt;&lt;/foreign-keys&gt;&lt;ref-type name="Government Document"&gt;46&lt;/ref-type&gt;&lt;contributors&gt;&lt;authors&gt;&lt;author&gt;National Health and Medical Research Council, NHMRC&lt;/author&gt;&lt;/authors&gt;&lt;secondary-authors&gt;&lt;author&gt;Australian Government Department of Health and Ageing&lt;/author&gt;&lt;/secondary-authors&gt;&lt;/contributors&gt;&lt;titles&gt;&lt;title&gt;Nutrient Reference Values for Australia and New Zealand&lt;/title&gt;&lt;/titles&gt;&lt;dates&gt;&lt;year&gt;2006&lt;/year&gt;&lt;/dates&gt;&lt;pub-location&gt;Canberra&lt;/pub-location&gt;&lt;publisher&gt;NHMRC&lt;/publisher&gt;&lt;urls&gt;&lt;related-urls&gt;&lt;url&gt;https://www.nhmrc.gov.au/about-us/publications/nutrient-reference-values-australia-and-new-zealand-including-recommended-dietary-intakes&lt;/url&gt;&lt;/related-urls&gt;&lt;/urls&gt;&lt;/record&gt;&lt;/Cite&gt;&lt;/EndNote&gt;</w:instrText>
      </w:r>
      <w:r w:rsidR="009076F4">
        <w:fldChar w:fldCharType="separate"/>
      </w:r>
      <w:r w:rsidR="00F45643">
        <w:rPr>
          <w:noProof/>
        </w:rPr>
        <w:t>(NHMRC, 2006b)</w:t>
      </w:r>
      <w:r w:rsidR="009076F4">
        <w:fldChar w:fldCharType="end"/>
      </w:r>
      <w:r w:rsidR="00EA6B95">
        <w:t>. However, the recommendations also noted the difficulty in precisely estimating a UL, given then progressive and continuous relationship between sodium intake and blood pressure.</w:t>
      </w:r>
    </w:p>
    <w:p w14:paraId="529CEA47" w14:textId="29A405C4" w:rsidR="007D7D68" w:rsidRPr="00B60020" w:rsidRDefault="007D7D68" w:rsidP="00E532F6">
      <w:pPr>
        <w:pStyle w:val="Heading3"/>
        <w:spacing w:line="240" w:lineRule="auto"/>
      </w:pPr>
      <w:bookmarkStart w:id="28" w:name="_Toc234960827"/>
      <w:r w:rsidRPr="00B60020">
        <w:t>International Comparisons</w:t>
      </w:r>
      <w:bookmarkEnd w:id="28"/>
      <w:r w:rsidRPr="00B60020">
        <w:t xml:space="preserve"> </w:t>
      </w:r>
    </w:p>
    <w:p w14:paraId="0663001B" w14:textId="77777777" w:rsidR="00CC4860" w:rsidRDefault="00AE5121" w:rsidP="005D41BE">
      <w:pPr>
        <w:spacing w:line="276" w:lineRule="auto"/>
      </w:pPr>
      <w:r w:rsidRPr="00AE5121">
        <w:t xml:space="preserve">Currently, no other comparable jurisdictions include </w:t>
      </w:r>
      <w:r w:rsidR="005D2D7B">
        <w:t xml:space="preserve">UL </w:t>
      </w:r>
      <w:r w:rsidRPr="00AE5121">
        <w:t xml:space="preserve">recommendations for sodium intake, with most incorporating </w:t>
      </w:r>
      <w:r w:rsidR="008E38CE">
        <w:t>SDT/</w:t>
      </w:r>
      <w:r w:rsidRPr="00AE5121">
        <w:t xml:space="preserve">CDRR recommendations </w:t>
      </w:r>
      <w:r w:rsidRPr="00036357">
        <w:t xml:space="preserve">for children and adolescents instead. This </w:t>
      </w:r>
      <w:r w:rsidR="00523552" w:rsidRPr="00036357">
        <w:t xml:space="preserve">was considered to better </w:t>
      </w:r>
      <w:r w:rsidRPr="00036357">
        <w:t xml:space="preserve">reflect </w:t>
      </w:r>
      <w:r w:rsidR="005D2D7B" w:rsidRPr="00036357">
        <w:t xml:space="preserve">the </w:t>
      </w:r>
      <w:r w:rsidR="00523552" w:rsidRPr="00036357">
        <w:t>nature of risk posed by high sodium intake, w</w:t>
      </w:r>
      <w:r w:rsidR="00F45643">
        <w:t xml:space="preserve">ith insufficient evidence of a toxicological risk from high sodium intakes beyond the association with increased chronic disease risk </w:t>
      </w:r>
      <w:r w:rsidR="00F45643">
        <w:fldChar w:fldCharType="begin"/>
      </w:r>
      <w:r w:rsidR="00F45643">
        <w:instrText xml:space="preserve"> ADDIN EN.CITE &lt;EndNote&gt;&lt;Cite ExcludeAuth="1"&gt;&lt;Author&gt;National Academies of Sciences&lt;/Author&gt;&lt;Year&gt;2019&lt;/Year&gt;&lt;RecNum&gt;4618&lt;/RecNum&gt;&lt;Prefix&gt;NASEM`, &lt;/Prefix&gt;&lt;DisplayText&gt;(NASEM, 2019)&lt;/DisplayText&gt;&lt;record&gt;&lt;rec-number&gt;4618&lt;/rec-number&gt;&lt;foreign-keys&gt;&lt;key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sidR="00F45643">
        <w:fldChar w:fldCharType="separate"/>
      </w:r>
      <w:r w:rsidR="00F45643">
        <w:rPr>
          <w:noProof/>
        </w:rPr>
        <w:t>(NASEM, 2019)</w:t>
      </w:r>
      <w:r w:rsidR="00F45643">
        <w:fldChar w:fldCharType="end"/>
      </w:r>
      <w:r w:rsidR="00F45643">
        <w:t>.</w:t>
      </w:r>
    </w:p>
    <w:p w14:paraId="0484C4C0" w14:textId="77777777" w:rsidR="00CC4860" w:rsidRDefault="00CC4860">
      <w:r>
        <w:br w:type="page"/>
      </w:r>
    </w:p>
    <w:p w14:paraId="16574BD7" w14:textId="544C5C67" w:rsidR="006213AB" w:rsidRDefault="006213AB" w:rsidP="006213AB">
      <w:pPr>
        <w:pStyle w:val="Caption"/>
        <w:keepNext/>
      </w:pPr>
      <w:bookmarkStart w:id="29" w:name="_Ref228438500"/>
      <w:r>
        <w:lastRenderedPageBreak/>
        <w:t xml:space="preserve">Table </w:t>
      </w:r>
      <w:r>
        <w:fldChar w:fldCharType="begin"/>
      </w:r>
      <w:r>
        <w:instrText>SEQ Table \* ARABIC</w:instrText>
      </w:r>
      <w:r>
        <w:fldChar w:fldCharType="separate"/>
      </w:r>
      <w:r w:rsidR="00B90577">
        <w:rPr>
          <w:noProof/>
        </w:rPr>
        <w:t>3</w:t>
      </w:r>
      <w:r>
        <w:fldChar w:fldCharType="end"/>
      </w:r>
      <w:bookmarkEnd w:id="29"/>
      <w:r>
        <w:t xml:space="preserve"> - </w:t>
      </w:r>
      <w:r w:rsidRPr="00DF46F0">
        <w:t xml:space="preserve">Comparison of </w:t>
      </w:r>
      <w:r>
        <w:t xml:space="preserve">Upper Level </w:t>
      </w:r>
      <w:r w:rsidRPr="00DF46F0">
        <w:t>recommendations for Australia and New Zealand with values set by comparable international jurisdictions</w:t>
      </w:r>
    </w:p>
    <w:tbl>
      <w:tblPr>
        <w:tblStyle w:val="TableGrid"/>
        <w:tblW w:w="9067" w:type="dxa"/>
        <w:jc w:val="center"/>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Look w:val="04A0" w:firstRow="1" w:lastRow="0" w:firstColumn="1" w:lastColumn="0" w:noHBand="0" w:noVBand="1"/>
      </w:tblPr>
      <w:tblGrid>
        <w:gridCol w:w="2122"/>
        <w:gridCol w:w="1417"/>
        <w:gridCol w:w="1418"/>
        <w:gridCol w:w="1275"/>
        <w:gridCol w:w="1418"/>
        <w:gridCol w:w="1417"/>
      </w:tblGrid>
      <w:tr w:rsidR="00787916" w:rsidRPr="00EA2B2D" w14:paraId="354A1270" w14:textId="77777777" w:rsidTr="00A53258">
        <w:trPr>
          <w:trHeight w:val="1731"/>
          <w:jc w:val="center"/>
        </w:trPr>
        <w:tc>
          <w:tcPr>
            <w:tcW w:w="2122" w:type="dxa"/>
            <w:shd w:val="clear" w:color="auto" w:fill="156082" w:themeFill="accent1"/>
            <w:vAlign w:val="bottom"/>
          </w:tcPr>
          <w:p w14:paraId="50E0740C" w14:textId="78F935D9" w:rsidR="00787916" w:rsidRPr="00EA2B2D" w:rsidRDefault="00787916" w:rsidP="009E0D73">
            <w:pPr>
              <w:rPr>
                <w:color w:val="FFFFFF" w:themeColor="background1"/>
                <w:sz w:val="20"/>
                <w:szCs w:val="20"/>
              </w:rPr>
            </w:pPr>
            <w:r w:rsidRPr="00EA2B2D">
              <w:rPr>
                <w:b/>
                <w:bCs/>
                <w:color w:val="FFFFFF" w:themeColor="background1"/>
                <w:sz w:val="20"/>
                <w:szCs w:val="20"/>
              </w:rPr>
              <w:t>Age group</w:t>
            </w:r>
          </w:p>
        </w:tc>
        <w:tc>
          <w:tcPr>
            <w:tcW w:w="1417" w:type="dxa"/>
            <w:shd w:val="clear" w:color="auto" w:fill="156082" w:themeFill="accent1"/>
            <w:vAlign w:val="center"/>
          </w:tcPr>
          <w:p w14:paraId="4DD0C960" w14:textId="77777777" w:rsidR="00787916" w:rsidRPr="00EA2B2D" w:rsidRDefault="00787916">
            <w:pPr>
              <w:jc w:val="center"/>
              <w:rPr>
                <w:b/>
                <w:bCs/>
                <w:color w:val="FFFFFF" w:themeColor="background1"/>
                <w:sz w:val="20"/>
                <w:szCs w:val="20"/>
              </w:rPr>
            </w:pPr>
            <w:r w:rsidRPr="00EA2B2D">
              <w:rPr>
                <w:b/>
                <w:bCs/>
                <w:color w:val="FFFFFF" w:themeColor="background1"/>
                <w:sz w:val="20"/>
                <w:szCs w:val="20"/>
              </w:rPr>
              <w:t>Australia &amp; New Zealand</w:t>
            </w:r>
          </w:p>
          <w:p w14:paraId="0027B7D1" w14:textId="77777777" w:rsidR="00787916" w:rsidRPr="00EA2B2D" w:rsidRDefault="00787916" w:rsidP="00787916">
            <w:pPr>
              <w:spacing w:after="60"/>
              <w:jc w:val="center"/>
              <w:rPr>
                <w:b/>
                <w:bCs/>
                <w:color w:val="FFFFFF" w:themeColor="background1"/>
                <w:sz w:val="20"/>
                <w:szCs w:val="20"/>
              </w:rPr>
            </w:pPr>
            <w:r w:rsidRPr="00EA2B2D">
              <w:rPr>
                <w:b/>
                <w:bCs/>
                <w:color w:val="FFFFFF" w:themeColor="background1"/>
                <w:sz w:val="20"/>
                <w:szCs w:val="20"/>
              </w:rPr>
              <w:fldChar w:fldCharType="begin"/>
            </w:r>
            <w:r w:rsidRPr="00EA2B2D">
              <w:rPr>
                <w:b/>
                <w:bCs/>
                <w:color w:val="FFFFFF" w:themeColor="background1"/>
                <w:sz w:val="20"/>
                <w:szCs w:val="20"/>
              </w:rPr>
              <w:instrText xml:space="preserve"> ADDIN EN.CITE &lt;EndNote&gt;&lt;Cite ExcludeAuth="1"&gt;&lt;Author&gt;National Health and Medical Research Council&lt;/Author&gt;&lt;Year&gt;2006&lt;/Year&gt;&lt;RecNum&gt;4629&lt;/RecNum&gt;&lt;Prefix&gt;NHMRC`, &lt;/Prefix&gt;&lt;DisplayText&gt;(NHMRC, 2006b)&lt;/DisplayText&gt;&lt;record&gt;&lt;rec-number&gt;4629&lt;/rec-number&gt;&lt;foreign-keys&gt;&lt;key app="EN" db-id="wwsdv2wwp29fenerv0kx5tw9zxtx2fdrprx2" timestamp="1774923627"&gt;4629&lt;/key&gt;&lt;/foreign-keys&gt;&lt;ref-type name="Government Document"&gt;46&lt;/ref-type&gt;&lt;contributors&gt;&lt;authors&gt;&lt;author&gt;National Health and Medical Research Council, NHMRC&lt;/author&gt;&lt;/authors&gt;&lt;secondary-authors&gt;&lt;author&gt;Australian Government Department of Health and Ageing&lt;/author&gt;&lt;/secondary-authors&gt;&lt;/contributors&gt;&lt;titles&gt;&lt;title&gt;Nutrient Reference Values for Australia and New Zealand&lt;/title&gt;&lt;/titles&gt;&lt;dates&gt;&lt;year&gt;2006&lt;/year&gt;&lt;/dates&gt;&lt;pub-location&gt;Canberra&lt;/pub-location&gt;&lt;publisher&gt;NHMRC&lt;/publisher&gt;&lt;urls&gt;&lt;related-urls&gt;&lt;url&gt;https://www.nhmrc.gov.au/about-us/publications/nutrient-reference-values-australia-and-new-zealand-including-recommended-dietary-intakes&lt;/url&gt;&lt;/related-urls&gt;&lt;/urls&gt;&lt;/record&gt;&lt;/Cite&gt;&lt;/EndNote&gt;</w:instrText>
            </w:r>
            <w:r w:rsidRPr="00EA2B2D">
              <w:rPr>
                <w:b/>
                <w:bCs/>
                <w:color w:val="FFFFFF" w:themeColor="background1"/>
                <w:sz w:val="20"/>
                <w:szCs w:val="20"/>
              </w:rPr>
              <w:fldChar w:fldCharType="separate"/>
            </w:r>
            <w:r w:rsidRPr="00EA2B2D">
              <w:rPr>
                <w:b/>
                <w:bCs/>
                <w:noProof/>
                <w:color w:val="FFFFFF" w:themeColor="background1"/>
                <w:sz w:val="20"/>
                <w:szCs w:val="20"/>
              </w:rPr>
              <w:t>(NHMRC, 2006b)</w:t>
            </w:r>
            <w:r w:rsidRPr="00EA2B2D">
              <w:rPr>
                <w:b/>
                <w:bCs/>
                <w:color w:val="FFFFFF" w:themeColor="background1"/>
                <w:sz w:val="20"/>
                <w:szCs w:val="20"/>
              </w:rPr>
              <w:fldChar w:fldCharType="end"/>
            </w:r>
            <w:r w:rsidRPr="00EA2B2D">
              <w:rPr>
                <w:b/>
                <w:bCs/>
                <w:color w:val="FFFFFF" w:themeColor="background1"/>
                <w:sz w:val="20"/>
                <w:szCs w:val="20"/>
              </w:rPr>
              <w:t>^</w:t>
            </w:r>
          </w:p>
          <w:p w14:paraId="0EC3746B" w14:textId="77777777" w:rsidR="00787916" w:rsidRPr="00EA2B2D" w:rsidRDefault="00787916" w:rsidP="00FA0589">
            <w:pPr>
              <w:jc w:val="center"/>
              <w:rPr>
                <w:b/>
                <w:bCs/>
                <w:color w:val="FFFFFF" w:themeColor="background1"/>
                <w:sz w:val="20"/>
                <w:szCs w:val="20"/>
              </w:rPr>
            </w:pPr>
            <w:hyperlink r:id="rId38" w:anchor="UL" w:history="1">
              <w:r w:rsidRPr="00EA2B2D">
                <w:rPr>
                  <w:rStyle w:val="Hyperlink"/>
                  <w:b/>
                  <w:bCs/>
                  <w:color w:val="FFFFFF" w:themeColor="background1"/>
                  <w:sz w:val="20"/>
                  <w:szCs w:val="20"/>
                </w:rPr>
                <w:t>UL</w:t>
              </w:r>
            </w:hyperlink>
          </w:p>
          <w:p w14:paraId="5DCA399F" w14:textId="7B55D5C8" w:rsidR="00787916" w:rsidRPr="00EA2B2D" w:rsidRDefault="00787916" w:rsidP="00FA0589">
            <w:pPr>
              <w:jc w:val="center"/>
              <w:rPr>
                <w:b/>
                <w:bCs/>
                <w:color w:val="FFFFFF" w:themeColor="background1"/>
                <w:sz w:val="20"/>
                <w:szCs w:val="20"/>
              </w:rPr>
            </w:pPr>
            <w:r w:rsidRPr="00EA2B2D">
              <w:rPr>
                <w:b/>
                <w:bCs/>
                <w:color w:val="FFFFFF" w:themeColor="background1"/>
                <w:sz w:val="20"/>
                <w:szCs w:val="20"/>
              </w:rPr>
              <w:t>mg/day</w:t>
            </w:r>
          </w:p>
        </w:tc>
        <w:tc>
          <w:tcPr>
            <w:tcW w:w="1418" w:type="dxa"/>
            <w:shd w:val="clear" w:color="auto" w:fill="156082" w:themeFill="accent1"/>
            <w:vAlign w:val="center"/>
          </w:tcPr>
          <w:p w14:paraId="357F623E" w14:textId="77777777" w:rsidR="00787916" w:rsidRPr="00EA2B2D" w:rsidRDefault="00787916" w:rsidP="00787916">
            <w:pPr>
              <w:spacing w:after="60"/>
              <w:jc w:val="center"/>
              <w:rPr>
                <w:b/>
                <w:bCs/>
                <w:color w:val="FFFFFF" w:themeColor="background1"/>
                <w:sz w:val="20"/>
                <w:szCs w:val="20"/>
              </w:rPr>
            </w:pPr>
            <w:r w:rsidRPr="00EA2B2D">
              <w:rPr>
                <w:b/>
                <w:bCs/>
                <w:color w:val="FFFFFF" w:themeColor="background1"/>
                <w:sz w:val="20"/>
                <w:szCs w:val="20"/>
              </w:rPr>
              <w:t xml:space="preserve">United States </w:t>
            </w:r>
            <w:r w:rsidRPr="00EA2B2D">
              <w:rPr>
                <w:b/>
                <w:bCs/>
                <w:color w:val="FFFFFF" w:themeColor="background1"/>
                <w:sz w:val="20"/>
                <w:szCs w:val="20"/>
              </w:rPr>
              <w:fldChar w:fldCharType="begin"/>
            </w:r>
            <w:r w:rsidRPr="00EA2B2D">
              <w:rPr>
                <w:b/>
                <w:bCs/>
                <w:color w:val="FFFFFF" w:themeColor="background1"/>
                <w:sz w:val="20"/>
                <w:szCs w:val="20"/>
              </w:rPr>
              <w:instrText xml:space="preserve"> ADDIN EN.CITE &lt;EndNote&gt;&lt;Cite ExcludeAuth="1"&gt;&lt;Author&gt;National Academies of Sciences&lt;/Author&gt;&lt;Year&gt;2019&lt;/Year&gt;&lt;RecNum&gt;4618&lt;/RecNum&gt;&lt;Prefix&gt;NASEM`, &lt;/Prefix&gt;&lt;DisplayText&gt;(NASEM, 2019)&lt;/DisplayText&gt;&lt;record&gt;&lt;rec-number&gt;4618&lt;/rec-number&gt;&lt;foreign-keys&gt;&lt;key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sidRPr="00EA2B2D">
              <w:rPr>
                <w:b/>
                <w:bCs/>
                <w:color w:val="FFFFFF" w:themeColor="background1"/>
                <w:sz w:val="20"/>
                <w:szCs w:val="20"/>
              </w:rPr>
              <w:fldChar w:fldCharType="separate"/>
            </w:r>
            <w:r w:rsidRPr="00EA2B2D">
              <w:rPr>
                <w:b/>
                <w:bCs/>
                <w:noProof/>
                <w:color w:val="FFFFFF" w:themeColor="background1"/>
                <w:sz w:val="20"/>
                <w:szCs w:val="20"/>
              </w:rPr>
              <w:t>(NASEM, 2019)</w:t>
            </w:r>
            <w:r w:rsidRPr="00EA2B2D">
              <w:rPr>
                <w:b/>
                <w:bCs/>
                <w:color w:val="FFFFFF" w:themeColor="background1"/>
                <w:sz w:val="20"/>
                <w:szCs w:val="20"/>
              </w:rPr>
              <w:fldChar w:fldCharType="end"/>
            </w:r>
          </w:p>
          <w:p w14:paraId="72E8C687" w14:textId="77777777" w:rsidR="00787916" w:rsidRPr="00EA2B2D" w:rsidRDefault="00787916" w:rsidP="00FA0589">
            <w:pPr>
              <w:jc w:val="center"/>
              <w:rPr>
                <w:b/>
                <w:bCs/>
                <w:color w:val="FFFFFF" w:themeColor="background1"/>
                <w:sz w:val="20"/>
                <w:szCs w:val="20"/>
              </w:rPr>
            </w:pPr>
            <w:hyperlink r:id="rId39" w:anchor="UL" w:history="1">
              <w:r w:rsidRPr="00EA2B2D">
                <w:rPr>
                  <w:rStyle w:val="Hyperlink"/>
                  <w:b/>
                  <w:bCs/>
                  <w:color w:val="FFFFFF" w:themeColor="background1"/>
                  <w:sz w:val="20"/>
                  <w:szCs w:val="20"/>
                </w:rPr>
                <w:t>UL</w:t>
              </w:r>
            </w:hyperlink>
          </w:p>
          <w:p w14:paraId="3211691F" w14:textId="6715195C" w:rsidR="00787916" w:rsidRPr="00EA2B2D" w:rsidRDefault="00787916" w:rsidP="00FA0589">
            <w:pPr>
              <w:jc w:val="center"/>
              <w:rPr>
                <w:b/>
                <w:bCs/>
                <w:color w:val="FFFFFF" w:themeColor="background1"/>
                <w:sz w:val="20"/>
                <w:szCs w:val="20"/>
              </w:rPr>
            </w:pPr>
            <w:r w:rsidRPr="00EA2B2D">
              <w:rPr>
                <w:b/>
                <w:bCs/>
                <w:color w:val="FFFFFF" w:themeColor="background1"/>
                <w:sz w:val="20"/>
                <w:szCs w:val="20"/>
              </w:rPr>
              <w:t>mg/day</w:t>
            </w:r>
          </w:p>
        </w:tc>
        <w:tc>
          <w:tcPr>
            <w:tcW w:w="1275" w:type="dxa"/>
            <w:shd w:val="clear" w:color="auto" w:fill="156082" w:themeFill="accent1"/>
            <w:vAlign w:val="center"/>
          </w:tcPr>
          <w:p w14:paraId="44218A3B" w14:textId="77777777" w:rsidR="00787916" w:rsidRPr="00EA2B2D" w:rsidRDefault="00787916">
            <w:pPr>
              <w:jc w:val="center"/>
              <w:rPr>
                <w:b/>
                <w:bCs/>
                <w:color w:val="FFFFFF" w:themeColor="background1"/>
                <w:sz w:val="20"/>
                <w:szCs w:val="20"/>
              </w:rPr>
            </w:pPr>
            <w:r w:rsidRPr="00EA2B2D">
              <w:rPr>
                <w:b/>
                <w:bCs/>
                <w:color w:val="FFFFFF" w:themeColor="background1"/>
                <w:sz w:val="20"/>
                <w:szCs w:val="20"/>
              </w:rPr>
              <w:t>European Union</w:t>
            </w:r>
          </w:p>
          <w:p w14:paraId="34DCBD9E" w14:textId="77777777" w:rsidR="00787916" w:rsidRPr="00EA2B2D" w:rsidRDefault="00787916" w:rsidP="00787916">
            <w:pPr>
              <w:spacing w:after="60"/>
              <w:jc w:val="center"/>
              <w:rPr>
                <w:b/>
                <w:bCs/>
                <w:color w:val="FFFFFF" w:themeColor="background1"/>
                <w:sz w:val="20"/>
                <w:szCs w:val="20"/>
              </w:rPr>
            </w:pPr>
            <w:r w:rsidRPr="00EA2B2D">
              <w:rPr>
                <w:b/>
                <w:bCs/>
                <w:color w:val="FFFFFF" w:themeColor="background1"/>
                <w:sz w:val="20"/>
                <w:szCs w:val="20"/>
              </w:rPr>
              <w:fldChar w:fldCharType="begin"/>
            </w:r>
            <w:r>
              <w:rPr>
                <w:b/>
                <w:bCs/>
                <w:color w:val="FFFFFF" w:themeColor="background1"/>
                <w:sz w:val="20"/>
                <w:szCs w:val="20"/>
              </w:rPr>
              <w:instrText xml:space="preserve"> ADDIN EN.CITE &lt;EndNote&gt;&lt;Cite ExcludeAuth="1"&gt;&lt;Author&gt;European Food Safety Authority&lt;/Author&gt;&lt;Year&gt;2019&lt;/Year&gt;&lt;RecNum&gt;1&lt;/RecNum&gt;&lt;Prefix&gt;EFSA`, &lt;/Prefix&gt;&lt;DisplayText&gt;(EFSA, 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rsidRPr="00EA2B2D">
              <w:rPr>
                <w:b/>
                <w:bCs/>
                <w:color w:val="FFFFFF" w:themeColor="background1"/>
                <w:sz w:val="20"/>
                <w:szCs w:val="20"/>
              </w:rPr>
              <w:fldChar w:fldCharType="separate"/>
            </w:r>
            <w:r w:rsidRPr="00EA2B2D">
              <w:rPr>
                <w:b/>
                <w:bCs/>
                <w:noProof/>
                <w:color w:val="FFFFFF" w:themeColor="background1"/>
                <w:sz w:val="20"/>
                <w:szCs w:val="20"/>
              </w:rPr>
              <w:t>(EFSA, 2019)</w:t>
            </w:r>
            <w:r w:rsidRPr="00EA2B2D">
              <w:rPr>
                <w:b/>
                <w:bCs/>
                <w:color w:val="FFFFFF" w:themeColor="background1"/>
                <w:sz w:val="20"/>
                <w:szCs w:val="20"/>
              </w:rPr>
              <w:fldChar w:fldCharType="end"/>
            </w:r>
          </w:p>
          <w:p w14:paraId="1363236E" w14:textId="77777777" w:rsidR="00787916" w:rsidRPr="00EA2B2D" w:rsidRDefault="00787916" w:rsidP="00FA0589">
            <w:pPr>
              <w:jc w:val="center"/>
              <w:rPr>
                <w:b/>
                <w:bCs/>
                <w:color w:val="FFFFFF" w:themeColor="background1"/>
                <w:sz w:val="20"/>
                <w:szCs w:val="20"/>
              </w:rPr>
            </w:pPr>
            <w:hyperlink r:id="rId40" w:anchor="UL" w:history="1">
              <w:r w:rsidRPr="00EA2B2D">
                <w:rPr>
                  <w:rStyle w:val="Hyperlink"/>
                  <w:b/>
                  <w:bCs/>
                  <w:color w:val="FFFFFF" w:themeColor="background1"/>
                  <w:sz w:val="20"/>
                  <w:szCs w:val="20"/>
                </w:rPr>
                <w:t>UL</w:t>
              </w:r>
            </w:hyperlink>
          </w:p>
          <w:p w14:paraId="60FA945D" w14:textId="5D52DBF2" w:rsidR="00787916" w:rsidRPr="00EA2B2D" w:rsidRDefault="00787916" w:rsidP="00FA0589">
            <w:pPr>
              <w:jc w:val="center"/>
              <w:rPr>
                <w:b/>
                <w:bCs/>
                <w:color w:val="FFFFFF" w:themeColor="background1"/>
                <w:sz w:val="20"/>
                <w:szCs w:val="20"/>
              </w:rPr>
            </w:pPr>
            <w:r w:rsidRPr="00EA2B2D">
              <w:rPr>
                <w:b/>
                <w:bCs/>
                <w:color w:val="FFFFFF" w:themeColor="background1"/>
                <w:sz w:val="20"/>
                <w:szCs w:val="20"/>
              </w:rPr>
              <w:t>mg/day</w:t>
            </w:r>
          </w:p>
        </w:tc>
        <w:tc>
          <w:tcPr>
            <w:tcW w:w="1418" w:type="dxa"/>
            <w:shd w:val="clear" w:color="auto" w:fill="156082" w:themeFill="accent1"/>
            <w:vAlign w:val="center"/>
          </w:tcPr>
          <w:p w14:paraId="081AA648" w14:textId="77777777" w:rsidR="00787916" w:rsidRPr="00EA2B2D" w:rsidRDefault="00787916">
            <w:pPr>
              <w:jc w:val="center"/>
              <w:rPr>
                <w:b/>
                <w:bCs/>
                <w:color w:val="FFFFFF" w:themeColor="background1"/>
                <w:sz w:val="20"/>
                <w:szCs w:val="20"/>
              </w:rPr>
            </w:pPr>
            <w:r w:rsidRPr="00EA2B2D">
              <w:rPr>
                <w:b/>
                <w:bCs/>
                <w:color w:val="FFFFFF" w:themeColor="background1"/>
                <w:sz w:val="20"/>
                <w:szCs w:val="20"/>
              </w:rPr>
              <w:t>Nordic and Baltic Populations</w:t>
            </w:r>
          </w:p>
          <w:p w14:paraId="2B04A567" w14:textId="77777777" w:rsidR="00787916" w:rsidRPr="00EA2B2D" w:rsidRDefault="00787916" w:rsidP="00787916">
            <w:pPr>
              <w:spacing w:after="60"/>
              <w:jc w:val="center"/>
              <w:rPr>
                <w:b/>
                <w:bCs/>
                <w:color w:val="FFFFFF" w:themeColor="background1"/>
                <w:sz w:val="20"/>
                <w:szCs w:val="20"/>
              </w:rPr>
            </w:pPr>
            <w:r w:rsidRPr="00EA2B2D">
              <w:rPr>
                <w:b/>
                <w:bCs/>
                <w:color w:val="FFFFFF" w:themeColor="background1"/>
                <w:sz w:val="20"/>
                <w:szCs w:val="20"/>
              </w:rPr>
              <w:fldChar w:fldCharType="begin"/>
            </w:r>
            <w:r w:rsidRPr="00EA2B2D">
              <w:rPr>
                <w:b/>
                <w:bCs/>
                <w:color w:val="FFFFFF" w:themeColor="background1"/>
                <w:sz w:val="20"/>
                <w:szCs w:val="20"/>
              </w:rPr>
              <w:instrText xml:space="preserve"> ADDIN EN.CITE &lt;EndNote&gt;&lt;Cite&gt;&lt;Author&gt;Blomhoff&lt;/Author&gt;&lt;Year&gt;2023&lt;/Year&gt;&lt;RecNum&gt;4617&lt;/RecNum&gt;&lt;DisplayText&gt;(Blomhoff et al., 2023)&lt;/DisplayText&gt;&lt;record&gt;&lt;rec-number&gt;4617&lt;/rec-number&gt;&lt;foreign-keys&gt;&lt;key app="EN" db-id="wwsdv2wwp29fenerv0kx5tw9zxtx2fdrprx2" timestamp="1774921009"&gt;4617&lt;/key&gt;&lt;/foreign-keys&gt;&lt;ref-type name="Book"&gt;6&lt;/ref-type&gt;&lt;contributors&gt;&lt;authors&gt;&lt;author&gt;Blomhoff, Rune&lt;/author&gt;&lt;author&gt;Andersen, Rikke&lt;/author&gt;&lt;author&gt;Arnesen, Erik&lt;/author&gt;&lt;author&gt;Christensen, Jacob&lt;/author&gt;&lt;author&gt;Eneroth, Hanna&lt;/author&gt;&lt;author&gt;Erkkola, Maijaliisa&lt;/author&gt;&lt;author&gt;Gudanaviciene, Ieva&lt;/author&gt;&lt;author&gt;Høyer-Lund, Anne&lt;/author&gt;&lt;author&gt;Lemming, Eva&lt;/author&gt;&lt;author&gt;Meltzer, Helle&lt;/author&gt;&lt;author&gt;Pitsi, Tagli&lt;/author&gt;&lt;author&gt;Siksna, Inese&lt;/author&gt;&lt;author&gt;Thorsdottir, Inga&lt;/author&gt;&lt;author&gt;Trolle, Ellen&lt;/author&gt;&lt;/authors&gt;&lt;/contributors&gt;&lt;titles&gt;&lt;title&gt;Nordic Nutrition Recommendations 2023&lt;/title&gt;&lt;/titles&gt;&lt;dates&gt;&lt;year&gt;2023&lt;/year&gt;&lt;/dates&gt;&lt;isbn&gt;9789289375344&lt;/isbn&gt;&lt;urls&gt;&lt;/urls&gt;&lt;electronic-resource-num&gt;10.6027/nord2023-003&lt;/electronic-resource-num&gt;&lt;/record&gt;&lt;/Cite&gt;&lt;/EndNote&gt;</w:instrText>
            </w:r>
            <w:r w:rsidRPr="00EA2B2D">
              <w:rPr>
                <w:b/>
                <w:bCs/>
                <w:color w:val="FFFFFF" w:themeColor="background1"/>
                <w:sz w:val="20"/>
                <w:szCs w:val="20"/>
              </w:rPr>
              <w:fldChar w:fldCharType="separate"/>
            </w:r>
            <w:r w:rsidRPr="00EA2B2D">
              <w:rPr>
                <w:b/>
                <w:bCs/>
                <w:noProof/>
                <w:color w:val="FFFFFF" w:themeColor="background1"/>
                <w:sz w:val="20"/>
                <w:szCs w:val="20"/>
              </w:rPr>
              <w:t>(Blomhoff et al., 2023)</w:t>
            </w:r>
            <w:r w:rsidRPr="00EA2B2D">
              <w:rPr>
                <w:b/>
                <w:bCs/>
                <w:color w:val="FFFFFF" w:themeColor="background1"/>
                <w:sz w:val="20"/>
                <w:szCs w:val="20"/>
              </w:rPr>
              <w:fldChar w:fldCharType="end"/>
            </w:r>
          </w:p>
          <w:p w14:paraId="6C4A1E4E" w14:textId="77777777" w:rsidR="00787916" w:rsidRPr="00EA2B2D" w:rsidRDefault="00787916" w:rsidP="00FA0589">
            <w:pPr>
              <w:jc w:val="center"/>
              <w:rPr>
                <w:b/>
                <w:bCs/>
                <w:color w:val="FFFFFF" w:themeColor="background1"/>
                <w:sz w:val="20"/>
                <w:szCs w:val="20"/>
              </w:rPr>
            </w:pPr>
            <w:hyperlink r:id="rId41" w:anchor="UL" w:history="1">
              <w:r w:rsidRPr="00EA2B2D">
                <w:rPr>
                  <w:rStyle w:val="Hyperlink"/>
                  <w:b/>
                  <w:bCs/>
                  <w:color w:val="FFFFFF" w:themeColor="background1"/>
                  <w:sz w:val="20"/>
                  <w:szCs w:val="20"/>
                </w:rPr>
                <w:t>UL</w:t>
              </w:r>
            </w:hyperlink>
          </w:p>
          <w:p w14:paraId="0169BA41" w14:textId="727997E2" w:rsidR="00787916" w:rsidRPr="00EA2B2D" w:rsidRDefault="00787916" w:rsidP="00FA0589">
            <w:pPr>
              <w:jc w:val="center"/>
              <w:rPr>
                <w:b/>
                <w:bCs/>
                <w:color w:val="FFFFFF" w:themeColor="background1"/>
                <w:sz w:val="20"/>
                <w:szCs w:val="20"/>
              </w:rPr>
            </w:pPr>
            <w:r w:rsidRPr="00EA2B2D">
              <w:rPr>
                <w:b/>
                <w:bCs/>
                <w:color w:val="FFFFFF" w:themeColor="background1"/>
                <w:sz w:val="20"/>
                <w:szCs w:val="20"/>
              </w:rPr>
              <w:t>mg/day</w:t>
            </w:r>
          </w:p>
        </w:tc>
        <w:tc>
          <w:tcPr>
            <w:tcW w:w="1417" w:type="dxa"/>
            <w:shd w:val="clear" w:color="auto" w:fill="156082" w:themeFill="accent1"/>
          </w:tcPr>
          <w:p w14:paraId="2D8195D9" w14:textId="77777777" w:rsidR="00787916" w:rsidRPr="00EA2B2D" w:rsidRDefault="00787916" w:rsidP="00787916">
            <w:pPr>
              <w:spacing w:after="60"/>
              <w:jc w:val="center"/>
              <w:rPr>
                <w:b/>
                <w:bCs/>
                <w:color w:val="FFFFFF" w:themeColor="background1"/>
                <w:sz w:val="20"/>
                <w:szCs w:val="20"/>
              </w:rPr>
            </w:pPr>
            <w:r w:rsidRPr="00EA2B2D">
              <w:rPr>
                <w:b/>
                <w:bCs/>
                <w:color w:val="FFFFFF" w:themeColor="background1"/>
                <w:sz w:val="20"/>
                <w:szCs w:val="20"/>
              </w:rPr>
              <w:t xml:space="preserve">Germany, Austria &amp; Switzerland </w:t>
            </w:r>
            <w:r w:rsidRPr="00EA2B2D">
              <w:rPr>
                <w:b/>
                <w:bCs/>
                <w:color w:val="FFFFFF" w:themeColor="background1"/>
                <w:sz w:val="20"/>
                <w:szCs w:val="20"/>
              </w:rPr>
              <w:fldChar w:fldCharType="begin">
                <w:fldData xml:space="preserve">PEVuZE5vdGU+PENpdGU+PEF1dGhvcj5TdHJvaG08L0F1dGhvcj48WWVhcj4yMDE4PC9ZZWFyPjxS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</w:fldData>
              </w:fldChar>
            </w:r>
            <w:r w:rsidRPr="00EA2B2D">
              <w:rPr>
                <w:b/>
                <w:bCs/>
                <w:color w:val="FFFFFF" w:themeColor="background1"/>
                <w:sz w:val="20"/>
                <w:szCs w:val="20"/>
              </w:rPr>
              <w:instrText xml:space="preserve"> ADDIN EN.CITE </w:instrText>
            </w:r>
            <w:r w:rsidRPr="00EA2B2D">
              <w:rPr>
                <w:b/>
                <w:bCs/>
                <w:color w:val="FFFFFF" w:themeColor="background1"/>
                <w:sz w:val="20"/>
                <w:szCs w:val="20"/>
              </w:rPr>
              <w:fldChar w:fldCharType="begin">
                <w:fldData xml:space="preserve">PEVuZE5vdGU+PENpdGU+PEF1dGhvcj5TdHJvaG08L0F1dGhvcj48WWVhcj4yMDE4PC9ZZWFyPjxS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</w:fldData>
              </w:fldChar>
            </w:r>
            <w:r w:rsidRPr="00EA2B2D">
              <w:rPr>
                <w:b/>
                <w:bCs/>
                <w:color w:val="FFFFFF" w:themeColor="background1"/>
                <w:sz w:val="20"/>
                <w:szCs w:val="20"/>
              </w:rPr>
              <w:instrText xml:space="preserve"> ADDIN EN.CITE.DATA </w:instrText>
            </w:r>
            <w:r w:rsidRPr="00EA2B2D">
              <w:rPr>
                <w:b/>
                <w:bCs/>
                <w:color w:val="FFFFFF" w:themeColor="background1"/>
                <w:sz w:val="20"/>
                <w:szCs w:val="20"/>
              </w:rPr>
            </w:r>
            <w:r w:rsidRPr="00EA2B2D">
              <w:rPr>
                <w:b/>
                <w:bCs/>
                <w:color w:val="FFFFFF" w:themeColor="background1"/>
                <w:sz w:val="20"/>
                <w:szCs w:val="20"/>
              </w:rPr>
              <w:fldChar w:fldCharType="end"/>
            </w:r>
            <w:r w:rsidRPr="00EA2B2D">
              <w:rPr>
                <w:b/>
                <w:bCs/>
                <w:color w:val="FFFFFF" w:themeColor="background1"/>
                <w:sz w:val="20"/>
                <w:szCs w:val="20"/>
              </w:rPr>
            </w:r>
            <w:r w:rsidRPr="00EA2B2D">
              <w:rPr>
                <w:b/>
                <w:bCs/>
                <w:color w:val="FFFFFF" w:themeColor="background1"/>
                <w:sz w:val="20"/>
                <w:szCs w:val="20"/>
              </w:rPr>
              <w:fldChar w:fldCharType="separate"/>
            </w:r>
            <w:r w:rsidRPr="00EA2B2D">
              <w:rPr>
                <w:b/>
                <w:bCs/>
                <w:noProof/>
                <w:color w:val="FFFFFF" w:themeColor="background1"/>
                <w:sz w:val="20"/>
                <w:szCs w:val="20"/>
              </w:rPr>
              <w:t>(Strohm et al., 2018)</w:t>
            </w:r>
            <w:r w:rsidRPr="00EA2B2D">
              <w:rPr>
                <w:b/>
                <w:bCs/>
                <w:color w:val="FFFFFF" w:themeColor="background1"/>
                <w:sz w:val="20"/>
                <w:szCs w:val="20"/>
              </w:rPr>
              <w:fldChar w:fldCharType="end"/>
            </w:r>
          </w:p>
          <w:p w14:paraId="5F5E63DF" w14:textId="77777777" w:rsidR="00787916" w:rsidRPr="00EA2B2D" w:rsidRDefault="00787916" w:rsidP="00FA0589">
            <w:pPr>
              <w:jc w:val="center"/>
              <w:rPr>
                <w:b/>
                <w:bCs/>
                <w:color w:val="FFFFFF" w:themeColor="background1"/>
                <w:sz w:val="20"/>
                <w:szCs w:val="20"/>
              </w:rPr>
            </w:pPr>
            <w:hyperlink r:id="rId42" w:anchor="UL" w:history="1">
              <w:r w:rsidRPr="00EA2B2D">
                <w:rPr>
                  <w:rStyle w:val="Hyperlink"/>
                  <w:b/>
                  <w:bCs/>
                  <w:color w:val="FFFFFF" w:themeColor="background1"/>
                  <w:sz w:val="20"/>
                  <w:szCs w:val="20"/>
                </w:rPr>
                <w:t>UL</w:t>
              </w:r>
            </w:hyperlink>
          </w:p>
          <w:p w14:paraId="501AF587" w14:textId="432A4B23" w:rsidR="00787916" w:rsidRPr="00EA2B2D" w:rsidRDefault="00787916" w:rsidP="00FA0589">
            <w:pPr>
              <w:jc w:val="center"/>
              <w:rPr>
                <w:b/>
                <w:bCs/>
                <w:color w:val="FFFFFF" w:themeColor="background1"/>
                <w:sz w:val="20"/>
                <w:szCs w:val="20"/>
              </w:rPr>
            </w:pPr>
            <w:r w:rsidRPr="00EA2B2D">
              <w:rPr>
                <w:b/>
                <w:bCs/>
                <w:color w:val="FFFFFF" w:themeColor="background1"/>
                <w:sz w:val="20"/>
                <w:szCs w:val="20"/>
              </w:rPr>
              <w:t>mg/day</w:t>
            </w:r>
          </w:p>
        </w:tc>
      </w:tr>
      <w:tr w:rsidR="00FA0589" w:rsidRPr="00EA2B2D" w14:paraId="5D8E3732" w14:textId="77777777" w:rsidTr="00DF421B">
        <w:trPr>
          <w:jc w:val="center"/>
        </w:trPr>
        <w:tc>
          <w:tcPr>
            <w:tcW w:w="2122" w:type="dxa"/>
          </w:tcPr>
          <w:p w14:paraId="0F33516E" w14:textId="3C6A6311" w:rsidR="00FA0589" w:rsidRPr="00EA2B2D" w:rsidRDefault="00FA0589" w:rsidP="00FA0589">
            <w:pPr>
              <w:rPr>
                <w:sz w:val="20"/>
                <w:szCs w:val="20"/>
              </w:rPr>
            </w:pPr>
            <w:r w:rsidRPr="00EA2B2D">
              <w:rPr>
                <w:sz w:val="20"/>
                <w:szCs w:val="20"/>
              </w:rPr>
              <w:t>Adults</w:t>
            </w:r>
            <w:r w:rsidR="00E11848">
              <w:rPr>
                <w:sz w:val="20"/>
                <w:szCs w:val="20"/>
              </w:rPr>
              <w:t xml:space="preserve"> 18 + y</w:t>
            </w:r>
          </w:p>
        </w:tc>
        <w:tc>
          <w:tcPr>
            <w:tcW w:w="1417" w:type="dxa"/>
            <w:vMerge w:val="restart"/>
            <w:vAlign w:val="center"/>
          </w:tcPr>
          <w:p w14:paraId="3EC79DA3" w14:textId="25623E4D" w:rsidR="00FA0589" w:rsidRPr="00EA2B2D" w:rsidRDefault="00FA0589" w:rsidP="00FA0589">
            <w:pPr>
              <w:jc w:val="center"/>
              <w:rPr>
                <w:sz w:val="20"/>
                <w:szCs w:val="20"/>
              </w:rPr>
            </w:pPr>
            <w:r w:rsidRPr="00EA2B2D">
              <w:rPr>
                <w:sz w:val="20"/>
                <w:szCs w:val="20"/>
              </w:rPr>
              <w:t>ND</w:t>
            </w:r>
          </w:p>
        </w:tc>
        <w:tc>
          <w:tcPr>
            <w:tcW w:w="1418" w:type="dxa"/>
            <w:vMerge w:val="restart"/>
            <w:vAlign w:val="center"/>
          </w:tcPr>
          <w:p w14:paraId="0AF7444B" w14:textId="66F85EE7" w:rsidR="00FA0589" w:rsidRPr="00EA2B2D" w:rsidRDefault="00FA0589" w:rsidP="00FA0589">
            <w:pPr>
              <w:jc w:val="center"/>
              <w:rPr>
                <w:sz w:val="20"/>
                <w:szCs w:val="20"/>
              </w:rPr>
            </w:pPr>
            <w:r w:rsidRPr="00EA2B2D">
              <w:rPr>
                <w:sz w:val="20"/>
                <w:szCs w:val="20"/>
              </w:rPr>
              <w:t>ND</w:t>
            </w:r>
          </w:p>
        </w:tc>
        <w:tc>
          <w:tcPr>
            <w:tcW w:w="1275" w:type="dxa"/>
            <w:vMerge w:val="restart"/>
            <w:vAlign w:val="center"/>
          </w:tcPr>
          <w:p w14:paraId="4B03AF10" w14:textId="6B5D950E" w:rsidR="00FA0589" w:rsidRPr="00EA2B2D" w:rsidRDefault="00FA0589" w:rsidP="00FA0589">
            <w:pPr>
              <w:jc w:val="center"/>
              <w:rPr>
                <w:sz w:val="20"/>
                <w:szCs w:val="20"/>
              </w:rPr>
            </w:pPr>
            <w:r w:rsidRPr="00EA2B2D">
              <w:rPr>
                <w:sz w:val="20"/>
                <w:szCs w:val="20"/>
              </w:rPr>
              <w:t>ND</w:t>
            </w:r>
          </w:p>
        </w:tc>
        <w:tc>
          <w:tcPr>
            <w:tcW w:w="1418" w:type="dxa"/>
            <w:vMerge w:val="restart"/>
            <w:vAlign w:val="center"/>
          </w:tcPr>
          <w:p w14:paraId="675FCD08" w14:textId="27C8B6B3" w:rsidR="00FA0589" w:rsidRPr="00EA2B2D" w:rsidRDefault="00FA0589" w:rsidP="00FA0589">
            <w:pPr>
              <w:jc w:val="center"/>
              <w:rPr>
                <w:sz w:val="20"/>
                <w:szCs w:val="20"/>
              </w:rPr>
            </w:pPr>
            <w:r w:rsidRPr="00EA2B2D">
              <w:rPr>
                <w:sz w:val="20"/>
                <w:szCs w:val="20"/>
              </w:rPr>
              <w:t>NS</w:t>
            </w:r>
          </w:p>
        </w:tc>
        <w:tc>
          <w:tcPr>
            <w:tcW w:w="1417" w:type="dxa"/>
            <w:vMerge w:val="restart"/>
            <w:vAlign w:val="center"/>
          </w:tcPr>
          <w:p w14:paraId="61498C0A" w14:textId="7263D651" w:rsidR="00FA0589" w:rsidRPr="00EA2B2D" w:rsidRDefault="00FA0589" w:rsidP="00FA0589">
            <w:pPr>
              <w:jc w:val="center"/>
              <w:rPr>
                <w:sz w:val="20"/>
                <w:szCs w:val="20"/>
              </w:rPr>
            </w:pPr>
            <w:r w:rsidRPr="00EA2B2D">
              <w:rPr>
                <w:sz w:val="20"/>
                <w:szCs w:val="20"/>
              </w:rPr>
              <w:t>NS</w:t>
            </w:r>
          </w:p>
        </w:tc>
      </w:tr>
      <w:tr w:rsidR="00FA0589" w:rsidRPr="00EA2B2D" w14:paraId="484FC0D7" w14:textId="77777777" w:rsidTr="00DF421B">
        <w:trPr>
          <w:jc w:val="center"/>
        </w:trPr>
        <w:tc>
          <w:tcPr>
            <w:tcW w:w="2122" w:type="dxa"/>
          </w:tcPr>
          <w:p w14:paraId="33E851A8" w14:textId="7317D93A" w:rsidR="00FA0589" w:rsidRPr="00EA2B2D" w:rsidRDefault="00FA0589" w:rsidP="00FA0589">
            <w:pPr>
              <w:rPr>
                <w:sz w:val="20"/>
                <w:szCs w:val="20"/>
              </w:rPr>
            </w:pPr>
            <w:r w:rsidRPr="00EA2B2D">
              <w:rPr>
                <w:sz w:val="20"/>
                <w:szCs w:val="20"/>
              </w:rPr>
              <w:t>Pregnancy</w:t>
            </w:r>
            <w:r w:rsidR="00E11848">
              <w:rPr>
                <w:sz w:val="20"/>
                <w:szCs w:val="20"/>
              </w:rPr>
              <w:t xml:space="preserve"> 18+ y</w:t>
            </w:r>
          </w:p>
        </w:tc>
        <w:tc>
          <w:tcPr>
            <w:tcW w:w="1417" w:type="dxa"/>
            <w:vMerge/>
            <w:vAlign w:val="center"/>
          </w:tcPr>
          <w:p w14:paraId="7291615C" w14:textId="1E5A5D70" w:rsidR="00FA0589" w:rsidRPr="00EA2B2D" w:rsidRDefault="00FA0589" w:rsidP="00FA0589">
            <w:pPr>
              <w:jc w:val="center"/>
              <w:rPr>
                <w:sz w:val="20"/>
                <w:szCs w:val="20"/>
              </w:rPr>
            </w:pPr>
          </w:p>
        </w:tc>
        <w:tc>
          <w:tcPr>
            <w:tcW w:w="1418" w:type="dxa"/>
            <w:vMerge/>
            <w:vAlign w:val="center"/>
          </w:tcPr>
          <w:p w14:paraId="4E5103A0" w14:textId="77777777" w:rsidR="00FA0589" w:rsidRPr="00EA2B2D" w:rsidRDefault="00FA0589" w:rsidP="00FA0589">
            <w:pPr>
              <w:jc w:val="center"/>
              <w:rPr>
                <w:sz w:val="20"/>
                <w:szCs w:val="20"/>
              </w:rPr>
            </w:pPr>
          </w:p>
        </w:tc>
        <w:tc>
          <w:tcPr>
            <w:tcW w:w="1275" w:type="dxa"/>
            <w:vMerge/>
            <w:vAlign w:val="center"/>
          </w:tcPr>
          <w:p w14:paraId="1504FF0C" w14:textId="77777777" w:rsidR="00FA0589" w:rsidRPr="00EA2B2D" w:rsidRDefault="00FA0589" w:rsidP="00FA0589">
            <w:pPr>
              <w:jc w:val="center"/>
              <w:rPr>
                <w:sz w:val="20"/>
                <w:szCs w:val="20"/>
              </w:rPr>
            </w:pPr>
          </w:p>
        </w:tc>
        <w:tc>
          <w:tcPr>
            <w:tcW w:w="1418" w:type="dxa"/>
            <w:vMerge/>
            <w:vAlign w:val="center"/>
          </w:tcPr>
          <w:p w14:paraId="7BB934BD" w14:textId="77777777" w:rsidR="00FA0589" w:rsidRPr="00EA2B2D" w:rsidRDefault="00FA0589" w:rsidP="00FA0589">
            <w:pPr>
              <w:jc w:val="center"/>
              <w:rPr>
                <w:sz w:val="20"/>
                <w:szCs w:val="20"/>
              </w:rPr>
            </w:pPr>
          </w:p>
        </w:tc>
        <w:tc>
          <w:tcPr>
            <w:tcW w:w="1417" w:type="dxa"/>
            <w:vMerge/>
            <w:vAlign w:val="center"/>
          </w:tcPr>
          <w:p w14:paraId="0B293E82" w14:textId="074D7256" w:rsidR="00FA0589" w:rsidRPr="00EA2B2D" w:rsidRDefault="00FA0589" w:rsidP="00FA0589">
            <w:pPr>
              <w:jc w:val="center"/>
              <w:rPr>
                <w:sz w:val="20"/>
                <w:szCs w:val="20"/>
              </w:rPr>
            </w:pPr>
          </w:p>
        </w:tc>
      </w:tr>
      <w:tr w:rsidR="00FA0589" w:rsidRPr="00EA2B2D" w14:paraId="7D6F639A" w14:textId="77777777" w:rsidTr="00DF421B">
        <w:trPr>
          <w:jc w:val="center"/>
        </w:trPr>
        <w:tc>
          <w:tcPr>
            <w:tcW w:w="2122" w:type="dxa"/>
          </w:tcPr>
          <w:p w14:paraId="36A5DA1D" w14:textId="06A442B2" w:rsidR="00FA0589" w:rsidRPr="00EA2B2D" w:rsidRDefault="00FA0589" w:rsidP="00FA0589">
            <w:pPr>
              <w:rPr>
                <w:sz w:val="20"/>
                <w:szCs w:val="20"/>
              </w:rPr>
            </w:pPr>
            <w:r w:rsidRPr="00EA2B2D">
              <w:rPr>
                <w:sz w:val="20"/>
                <w:szCs w:val="20"/>
              </w:rPr>
              <w:t>Lactation</w:t>
            </w:r>
            <w:r w:rsidR="00E11848">
              <w:rPr>
                <w:sz w:val="20"/>
                <w:szCs w:val="20"/>
              </w:rPr>
              <w:t xml:space="preserve"> 18+ y</w:t>
            </w:r>
          </w:p>
        </w:tc>
        <w:tc>
          <w:tcPr>
            <w:tcW w:w="1417" w:type="dxa"/>
            <w:vMerge/>
            <w:vAlign w:val="center"/>
          </w:tcPr>
          <w:p w14:paraId="13AD547E" w14:textId="77777777" w:rsidR="00FA0589" w:rsidRPr="00EA2B2D" w:rsidRDefault="00FA0589" w:rsidP="00FA0589">
            <w:pPr>
              <w:jc w:val="center"/>
              <w:rPr>
                <w:sz w:val="20"/>
                <w:szCs w:val="20"/>
              </w:rPr>
            </w:pPr>
          </w:p>
        </w:tc>
        <w:tc>
          <w:tcPr>
            <w:tcW w:w="1418" w:type="dxa"/>
            <w:vMerge/>
            <w:vAlign w:val="center"/>
          </w:tcPr>
          <w:p w14:paraId="7B8F23F6" w14:textId="77777777" w:rsidR="00FA0589" w:rsidRPr="00EA2B2D" w:rsidRDefault="00FA0589" w:rsidP="00FA0589">
            <w:pPr>
              <w:jc w:val="center"/>
              <w:rPr>
                <w:sz w:val="20"/>
                <w:szCs w:val="20"/>
              </w:rPr>
            </w:pPr>
          </w:p>
        </w:tc>
        <w:tc>
          <w:tcPr>
            <w:tcW w:w="1275" w:type="dxa"/>
            <w:vMerge/>
            <w:vAlign w:val="center"/>
          </w:tcPr>
          <w:p w14:paraId="3D638B6E" w14:textId="77777777" w:rsidR="00FA0589" w:rsidRPr="00EA2B2D" w:rsidRDefault="00FA0589" w:rsidP="00FA0589">
            <w:pPr>
              <w:jc w:val="center"/>
              <w:rPr>
                <w:sz w:val="20"/>
                <w:szCs w:val="20"/>
              </w:rPr>
            </w:pPr>
          </w:p>
        </w:tc>
        <w:tc>
          <w:tcPr>
            <w:tcW w:w="1418" w:type="dxa"/>
            <w:vMerge/>
            <w:vAlign w:val="center"/>
          </w:tcPr>
          <w:p w14:paraId="2EE8C691" w14:textId="77777777" w:rsidR="00FA0589" w:rsidRPr="00EA2B2D" w:rsidRDefault="00FA0589" w:rsidP="00FA0589">
            <w:pPr>
              <w:jc w:val="center"/>
              <w:rPr>
                <w:sz w:val="20"/>
                <w:szCs w:val="20"/>
              </w:rPr>
            </w:pPr>
          </w:p>
        </w:tc>
        <w:tc>
          <w:tcPr>
            <w:tcW w:w="1417" w:type="dxa"/>
            <w:vMerge/>
            <w:vAlign w:val="center"/>
          </w:tcPr>
          <w:p w14:paraId="331666B8" w14:textId="77777777" w:rsidR="00FA0589" w:rsidRPr="00EA2B2D" w:rsidRDefault="00FA0589" w:rsidP="00FA0589">
            <w:pPr>
              <w:jc w:val="center"/>
              <w:rPr>
                <w:sz w:val="20"/>
                <w:szCs w:val="20"/>
              </w:rPr>
            </w:pPr>
          </w:p>
        </w:tc>
      </w:tr>
      <w:tr w:rsidR="00E11848" w:rsidRPr="00EA2B2D" w14:paraId="6189C5C8" w14:textId="77777777" w:rsidTr="00DF421B">
        <w:trPr>
          <w:jc w:val="center"/>
        </w:trPr>
        <w:tc>
          <w:tcPr>
            <w:tcW w:w="2122" w:type="dxa"/>
          </w:tcPr>
          <w:p w14:paraId="427A918A" w14:textId="4B8F0E1D" w:rsidR="00E11848" w:rsidRPr="00EA2B2D" w:rsidRDefault="00E11848" w:rsidP="00E11848">
            <w:pPr>
              <w:rPr>
                <w:sz w:val="20"/>
                <w:szCs w:val="20"/>
              </w:rPr>
            </w:pPr>
            <w:r w:rsidRPr="00EA2B2D">
              <w:rPr>
                <w:sz w:val="20"/>
                <w:szCs w:val="20"/>
              </w:rPr>
              <w:t>Pregnancy</w:t>
            </w:r>
            <w:r>
              <w:rPr>
                <w:sz w:val="20"/>
                <w:szCs w:val="20"/>
              </w:rPr>
              <w:t xml:space="preserve"> 14-18 y</w:t>
            </w:r>
            <w:r w:rsidR="00DF421B">
              <w:rPr>
                <w:sz w:val="20"/>
                <w:szCs w:val="20"/>
              </w:rPr>
              <w:t>*</w:t>
            </w:r>
          </w:p>
        </w:tc>
        <w:tc>
          <w:tcPr>
            <w:tcW w:w="1417" w:type="dxa"/>
            <w:vAlign w:val="center"/>
          </w:tcPr>
          <w:p w14:paraId="732E3A97" w14:textId="5D7B82CE" w:rsidR="00E11848" w:rsidRPr="00EA2B2D" w:rsidRDefault="00DF421B" w:rsidP="00E11848">
            <w:pPr>
              <w:jc w:val="center"/>
              <w:rPr>
                <w:sz w:val="20"/>
                <w:szCs w:val="20"/>
              </w:rPr>
            </w:pPr>
            <w:r>
              <w:rPr>
                <w:sz w:val="20"/>
                <w:szCs w:val="20"/>
              </w:rPr>
              <w:t>2,300</w:t>
            </w:r>
          </w:p>
        </w:tc>
        <w:tc>
          <w:tcPr>
            <w:tcW w:w="1418" w:type="dxa"/>
            <w:vAlign w:val="center"/>
          </w:tcPr>
          <w:p w14:paraId="4F8A9C6E" w14:textId="563336E1" w:rsidR="00E11848" w:rsidRPr="00EA2B2D" w:rsidRDefault="008D30C6" w:rsidP="00E11848">
            <w:pPr>
              <w:jc w:val="center"/>
              <w:rPr>
                <w:sz w:val="20"/>
                <w:szCs w:val="20"/>
              </w:rPr>
            </w:pPr>
            <w:r w:rsidRPr="00EA2B2D">
              <w:rPr>
                <w:sz w:val="20"/>
                <w:szCs w:val="20"/>
              </w:rPr>
              <w:t>ND</w:t>
            </w:r>
          </w:p>
        </w:tc>
        <w:tc>
          <w:tcPr>
            <w:tcW w:w="1275" w:type="dxa"/>
            <w:vAlign w:val="center"/>
          </w:tcPr>
          <w:p w14:paraId="139FFF41" w14:textId="011EA680" w:rsidR="00E11848" w:rsidRPr="00EA2B2D" w:rsidRDefault="008D30C6" w:rsidP="00E11848">
            <w:pPr>
              <w:jc w:val="center"/>
              <w:rPr>
                <w:sz w:val="20"/>
                <w:szCs w:val="20"/>
              </w:rPr>
            </w:pPr>
            <w:r w:rsidRPr="00EA2B2D">
              <w:rPr>
                <w:sz w:val="20"/>
                <w:szCs w:val="20"/>
              </w:rPr>
              <w:t>ND</w:t>
            </w:r>
          </w:p>
        </w:tc>
        <w:tc>
          <w:tcPr>
            <w:tcW w:w="1418" w:type="dxa"/>
            <w:vAlign w:val="center"/>
          </w:tcPr>
          <w:p w14:paraId="7C102B8A" w14:textId="2C1096C6" w:rsidR="00E11848" w:rsidRPr="00EA2B2D" w:rsidRDefault="008D30C6" w:rsidP="00E11848">
            <w:pPr>
              <w:jc w:val="center"/>
              <w:rPr>
                <w:sz w:val="20"/>
                <w:szCs w:val="20"/>
              </w:rPr>
            </w:pPr>
            <w:r w:rsidRPr="00EA2B2D">
              <w:rPr>
                <w:sz w:val="20"/>
                <w:szCs w:val="20"/>
              </w:rPr>
              <w:t>NS</w:t>
            </w:r>
          </w:p>
        </w:tc>
        <w:tc>
          <w:tcPr>
            <w:tcW w:w="1417" w:type="dxa"/>
            <w:vAlign w:val="center"/>
          </w:tcPr>
          <w:p w14:paraId="13633F8D" w14:textId="43A9E614" w:rsidR="00E11848" w:rsidRPr="00EA2B2D" w:rsidRDefault="008D30C6" w:rsidP="00E11848">
            <w:pPr>
              <w:jc w:val="center"/>
              <w:rPr>
                <w:sz w:val="20"/>
                <w:szCs w:val="20"/>
              </w:rPr>
            </w:pPr>
            <w:r w:rsidRPr="00EA2B2D">
              <w:rPr>
                <w:sz w:val="20"/>
                <w:szCs w:val="20"/>
              </w:rPr>
              <w:t>NS</w:t>
            </w:r>
          </w:p>
        </w:tc>
      </w:tr>
      <w:tr w:rsidR="00E11848" w:rsidRPr="00EA2B2D" w14:paraId="04905101" w14:textId="77777777" w:rsidTr="00DF421B">
        <w:trPr>
          <w:jc w:val="center"/>
        </w:trPr>
        <w:tc>
          <w:tcPr>
            <w:tcW w:w="2122" w:type="dxa"/>
          </w:tcPr>
          <w:p w14:paraId="7D758762" w14:textId="7B560D7A" w:rsidR="00E11848" w:rsidRPr="00EA2B2D" w:rsidRDefault="00E11848" w:rsidP="00E11848">
            <w:pPr>
              <w:rPr>
                <w:sz w:val="20"/>
                <w:szCs w:val="20"/>
              </w:rPr>
            </w:pPr>
            <w:r w:rsidRPr="00EA2B2D">
              <w:rPr>
                <w:sz w:val="20"/>
                <w:szCs w:val="20"/>
              </w:rPr>
              <w:t>Lactation</w:t>
            </w:r>
            <w:r>
              <w:rPr>
                <w:sz w:val="20"/>
                <w:szCs w:val="20"/>
              </w:rPr>
              <w:t xml:space="preserve"> </w:t>
            </w:r>
            <w:r w:rsidR="00DF421B">
              <w:rPr>
                <w:sz w:val="20"/>
                <w:szCs w:val="20"/>
              </w:rPr>
              <w:t>14-18 y*</w:t>
            </w:r>
          </w:p>
        </w:tc>
        <w:tc>
          <w:tcPr>
            <w:tcW w:w="1417" w:type="dxa"/>
            <w:vAlign w:val="center"/>
          </w:tcPr>
          <w:p w14:paraId="20D7B2DD" w14:textId="1A355336" w:rsidR="00E11848" w:rsidRPr="00EA2B2D" w:rsidRDefault="00DF421B" w:rsidP="00E11848">
            <w:pPr>
              <w:jc w:val="center"/>
              <w:rPr>
                <w:sz w:val="20"/>
                <w:szCs w:val="20"/>
              </w:rPr>
            </w:pPr>
            <w:r>
              <w:rPr>
                <w:sz w:val="20"/>
                <w:szCs w:val="20"/>
              </w:rPr>
              <w:t>2,300</w:t>
            </w:r>
          </w:p>
        </w:tc>
        <w:tc>
          <w:tcPr>
            <w:tcW w:w="1418" w:type="dxa"/>
            <w:vAlign w:val="center"/>
          </w:tcPr>
          <w:p w14:paraId="0DF5904B" w14:textId="695AD50F" w:rsidR="00E11848" w:rsidRPr="00EA2B2D" w:rsidRDefault="008D30C6" w:rsidP="00E11848">
            <w:pPr>
              <w:jc w:val="center"/>
              <w:rPr>
                <w:sz w:val="20"/>
                <w:szCs w:val="20"/>
              </w:rPr>
            </w:pPr>
            <w:r w:rsidRPr="00EA2B2D">
              <w:rPr>
                <w:sz w:val="20"/>
                <w:szCs w:val="20"/>
              </w:rPr>
              <w:t>ND</w:t>
            </w:r>
          </w:p>
        </w:tc>
        <w:tc>
          <w:tcPr>
            <w:tcW w:w="1275" w:type="dxa"/>
            <w:vAlign w:val="center"/>
          </w:tcPr>
          <w:p w14:paraId="20AD5614" w14:textId="1484AB82" w:rsidR="00E11848" w:rsidRPr="00EA2B2D" w:rsidRDefault="008D30C6" w:rsidP="00E11848">
            <w:pPr>
              <w:jc w:val="center"/>
              <w:rPr>
                <w:sz w:val="20"/>
                <w:szCs w:val="20"/>
              </w:rPr>
            </w:pPr>
            <w:r w:rsidRPr="00EA2B2D">
              <w:rPr>
                <w:sz w:val="20"/>
                <w:szCs w:val="20"/>
              </w:rPr>
              <w:t>ND</w:t>
            </w:r>
          </w:p>
        </w:tc>
        <w:tc>
          <w:tcPr>
            <w:tcW w:w="1418" w:type="dxa"/>
            <w:vAlign w:val="center"/>
          </w:tcPr>
          <w:p w14:paraId="34CC0606" w14:textId="2D7744CD" w:rsidR="00E11848" w:rsidRPr="00EA2B2D" w:rsidRDefault="008D30C6" w:rsidP="00E11848">
            <w:pPr>
              <w:jc w:val="center"/>
              <w:rPr>
                <w:sz w:val="20"/>
                <w:szCs w:val="20"/>
              </w:rPr>
            </w:pPr>
            <w:r w:rsidRPr="00EA2B2D">
              <w:rPr>
                <w:sz w:val="20"/>
                <w:szCs w:val="20"/>
              </w:rPr>
              <w:t>NS</w:t>
            </w:r>
          </w:p>
        </w:tc>
        <w:tc>
          <w:tcPr>
            <w:tcW w:w="1417" w:type="dxa"/>
            <w:vAlign w:val="center"/>
          </w:tcPr>
          <w:p w14:paraId="120FD5F8" w14:textId="4F0EF36B" w:rsidR="00E11848" w:rsidRPr="00EA2B2D" w:rsidRDefault="008D30C6" w:rsidP="00E11848">
            <w:pPr>
              <w:jc w:val="center"/>
              <w:rPr>
                <w:sz w:val="20"/>
                <w:szCs w:val="20"/>
              </w:rPr>
            </w:pPr>
            <w:r w:rsidRPr="00EA2B2D">
              <w:rPr>
                <w:sz w:val="20"/>
                <w:szCs w:val="20"/>
              </w:rPr>
              <w:t>NS</w:t>
            </w:r>
          </w:p>
        </w:tc>
      </w:tr>
      <w:tr w:rsidR="00E11848" w:rsidRPr="00EA2B2D" w14:paraId="66C8AD1A" w14:textId="77777777" w:rsidTr="00EA2B2D">
        <w:trPr>
          <w:jc w:val="center"/>
        </w:trPr>
        <w:tc>
          <w:tcPr>
            <w:tcW w:w="9067" w:type="dxa"/>
            <w:gridSpan w:val="6"/>
          </w:tcPr>
          <w:p w14:paraId="354D0514" w14:textId="2DD3DFA5" w:rsidR="00E11848" w:rsidRPr="00EA2B2D" w:rsidRDefault="00E11848" w:rsidP="00E11848">
            <w:pPr>
              <w:rPr>
                <w:sz w:val="20"/>
                <w:szCs w:val="20"/>
              </w:rPr>
            </w:pPr>
            <w:r w:rsidRPr="00EA2B2D">
              <w:rPr>
                <w:sz w:val="20"/>
                <w:szCs w:val="20"/>
              </w:rPr>
              <w:t>Children and adolescents</w:t>
            </w:r>
          </w:p>
        </w:tc>
      </w:tr>
      <w:tr w:rsidR="009E60EF" w:rsidRPr="00EA2B2D" w14:paraId="18AB6F52" w14:textId="77777777" w:rsidTr="009E60EF">
        <w:trPr>
          <w:trHeight w:val="450"/>
          <w:jc w:val="center"/>
        </w:trPr>
        <w:tc>
          <w:tcPr>
            <w:tcW w:w="2122" w:type="dxa"/>
            <w:vAlign w:val="center"/>
          </w:tcPr>
          <w:p w14:paraId="5B1D96B3" w14:textId="0E18D13A" w:rsidR="009E60EF" w:rsidRPr="00EA2B2D" w:rsidRDefault="009E60EF" w:rsidP="009E60EF">
            <w:pPr>
              <w:ind w:left="164"/>
              <w:rPr>
                <w:sz w:val="20"/>
                <w:szCs w:val="20"/>
              </w:rPr>
            </w:pPr>
            <w:r w:rsidRPr="00EA2B2D">
              <w:rPr>
                <w:sz w:val="20"/>
                <w:szCs w:val="20"/>
              </w:rPr>
              <w:t xml:space="preserve">1 </w:t>
            </w:r>
            <w:r>
              <w:rPr>
                <w:sz w:val="20"/>
                <w:szCs w:val="20"/>
              </w:rPr>
              <w:t xml:space="preserve">-3 </w:t>
            </w:r>
            <w:r w:rsidRPr="00EA2B2D">
              <w:rPr>
                <w:sz w:val="20"/>
                <w:szCs w:val="20"/>
              </w:rPr>
              <w:t>yr</w:t>
            </w:r>
          </w:p>
        </w:tc>
        <w:tc>
          <w:tcPr>
            <w:tcW w:w="1417" w:type="dxa"/>
            <w:vAlign w:val="center"/>
          </w:tcPr>
          <w:p w14:paraId="192B2E3E" w14:textId="3C9633D1" w:rsidR="009E60EF" w:rsidRPr="00EA2B2D" w:rsidRDefault="009E60EF" w:rsidP="00E11848">
            <w:pPr>
              <w:jc w:val="center"/>
              <w:rPr>
                <w:sz w:val="20"/>
                <w:szCs w:val="20"/>
              </w:rPr>
            </w:pPr>
            <w:r w:rsidRPr="00EA2B2D">
              <w:rPr>
                <w:sz w:val="20"/>
                <w:szCs w:val="20"/>
              </w:rPr>
              <w:t>1,100</w:t>
            </w:r>
          </w:p>
        </w:tc>
        <w:tc>
          <w:tcPr>
            <w:tcW w:w="1418" w:type="dxa"/>
            <w:vMerge w:val="restart"/>
            <w:vAlign w:val="center"/>
          </w:tcPr>
          <w:p w14:paraId="2899B281" w14:textId="1A5098F3" w:rsidR="009E60EF" w:rsidRPr="00EA2B2D" w:rsidRDefault="009E60EF" w:rsidP="00E11848">
            <w:pPr>
              <w:jc w:val="center"/>
              <w:rPr>
                <w:sz w:val="20"/>
                <w:szCs w:val="20"/>
              </w:rPr>
            </w:pPr>
            <w:r w:rsidRPr="00EA2B2D">
              <w:rPr>
                <w:sz w:val="20"/>
                <w:szCs w:val="20"/>
              </w:rPr>
              <w:t>ND</w:t>
            </w:r>
          </w:p>
        </w:tc>
        <w:tc>
          <w:tcPr>
            <w:tcW w:w="1275" w:type="dxa"/>
            <w:vMerge w:val="restart"/>
            <w:vAlign w:val="center"/>
          </w:tcPr>
          <w:p w14:paraId="2B61B843" w14:textId="59ABAEEE" w:rsidR="009E60EF" w:rsidRPr="00EA2B2D" w:rsidRDefault="009E60EF" w:rsidP="00E11848">
            <w:pPr>
              <w:jc w:val="center"/>
              <w:rPr>
                <w:sz w:val="20"/>
                <w:szCs w:val="20"/>
              </w:rPr>
            </w:pPr>
            <w:r w:rsidRPr="00EA2B2D">
              <w:rPr>
                <w:sz w:val="20"/>
                <w:szCs w:val="20"/>
              </w:rPr>
              <w:t>ND</w:t>
            </w:r>
          </w:p>
        </w:tc>
        <w:tc>
          <w:tcPr>
            <w:tcW w:w="1418" w:type="dxa"/>
            <w:vMerge w:val="restart"/>
            <w:vAlign w:val="center"/>
          </w:tcPr>
          <w:p w14:paraId="5EE69B0F" w14:textId="4A7F750E" w:rsidR="009E60EF" w:rsidRPr="00EA2B2D" w:rsidRDefault="009E60EF" w:rsidP="00E11848">
            <w:pPr>
              <w:jc w:val="center"/>
              <w:rPr>
                <w:sz w:val="20"/>
                <w:szCs w:val="20"/>
              </w:rPr>
            </w:pPr>
            <w:r w:rsidRPr="00EA2B2D">
              <w:rPr>
                <w:sz w:val="20"/>
                <w:szCs w:val="20"/>
              </w:rPr>
              <w:t>NS</w:t>
            </w:r>
          </w:p>
        </w:tc>
        <w:tc>
          <w:tcPr>
            <w:tcW w:w="1417" w:type="dxa"/>
            <w:vMerge w:val="restart"/>
            <w:vAlign w:val="center"/>
          </w:tcPr>
          <w:p w14:paraId="4FD77B8B" w14:textId="2FAD9FC1" w:rsidR="009E60EF" w:rsidRPr="00EA2B2D" w:rsidRDefault="009E60EF" w:rsidP="00E11848">
            <w:pPr>
              <w:jc w:val="center"/>
              <w:rPr>
                <w:sz w:val="20"/>
                <w:szCs w:val="20"/>
              </w:rPr>
            </w:pPr>
            <w:r w:rsidRPr="00EA2B2D">
              <w:rPr>
                <w:sz w:val="20"/>
                <w:szCs w:val="20"/>
              </w:rPr>
              <w:t>NS</w:t>
            </w:r>
          </w:p>
        </w:tc>
      </w:tr>
      <w:tr w:rsidR="009E60EF" w:rsidRPr="00EA2B2D" w14:paraId="4ABE5F99" w14:textId="77777777" w:rsidTr="009E60EF">
        <w:trPr>
          <w:trHeight w:val="414"/>
          <w:jc w:val="center"/>
        </w:trPr>
        <w:tc>
          <w:tcPr>
            <w:tcW w:w="2122" w:type="dxa"/>
            <w:vAlign w:val="center"/>
          </w:tcPr>
          <w:p w14:paraId="30B0C64C" w14:textId="03E93FC8" w:rsidR="009E60EF" w:rsidRPr="00EA2B2D" w:rsidRDefault="009E60EF" w:rsidP="009E60EF">
            <w:pPr>
              <w:ind w:left="164"/>
              <w:rPr>
                <w:sz w:val="20"/>
                <w:szCs w:val="20"/>
              </w:rPr>
            </w:pPr>
            <w:r w:rsidRPr="00EA2B2D">
              <w:rPr>
                <w:sz w:val="20"/>
                <w:szCs w:val="20"/>
              </w:rPr>
              <w:t>4</w:t>
            </w:r>
            <w:r>
              <w:rPr>
                <w:sz w:val="20"/>
                <w:szCs w:val="20"/>
              </w:rPr>
              <w:t xml:space="preserve"> -8</w:t>
            </w:r>
            <w:r w:rsidRPr="00EA2B2D">
              <w:rPr>
                <w:sz w:val="20"/>
                <w:szCs w:val="20"/>
              </w:rPr>
              <w:t xml:space="preserve"> yr</w:t>
            </w:r>
          </w:p>
        </w:tc>
        <w:tc>
          <w:tcPr>
            <w:tcW w:w="1417" w:type="dxa"/>
            <w:vAlign w:val="center"/>
          </w:tcPr>
          <w:p w14:paraId="08B4163F" w14:textId="061022EC" w:rsidR="009E60EF" w:rsidRPr="00EA2B2D" w:rsidRDefault="009E60EF" w:rsidP="00E11848">
            <w:pPr>
              <w:jc w:val="center"/>
              <w:rPr>
                <w:sz w:val="20"/>
                <w:szCs w:val="20"/>
              </w:rPr>
            </w:pPr>
            <w:r w:rsidRPr="00EA2B2D">
              <w:rPr>
                <w:sz w:val="20"/>
                <w:szCs w:val="20"/>
              </w:rPr>
              <w:t>1,400</w:t>
            </w:r>
          </w:p>
        </w:tc>
        <w:tc>
          <w:tcPr>
            <w:tcW w:w="1418" w:type="dxa"/>
            <w:vMerge/>
            <w:vAlign w:val="center"/>
          </w:tcPr>
          <w:p w14:paraId="7FC6310B" w14:textId="467F2D8B" w:rsidR="009E60EF" w:rsidRPr="00EA2B2D" w:rsidRDefault="009E60EF" w:rsidP="00E11848">
            <w:pPr>
              <w:jc w:val="center"/>
              <w:rPr>
                <w:sz w:val="20"/>
                <w:szCs w:val="20"/>
              </w:rPr>
            </w:pPr>
          </w:p>
        </w:tc>
        <w:tc>
          <w:tcPr>
            <w:tcW w:w="1275" w:type="dxa"/>
            <w:vMerge/>
            <w:vAlign w:val="center"/>
          </w:tcPr>
          <w:p w14:paraId="7154821B" w14:textId="36FD1A10" w:rsidR="009E60EF" w:rsidRPr="00EA2B2D" w:rsidRDefault="009E60EF" w:rsidP="00E11848">
            <w:pPr>
              <w:jc w:val="center"/>
              <w:rPr>
                <w:sz w:val="20"/>
                <w:szCs w:val="20"/>
              </w:rPr>
            </w:pPr>
          </w:p>
        </w:tc>
        <w:tc>
          <w:tcPr>
            <w:tcW w:w="1418" w:type="dxa"/>
            <w:vMerge/>
            <w:vAlign w:val="center"/>
          </w:tcPr>
          <w:p w14:paraId="5210439D" w14:textId="3BAD6F84" w:rsidR="009E60EF" w:rsidRPr="00EA2B2D" w:rsidRDefault="009E60EF" w:rsidP="00E11848">
            <w:pPr>
              <w:jc w:val="center"/>
              <w:rPr>
                <w:sz w:val="20"/>
                <w:szCs w:val="20"/>
              </w:rPr>
            </w:pPr>
          </w:p>
        </w:tc>
        <w:tc>
          <w:tcPr>
            <w:tcW w:w="1417" w:type="dxa"/>
            <w:vMerge/>
            <w:vAlign w:val="center"/>
          </w:tcPr>
          <w:p w14:paraId="54FEB6F9" w14:textId="77777777" w:rsidR="009E60EF" w:rsidRPr="00EA2B2D" w:rsidRDefault="009E60EF" w:rsidP="00E11848">
            <w:pPr>
              <w:jc w:val="center"/>
              <w:rPr>
                <w:sz w:val="20"/>
                <w:szCs w:val="20"/>
              </w:rPr>
            </w:pPr>
          </w:p>
        </w:tc>
      </w:tr>
      <w:tr w:rsidR="009E60EF" w:rsidRPr="00EA2B2D" w14:paraId="07165328" w14:textId="77777777" w:rsidTr="009E60EF">
        <w:trPr>
          <w:trHeight w:val="421"/>
          <w:jc w:val="center"/>
        </w:trPr>
        <w:tc>
          <w:tcPr>
            <w:tcW w:w="2122" w:type="dxa"/>
            <w:vAlign w:val="center"/>
          </w:tcPr>
          <w:p w14:paraId="61048F6F" w14:textId="6B38CD69" w:rsidR="009E60EF" w:rsidRPr="00EA2B2D" w:rsidRDefault="009E60EF" w:rsidP="009E60EF">
            <w:pPr>
              <w:ind w:left="164"/>
              <w:rPr>
                <w:sz w:val="20"/>
                <w:szCs w:val="20"/>
              </w:rPr>
            </w:pPr>
            <w:r w:rsidRPr="00EA2B2D">
              <w:rPr>
                <w:sz w:val="20"/>
                <w:szCs w:val="20"/>
              </w:rPr>
              <w:t xml:space="preserve">9 </w:t>
            </w:r>
            <w:r>
              <w:rPr>
                <w:sz w:val="20"/>
                <w:szCs w:val="20"/>
              </w:rPr>
              <w:t xml:space="preserve">-13 </w:t>
            </w:r>
            <w:r w:rsidRPr="00EA2B2D">
              <w:rPr>
                <w:sz w:val="20"/>
                <w:szCs w:val="20"/>
              </w:rPr>
              <w:t>yr</w:t>
            </w:r>
          </w:p>
        </w:tc>
        <w:tc>
          <w:tcPr>
            <w:tcW w:w="1417" w:type="dxa"/>
            <w:vAlign w:val="center"/>
          </w:tcPr>
          <w:p w14:paraId="06FF82E0" w14:textId="1DC86EBC" w:rsidR="009E60EF" w:rsidRPr="00EA2B2D" w:rsidRDefault="009E60EF" w:rsidP="00E11848">
            <w:pPr>
              <w:jc w:val="center"/>
              <w:rPr>
                <w:sz w:val="20"/>
                <w:szCs w:val="20"/>
              </w:rPr>
            </w:pPr>
            <w:r w:rsidRPr="00EA2B2D">
              <w:rPr>
                <w:sz w:val="20"/>
                <w:szCs w:val="20"/>
              </w:rPr>
              <w:t>2,000</w:t>
            </w:r>
          </w:p>
        </w:tc>
        <w:tc>
          <w:tcPr>
            <w:tcW w:w="1418" w:type="dxa"/>
            <w:vMerge/>
            <w:vAlign w:val="center"/>
          </w:tcPr>
          <w:p w14:paraId="134C6DEC" w14:textId="3EFE0492" w:rsidR="009E60EF" w:rsidRPr="00EA2B2D" w:rsidRDefault="009E60EF" w:rsidP="00E11848">
            <w:pPr>
              <w:jc w:val="center"/>
              <w:rPr>
                <w:sz w:val="20"/>
                <w:szCs w:val="20"/>
              </w:rPr>
            </w:pPr>
          </w:p>
        </w:tc>
        <w:tc>
          <w:tcPr>
            <w:tcW w:w="1275" w:type="dxa"/>
            <w:vMerge/>
            <w:vAlign w:val="center"/>
          </w:tcPr>
          <w:p w14:paraId="7621A018" w14:textId="77777777" w:rsidR="009E60EF" w:rsidRPr="00EA2B2D" w:rsidRDefault="009E60EF" w:rsidP="00E11848">
            <w:pPr>
              <w:jc w:val="center"/>
              <w:rPr>
                <w:sz w:val="20"/>
                <w:szCs w:val="20"/>
              </w:rPr>
            </w:pPr>
          </w:p>
        </w:tc>
        <w:tc>
          <w:tcPr>
            <w:tcW w:w="1418" w:type="dxa"/>
            <w:vMerge/>
            <w:vAlign w:val="center"/>
          </w:tcPr>
          <w:p w14:paraId="03079CC1" w14:textId="77777777" w:rsidR="009E60EF" w:rsidRPr="00EA2B2D" w:rsidRDefault="009E60EF" w:rsidP="00E11848">
            <w:pPr>
              <w:jc w:val="center"/>
              <w:rPr>
                <w:sz w:val="20"/>
                <w:szCs w:val="20"/>
              </w:rPr>
            </w:pPr>
          </w:p>
        </w:tc>
        <w:tc>
          <w:tcPr>
            <w:tcW w:w="1417" w:type="dxa"/>
            <w:vMerge/>
            <w:vAlign w:val="center"/>
          </w:tcPr>
          <w:p w14:paraId="5615381B" w14:textId="77777777" w:rsidR="009E60EF" w:rsidRPr="00EA2B2D" w:rsidRDefault="009E60EF" w:rsidP="00E11848">
            <w:pPr>
              <w:jc w:val="center"/>
              <w:rPr>
                <w:sz w:val="20"/>
                <w:szCs w:val="20"/>
              </w:rPr>
            </w:pPr>
          </w:p>
        </w:tc>
      </w:tr>
      <w:tr w:rsidR="009E60EF" w:rsidRPr="00EA2B2D" w14:paraId="59D6D8EF" w14:textId="77777777" w:rsidTr="009E60EF">
        <w:trPr>
          <w:trHeight w:val="399"/>
          <w:jc w:val="center"/>
        </w:trPr>
        <w:tc>
          <w:tcPr>
            <w:tcW w:w="2122" w:type="dxa"/>
            <w:vAlign w:val="center"/>
          </w:tcPr>
          <w:p w14:paraId="42264BF0" w14:textId="7F1371E1" w:rsidR="009E60EF" w:rsidRPr="00EA2B2D" w:rsidRDefault="009E60EF" w:rsidP="009E60EF">
            <w:pPr>
              <w:ind w:left="164"/>
              <w:rPr>
                <w:sz w:val="20"/>
                <w:szCs w:val="20"/>
              </w:rPr>
            </w:pPr>
            <w:r w:rsidRPr="00EA2B2D">
              <w:rPr>
                <w:sz w:val="20"/>
                <w:szCs w:val="20"/>
              </w:rPr>
              <w:t xml:space="preserve">14 </w:t>
            </w:r>
            <w:r>
              <w:rPr>
                <w:sz w:val="20"/>
                <w:szCs w:val="20"/>
              </w:rPr>
              <w:t>-18</w:t>
            </w:r>
            <w:r w:rsidRPr="00EA2B2D">
              <w:rPr>
                <w:sz w:val="20"/>
                <w:szCs w:val="20"/>
              </w:rPr>
              <w:t>yr</w:t>
            </w:r>
            <w:r>
              <w:rPr>
                <w:sz w:val="20"/>
                <w:szCs w:val="20"/>
              </w:rPr>
              <w:t>*</w:t>
            </w:r>
          </w:p>
        </w:tc>
        <w:tc>
          <w:tcPr>
            <w:tcW w:w="1417" w:type="dxa"/>
            <w:vAlign w:val="center"/>
          </w:tcPr>
          <w:p w14:paraId="523BFBA5" w14:textId="79120EED" w:rsidR="009E60EF" w:rsidRPr="00EA2B2D" w:rsidRDefault="009E60EF" w:rsidP="00E11848">
            <w:pPr>
              <w:jc w:val="center"/>
              <w:rPr>
                <w:sz w:val="20"/>
                <w:szCs w:val="20"/>
              </w:rPr>
            </w:pPr>
            <w:r w:rsidRPr="00EA2B2D">
              <w:rPr>
                <w:sz w:val="20"/>
                <w:szCs w:val="20"/>
              </w:rPr>
              <w:t>2,300</w:t>
            </w:r>
          </w:p>
        </w:tc>
        <w:tc>
          <w:tcPr>
            <w:tcW w:w="1418" w:type="dxa"/>
            <w:vMerge/>
            <w:vAlign w:val="center"/>
          </w:tcPr>
          <w:p w14:paraId="6231D164" w14:textId="5E0BCDE7" w:rsidR="009E60EF" w:rsidRPr="00EA2B2D" w:rsidRDefault="009E60EF" w:rsidP="00E11848">
            <w:pPr>
              <w:jc w:val="center"/>
              <w:rPr>
                <w:sz w:val="20"/>
                <w:szCs w:val="20"/>
              </w:rPr>
            </w:pPr>
          </w:p>
        </w:tc>
        <w:tc>
          <w:tcPr>
            <w:tcW w:w="1275" w:type="dxa"/>
            <w:vMerge/>
            <w:vAlign w:val="center"/>
          </w:tcPr>
          <w:p w14:paraId="2C3ACB1C" w14:textId="77777777" w:rsidR="009E60EF" w:rsidRPr="00EA2B2D" w:rsidRDefault="009E60EF" w:rsidP="00E11848">
            <w:pPr>
              <w:jc w:val="center"/>
              <w:rPr>
                <w:sz w:val="20"/>
                <w:szCs w:val="20"/>
              </w:rPr>
            </w:pPr>
          </w:p>
        </w:tc>
        <w:tc>
          <w:tcPr>
            <w:tcW w:w="1418" w:type="dxa"/>
            <w:vMerge/>
            <w:vAlign w:val="center"/>
          </w:tcPr>
          <w:p w14:paraId="668ECC95" w14:textId="77777777" w:rsidR="009E60EF" w:rsidRPr="00EA2B2D" w:rsidRDefault="009E60EF" w:rsidP="00E11848">
            <w:pPr>
              <w:jc w:val="center"/>
              <w:rPr>
                <w:sz w:val="20"/>
                <w:szCs w:val="20"/>
              </w:rPr>
            </w:pPr>
          </w:p>
        </w:tc>
        <w:tc>
          <w:tcPr>
            <w:tcW w:w="1417" w:type="dxa"/>
            <w:vMerge/>
            <w:vAlign w:val="center"/>
          </w:tcPr>
          <w:p w14:paraId="0F4B610D" w14:textId="77777777" w:rsidR="009E60EF" w:rsidRPr="00EA2B2D" w:rsidRDefault="009E60EF" w:rsidP="00E11848">
            <w:pPr>
              <w:jc w:val="center"/>
              <w:rPr>
                <w:sz w:val="20"/>
                <w:szCs w:val="20"/>
              </w:rPr>
            </w:pPr>
          </w:p>
        </w:tc>
      </w:tr>
    </w:tbl>
    <w:p w14:paraId="0AB1A0DA" w14:textId="7827A73B" w:rsidR="00507ED2" w:rsidRDefault="00507ED2" w:rsidP="00FA0589">
      <w:pPr>
        <w:spacing w:after="0"/>
        <w:rPr>
          <w:sz w:val="20"/>
          <w:szCs w:val="20"/>
        </w:rPr>
      </w:pPr>
      <w:r>
        <w:rPr>
          <w:sz w:val="20"/>
          <w:szCs w:val="20"/>
        </w:rPr>
        <w:t>ND = Not determined</w:t>
      </w:r>
      <w:r w:rsidR="00963274">
        <w:rPr>
          <w:sz w:val="20"/>
          <w:szCs w:val="20"/>
        </w:rPr>
        <w:t>; NS = Not specified</w:t>
      </w:r>
    </w:p>
    <w:p w14:paraId="3F45BC1A" w14:textId="77777777" w:rsidR="0005610E" w:rsidRDefault="0005610E" w:rsidP="00FA0589">
      <w:pPr>
        <w:spacing w:after="0"/>
        <w:rPr>
          <w:sz w:val="20"/>
          <w:szCs w:val="20"/>
        </w:rPr>
      </w:pPr>
    </w:p>
    <w:p w14:paraId="56AE69C8" w14:textId="045DFBCD" w:rsidR="00A50529" w:rsidRDefault="00A50529" w:rsidP="00FA0589">
      <w:pPr>
        <w:spacing w:after="0"/>
        <w:rPr>
          <w:i/>
          <w:iCs/>
          <w:sz w:val="20"/>
          <w:szCs w:val="20"/>
        </w:rPr>
      </w:pPr>
      <w:r>
        <w:rPr>
          <w:sz w:val="20"/>
          <w:szCs w:val="20"/>
        </w:rPr>
        <w:t>*</w:t>
      </w:r>
      <w:r w:rsidR="00E1321F">
        <w:rPr>
          <w:sz w:val="20"/>
          <w:szCs w:val="20"/>
        </w:rPr>
        <w:t xml:space="preserve"> Due to the review of adult UL values in 2017</w:t>
      </w:r>
      <w:r w:rsidR="00DF421B">
        <w:rPr>
          <w:sz w:val="20"/>
          <w:szCs w:val="20"/>
        </w:rPr>
        <w:t xml:space="preserve"> - </w:t>
      </w:r>
      <w:r w:rsidR="00E1321F">
        <w:rPr>
          <w:sz w:val="20"/>
          <w:szCs w:val="20"/>
        </w:rPr>
        <w:t>and revision of age groupings</w:t>
      </w:r>
      <w:r w:rsidR="00DF421B">
        <w:rPr>
          <w:sz w:val="20"/>
          <w:szCs w:val="20"/>
        </w:rPr>
        <w:t xml:space="preserve"> for adults from 19+ years to 18+ years</w:t>
      </w:r>
      <w:r w:rsidR="00BD3927">
        <w:rPr>
          <w:sz w:val="20"/>
          <w:szCs w:val="20"/>
        </w:rPr>
        <w:t xml:space="preserve"> -</w:t>
      </w:r>
      <w:r w:rsidR="00E1321F">
        <w:rPr>
          <w:sz w:val="20"/>
          <w:szCs w:val="20"/>
        </w:rPr>
        <w:t xml:space="preserve"> there are overlapping </w:t>
      </w:r>
      <w:r w:rsidR="00E11848">
        <w:rPr>
          <w:sz w:val="20"/>
          <w:szCs w:val="20"/>
        </w:rPr>
        <w:t xml:space="preserve">UL </w:t>
      </w:r>
      <w:r w:rsidR="00E1321F">
        <w:rPr>
          <w:sz w:val="20"/>
          <w:szCs w:val="20"/>
        </w:rPr>
        <w:t>recommendations for 18 year olds</w:t>
      </w:r>
      <w:r w:rsidR="000453D6">
        <w:rPr>
          <w:sz w:val="20"/>
          <w:szCs w:val="20"/>
        </w:rPr>
        <w:t xml:space="preserve">. The recommendations state: </w:t>
      </w:r>
      <w:r w:rsidR="0005610E" w:rsidRPr="0005610E">
        <w:rPr>
          <w:i/>
          <w:iCs/>
          <w:sz w:val="20"/>
          <w:szCs w:val="20"/>
        </w:rPr>
        <w:t>The 2006 UL for 14 - 18 years, including for pregnancy and lactation, remains until the UL for infants, children and adolescents are reviewed. The 2017 UL for adults of ‘not determined’ is for adults 18+ years. It is recognised that currently there is overlap in the </w:t>
      </w:r>
      <w:hyperlink r:id="rId43" w:anchor="UL" w:history="1">
        <w:r w:rsidR="0005610E" w:rsidRPr="0005610E">
          <w:rPr>
            <w:rStyle w:val="Hyperlink"/>
            <w:i/>
            <w:iCs/>
            <w:sz w:val="20"/>
            <w:szCs w:val="20"/>
          </w:rPr>
          <w:t>UL</w:t>
        </w:r>
      </w:hyperlink>
      <w:r w:rsidR="0005610E" w:rsidRPr="0005610E">
        <w:rPr>
          <w:i/>
          <w:iCs/>
          <w:sz w:val="20"/>
          <w:szCs w:val="20"/>
        </w:rPr>
        <w:t> recommendations for 18 year olds. The UL for 18 year olds should be taken as the 2017 </w:t>
      </w:r>
      <w:hyperlink r:id="rId44" w:anchor="UL" w:history="1">
        <w:r w:rsidR="0005610E" w:rsidRPr="0005610E">
          <w:rPr>
            <w:rStyle w:val="Hyperlink"/>
            <w:i/>
            <w:iCs/>
            <w:sz w:val="20"/>
            <w:szCs w:val="20"/>
          </w:rPr>
          <w:t>UL</w:t>
        </w:r>
      </w:hyperlink>
      <w:r w:rsidR="0005610E" w:rsidRPr="0005610E">
        <w:rPr>
          <w:i/>
          <w:iCs/>
          <w:sz w:val="20"/>
          <w:szCs w:val="20"/>
        </w:rPr>
        <w:t xml:space="preserve"> for adults as this is more </w:t>
      </w:r>
      <w:proofErr w:type="gramStart"/>
      <w:r w:rsidR="0005610E" w:rsidRPr="0005610E">
        <w:rPr>
          <w:i/>
          <w:iCs/>
          <w:sz w:val="20"/>
          <w:szCs w:val="20"/>
        </w:rPr>
        <w:t>up-to-date</w:t>
      </w:r>
      <w:proofErr w:type="gramEnd"/>
      <w:r w:rsidR="0005610E" w:rsidRPr="0005610E">
        <w:rPr>
          <w:i/>
          <w:iCs/>
          <w:sz w:val="20"/>
          <w:szCs w:val="20"/>
        </w:rPr>
        <w:t>.</w:t>
      </w:r>
    </w:p>
    <w:p w14:paraId="4EFA39CE" w14:textId="77777777" w:rsidR="0005610E" w:rsidRDefault="0005610E" w:rsidP="00FA0589">
      <w:pPr>
        <w:spacing w:after="0"/>
        <w:rPr>
          <w:sz w:val="20"/>
          <w:szCs w:val="20"/>
        </w:rPr>
      </w:pPr>
    </w:p>
    <w:p w14:paraId="39AA7A97" w14:textId="28A4FFAB" w:rsidR="00B60020" w:rsidRPr="00A35985" w:rsidRDefault="00A35985">
      <w:pPr>
        <w:rPr>
          <w:rFonts w:asciiTheme="majorHAnsi" w:eastAsiaTheme="majorEastAsia" w:hAnsiTheme="majorHAnsi" w:cstheme="majorBidi"/>
          <w:color w:val="0F4761" w:themeColor="accent1" w:themeShade="BF"/>
          <w:sz w:val="40"/>
          <w:szCs w:val="40"/>
        </w:rPr>
      </w:pPr>
      <w:r w:rsidRPr="00A35985">
        <w:rPr>
          <w:sz w:val="20"/>
          <w:szCs w:val="20"/>
        </w:rPr>
        <w:t>^ In 2017 the UL values for adults were reviewed. Values for children</w:t>
      </w:r>
      <w:r w:rsidR="007B5826">
        <w:rPr>
          <w:sz w:val="20"/>
          <w:szCs w:val="20"/>
        </w:rPr>
        <w:t xml:space="preserve"> and </w:t>
      </w:r>
      <w:r w:rsidRPr="00A35985">
        <w:rPr>
          <w:sz w:val="20"/>
          <w:szCs w:val="20"/>
        </w:rPr>
        <w:t>adolescents have not been reviewed since 2006.</w:t>
      </w:r>
      <w:r w:rsidR="00B60020" w:rsidRPr="00A35985">
        <w:br w:type="page"/>
      </w:r>
    </w:p>
    <w:p w14:paraId="6B3BD35A" w14:textId="4493ADA1" w:rsidR="00923AE9" w:rsidRPr="001425AD" w:rsidRDefault="00AA4677" w:rsidP="005F45FC">
      <w:pPr>
        <w:pStyle w:val="Heading1"/>
        <w:rPr>
          <w:b/>
          <w:bCs/>
        </w:rPr>
      </w:pPr>
      <w:bookmarkStart w:id="30" w:name="_Ref228784226"/>
      <w:bookmarkStart w:id="31" w:name="_Toc234960828"/>
      <w:r w:rsidRPr="2145493A">
        <w:rPr>
          <w:b/>
          <w:bCs/>
        </w:rPr>
        <w:lastRenderedPageBreak/>
        <w:t xml:space="preserve">Australian and New Zealand </w:t>
      </w:r>
      <w:r w:rsidR="00B60020">
        <w:rPr>
          <w:b/>
          <w:bCs/>
        </w:rPr>
        <w:t xml:space="preserve">nutrition </w:t>
      </w:r>
      <w:r w:rsidR="00B15A52" w:rsidRPr="2145493A">
        <w:rPr>
          <w:b/>
          <w:bCs/>
        </w:rPr>
        <w:t>context</w:t>
      </w:r>
      <w:bookmarkEnd w:id="30"/>
      <w:bookmarkEnd w:id="31"/>
      <w:r w:rsidR="00923AE9" w:rsidRPr="2145493A">
        <w:rPr>
          <w:b/>
          <w:bCs/>
        </w:rPr>
        <w:t xml:space="preserve"> </w:t>
      </w:r>
    </w:p>
    <w:p w14:paraId="4FCC4019" w14:textId="5264F341" w:rsidR="007E50CF" w:rsidRPr="00C44EA6" w:rsidRDefault="007E50CF" w:rsidP="00C44EA6">
      <w:pPr>
        <w:pStyle w:val="Heading2"/>
        <w:tabs>
          <w:tab w:val="left" w:pos="5546"/>
        </w:tabs>
        <w:rPr>
          <w:b/>
          <w:bCs/>
        </w:rPr>
      </w:pPr>
      <w:bookmarkStart w:id="32" w:name="_Toc234960829"/>
      <w:r w:rsidRPr="00C44EA6">
        <w:rPr>
          <w:b/>
          <w:bCs/>
        </w:rPr>
        <w:t>Population intakes</w:t>
      </w:r>
      <w:bookmarkEnd w:id="32"/>
    </w:p>
    <w:p w14:paraId="17915BEA" w14:textId="5EE69AC4" w:rsidR="00A4331C" w:rsidRDefault="00AA4677" w:rsidP="00E532F6">
      <w:pPr>
        <w:pStyle w:val="Heading3"/>
        <w:spacing w:line="240" w:lineRule="auto"/>
      </w:pPr>
      <w:bookmarkStart w:id="33" w:name="_Toc234960830"/>
      <w:r>
        <w:t>Australia</w:t>
      </w:r>
      <w:bookmarkEnd w:id="33"/>
    </w:p>
    <w:p w14:paraId="3882104F" w14:textId="7AA5E028" w:rsidR="00990862" w:rsidRDefault="001E05AD" w:rsidP="005D41BE">
      <w:pPr>
        <w:tabs>
          <w:tab w:val="left" w:pos="8364"/>
        </w:tabs>
        <w:spacing w:line="276" w:lineRule="auto"/>
      </w:pPr>
      <w:r>
        <w:t>T</w:t>
      </w:r>
      <w:r w:rsidR="00CB76A1">
        <w:t>he 2023 N</w:t>
      </w:r>
      <w:r w:rsidR="007F35C2">
        <w:t xml:space="preserve">ational </w:t>
      </w:r>
      <w:r w:rsidR="00CB76A1">
        <w:t>N</w:t>
      </w:r>
      <w:r w:rsidR="007F35C2">
        <w:t xml:space="preserve">utrition and </w:t>
      </w:r>
      <w:r w:rsidR="00CB76A1">
        <w:t>P</w:t>
      </w:r>
      <w:r w:rsidR="007F35C2">
        <w:t xml:space="preserve">hysical </w:t>
      </w:r>
      <w:r w:rsidR="00CB76A1">
        <w:t>A</w:t>
      </w:r>
      <w:r w:rsidR="007F35C2">
        <w:t xml:space="preserve">ctivity </w:t>
      </w:r>
      <w:r w:rsidR="00CB76A1">
        <w:t>S</w:t>
      </w:r>
      <w:r w:rsidR="007F35C2">
        <w:t>urvey (NNPAS)</w:t>
      </w:r>
      <w:r w:rsidR="00A73BFE">
        <w:t xml:space="preserve"> and </w:t>
      </w:r>
      <w:r w:rsidR="00A73BFE" w:rsidRPr="00D75A15">
        <w:t xml:space="preserve">2023 National Aboriginal and Torres Strait Islander Nutrition and Physical Activity Survey (NATSINPAS) </w:t>
      </w:r>
      <w:r w:rsidR="00A73BFE">
        <w:t>both</w:t>
      </w:r>
      <w:r w:rsidR="00CB76A1">
        <w:t xml:space="preserve"> </w:t>
      </w:r>
      <w:r>
        <w:t xml:space="preserve">estimated </w:t>
      </w:r>
      <w:r w:rsidR="00BF5E4C">
        <w:t>nutrient</w:t>
      </w:r>
      <w:r>
        <w:t xml:space="preserve"> intake </w:t>
      </w:r>
      <w:r w:rsidR="00BF5E4C">
        <w:t>from 24-hour dietary recall</w:t>
      </w:r>
      <w:r w:rsidR="00DA25C9">
        <w:t xml:space="preserve">, with the </w:t>
      </w:r>
      <w:r w:rsidR="003A69E8">
        <w:t>sodium</w:t>
      </w:r>
      <w:r w:rsidR="00DA25C9">
        <w:t xml:space="preserve"> content of food estimated using </w:t>
      </w:r>
      <w:r w:rsidR="0049060F">
        <w:t xml:space="preserve">Food Standards Australia New Zealand’s </w:t>
      </w:r>
      <w:r w:rsidR="00DA25C9">
        <w:t xml:space="preserve">AUSNUT </w:t>
      </w:r>
      <w:r w:rsidR="0049060F">
        <w:t xml:space="preserve">2023 </w:t>
      </w:r>
      <w:r w:rsidR="00DA25C9">
        <w:t>data</w:t>
      </w:r>
      <w:r w:rsidR="00776444">
        <w:t xml:space="preserve"> </w:t>
      </w:r>
      <w:r w:rsidR="007B61B5">
        <w:fldChar w:fldCharType="begin">
          <w:fldData xml:space="preserve">PEVuZE5vdGU+PENpdGUgRXhjbHVkZUF1dGg9IjEiPjxBdXRob3I+QXVzdHJhbGlhbiBCdXJlYXUg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</w:fldData>
        </w:fldChar>
      </w:r>
      <w:r w:rsidR="0012482D">
        <w:instrText xml:space="preserve"> ADDIN EN.CITE </w:instrText>
      </w:r>
      <w:r w:rsidR="0012482D">
        <w:fldChar w:fldCharType="begin">
          <w:fldData xml:space="preserve">PEVuZE5vdGU+PENpdGUgRXhjbHVkZUF1dGg9IjEiPjxBdXRob3I+QXVzdHJhbGlhbiBCdXJlYXUg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</w:fldData>
        </w:fldChar>
      </w:r>
      <w:r w:rsidR="0012482D">
        <w:instrText xml:space="preserve"> ADDIN EN.CITE.DATA </w:instrText>
      </w:r>
      <w:r w:rsidR="0012482D">
        <w:fldChar w:fldCharType="end"/>
      </w:r>
      <w:r w:rsidR="007B61B5">
        <w:fldChar w:fldCharType="separate"/>
      </w:r>
      <w:r w:rsidR="0012482D">
        <w:rPr>
          <w:noProof/>
        </w:rPr>
        <w:t>(ABS, 2023a; ABS, 2023b; ABS, 2023c)</w:t>
      </w:r>
      <w:r w:rsidR="007B61B5">
        <w:fldChar w:fldCharType="end"/>
      </w:r>
      <w:r w:rsidR="00DA25C9">
        <w:t>.</w:t>
      </w:r>
      <w:r w:rsidR="003B6E3C">
        <w:t xml:space="preserve"> </w:t>
      </w:r>
      <w:r w:rsidR="006D26D2">
        <w:t xml:space="preserve">These data </w:t>
      </w:r>
      <w:r w:rsidR="00AB7F97">
        <w:t>represent sodium from food sources only and do not account for additional sodium</w:t>
      </w:r>
      <w:r w:rsidR="006D26D2">
        <w:t xml:space="preserve"> added </w:t>
      </w:r>
      <w:r w:rsidR="003B6E3C">
        <w:t xml:space="preserve">during </w:t>
      </w:r>
      <w:r w:rsidR="00AB7F97">
        <w:t>food</w:t>
      </w:r>
      <w:r w:rsidR="003B6E3C">
        <w:t xml:space="preserve"> preparation</w:t>
      </w:r>
      <w:r w:rsidR="00AB7F97">
        <w:t xml:space="preserve"> </w:t>
      </w:r>
      <w:r w:rsidR="003524B7">
        <w:t xml:space="preserve">in the home, </w:t>
      </w:r>
      <w:r w:rsidR="00AB7F97">
        <w:t>or at the table (i.e.</w:t>
      </w:r>
      <w:r w:rsidR="003524B7">
        <w:t xml:space="preserve"> discretionary salt). Although participants</w:t>
      </w:r>
      <w:r w:rsidR="00FA2A6C">
        <w:t xml:space="preserve"> could </w:t>
      </w:r>
      <w:r w:rsidR="009A2CD5">
        <w:t xml:space="preserve">list ‘salt’ </w:t>
      </w:r>
      <w:r w:rsidR="00FA2A6C">
        <w:t xml:space="preserve">as a food </w:t>
      </w:r>
      <w:r w:rsidR="009A2CD5">
        <w:t xml:space="preserve">consumed </w:t>
      </w:r>
      <w:r w:rsidR="00FA2A6C">
        <w:t xml:space="preserve">within </w:t>
      </w:r>
      <w:r w:rsidR="009A2CD5">
        <w:t xml:space="preserve">their </w:t>
      </w:r>
      <w:r w:rsidR="00FA2A6C">
        <w:t xml:space="preserve">dietary recall, they were not specifically prompted </w:t>
      </w:r>
      <w:r w:rsidR="00DC324C">
        <w:t>by the</w:t>
      </w:r>
      <w:r w:rsidR="00FA2A6C">
        <w:t xml:space="preserve"> data</w:t>
      </w:r>
      <w:r w:rsidR="00E16B86">
        <w:t xml:space="preserve"> collection </w:t>
      </w:r>
      <w:r w:rsidR="00DC324C">
        <w:t xml:space="preserve">software </w:t>
      </w:r>
      <w:r w:rsidR="009A2CD5">
        <w:t>to do so</w:t>
      </w:r>
      <w:r w:rsidR="00FA2A6C">
        <w:t>.</w:t>
      </w:r>
      <w:r w:rsidR="00135EEB">
        <w:t xml:space="preserve"> Participants also reported on the frequency of discretionary salt </w:t>
      </w:r>
      <w:proofErr w:type="gramStart"/>
      <w:r w:rsidR="00135EEB">
        <w:t>use,</w:t>
      </w:r>
      <w:proofErr w:type="gramEnd"/>
      <w:r w:rsidR="00135EEB">
        <w:t xml:space="preserve"> however </w:t>
      </w:r>
      <w:r w:rsidR="00B83AE5">
        <w:t xml:space="preserve">intake estimates </w:t>
      </w:r>
      <w:r w:rsidR="00DC324C">
        <w:t xml:space="preserve">from food were not </w:t>
      </w:r>
      <w:r w:rsidR="00B83AE5">
        <w:t>adjusted to account for discretionary salt use.</w:t>
      </w:r>
      <w:r w:rsidR="00FA2A6C">
        <w:t xml:space="preserve"> </w:t>
      </w:r>
      <w:r w:rsidR="0029449B">
        <w:t xml:space="preserve">Both NNPAS and NATSINPAS data suggest that discretionary salt use is prevalent in Australia (see </w:t>
      </w:r>
      <w:r w:rsidR="00990862">
        <w:t>‘</w:t>
      </w:r>
      <w:r w:rsidR="0029449B">
        <w:fldChar w:fldCharType="begin"/>
      </w:r>
      <w:r w:rsidR="0029449B">
        <w:instrText xml:space="preserve"> REF _Ref228784254 \h </w:instrText>
      </w:r>
      <w:r w:rsidR="0029449B">
        <w:fldChar w:fldCharType="separate"/>
      </w:r>
      <w:r w:rsidR="00BD3927" w:rsidRPr="00C44EA6">
        <w:rPr>
          <w:b/>
          <w:bCs/>
        </w:rPr>
        <w:t>Sodium content of diets and food supply</w:t>
      </w:r>
      <w:r w:rsidR="0029449B">
        <w:fldChar w:fldCharType="end"/>
      </w:r>
      <w:r w:rsidR="00990862">
        <w:t xml:space="preserve">’). </w:t>
      </w:r>
      <w:r w:rsidR="00074164">
        <w:t xml:space="preserve">A 2018 systematic review of Australian studies </w:t>
      </w:r>
      <w:r w:rsidR="00990862">
        <w:t xml:space="preserve">also </w:t>
      </w:r>
      <w:r w:rsidR="00074164">
        <w:t xml:space="preserve">found that estimated intakes based on dietary recall methods were substantially lower than estimates using urinary </w:t>
      </w:r>
      <w:r w:rsidR="00CD12DB">
        <w:t xml:space="preserve">sodium </w:t>
      </w:r>
      <w:r w:rsidR="00074164">
        <w:t xml:space="preserve">excretion measures </w:t>
      </w:r>
      <w:r w:rsidR="00074164">
        <w:fldChar w:fldCharType="begin"/>
      </w:r>
      <w:r w:rsidR="00074164">
        <w:instrText xml:space="preserve"> ADDIN EN.CITE &lt;EndNote&gt;&lt;Cite&gt;&lt;Author&gt;Land&lt;/Author&gt;&lt;Year&gt;2018&lt;/Year&gt;&lt;RecNum&gt;3813&lt;/RecNum&gt;&lt;DisplayText&gt;(Land et al., 2018)&lt;/DisplayText&gt;&lt;record&gt;&lt;rec-number&gt;3813&lt;/rec-number&gt;&lt;foreign-keys&gt;&lt;key app="EN" db-id="wwsdv2wwp29fenerv0kx5tw9zxtx2fdrprx2" timestamp="1763423465"&gt;3813&lt;/key&gt;&lt;/foreign-keys&gt;&lt;ref-type name="Journal Article"&gt;17&lt;/ref-type&gt;&lt;contributors&gt;&lt;authors&gt;&lt;author&gt;Land, M. A.&lt;/author&gt;&lt;author&gt;Neal, B. C.&lt;/author&gt;&lt;author&gt;Johnson, C.&lt;/author&gt;&lt;author&gt;Nowson, C. A.&lt;/author&gt;&lt;author&gt;Margerison, C.&lt;/author&gt;&lt;author&gt;Petersen, K. S.&lt;/author&gt;&lt;/authors&gt;&lt;/contributors&gt;&lt;titles&gt;&lt;title&gt;Salt consumption by Australian adults: a systematic review and meta-analysis&lt;/title&gt;&lt;secondary-title&gt;The Medical journal of Australia&lt;/secondary-title&gt;&lt;/titles&gt;&lt;periodical&gt;&lt;full-title&gt;The Medical journal of Australia&lt;/full-title&gt;&lt;/periodical&gt;&lt;pages&gt;75-81&lt;/pages&gt;&lt;volume&gt;208&lt;/volume&gt;&lt;number&gt;2&lt;/number&gt;&lt;dates&gt;&lt;year&gt;2018&lt;/year&gt;&lt;pub-dates&gt;&lt;date&gt;2018&lt;/date&gt;&lt;/pub-dates&gt;&lt;/dates&gt;&lt;isbn&gt;1326-5377&lt;/isbn&gt;&lt;urls&gt;&lt;related-urls&gt;&lt;url&gt;http://www.epistemonikos.org/documents/a16971d32a460db0e6a456fbdbd355397d25d7df&lt;/url&gt;&lt;/related-urls&gt;&lt;/urls&gt;&lt;electronic-resource-num&gt;10.5694/mja17.00394&lt;/electronic-resource-num&gt;&lt;remote-database-name&gt;EPISTEMONIKOS&lt;/remote-database-name&gt;&lt;language&gt;English&lt;/language&gt;&lt;/record&gt;&lt;/Cite&gt;&lt;/EndNote&gt;</w:instrText>
      </w:r>
      <w:r w:rsidR="00074164">
        <w:fldChar w:fldCharType="separate"/>
      </w:r>
      <w:r w:rsidR="00074164">
        <w:rPr>
          <w:noProof/>
        </w:rPr>
        <w:t>(Land et al., 2018)</w:t>
      </w:r>
      <w:r w:rsidR="00074164">
        <w:fldChar w:fldCharType="end"/>
      </w:r>
      <w:r w:rsidR="00074164">
        <w:t>.</w:t>
      </w:r>
      <w:r w:rsidR="006C5F31">
        <w:t xml:space="preserve"> </w:t>
      </w:r>
      <w:r w:rsidR="001E321C">
        <w:t>Consequently, the</w:t>
      </w:r>
      <w:r w:rsidR="00F15BE4">
        <w:t xml:space="preserve"> available population data </w:t>
      </w:r>
      <w:r w:rsidR="001E321C">
        <w:t>may significantly underestimate population sodium intakes</w:t>
      </w:r>
      <w:r w:rsidR="00A16C94">
        <w:t xml:space="preserve"> </w:t>
      </w:r>
      <w:r w:rsidR="00075501">
        <w:t>and should be interpreted with caution</w:t>
      </w:r>
      <w:r w:rsidR="001E321C">
        <w:t xml:space="preserve">. </w:t>
      </w:r>
      <w:r w:rsidR="00A82E0B">
        <w:t xml:space="preserve">Where available, data from Australian studies reporting 24 hour urinary sodium excretion are </w:t>
      </w:r>
      <w:r w:rsidR="00D31407">
        <w:t>presented</w:t>
      </w:r>
      <w:r w:rsidR="00B06C25">
        <w:t xml:space="preserve"> to supplement national data</w:t>
      </w:r>
      <w:r w:rsidR="00D31407">
        <w:t>.</w:t>
      </w:r>
    </w:p>
    <w:p w14:paraId="2911D7C3" w14:textId="04DB4BC7" w:rsidR="00C7029C" w:rsidRDefault="005B7A55" w:rsidP="005D41BE">
      <w:pPr>
        <w:tabs>
          <w:tab w:val="left" w:pos="8364"/>
        </w:tabs>
        <w:spacing w:line="276" w:lineRule="auto"/>
      </w:pPr>
      <w:r>
        <w:t>C</w:t>
      </w:r>
      <w:r w:rsidR="00C7029C">
        <w:t>omparison</w:t>
      </w:r>
      <w:r>
        <w:t xml:space="preserve">s </w:t>
      </w:r>
      <w:r w:rsidR="00C7029C">
        <w:t xml:space="preserve">are presented </w:t>
      </w:r>
      <w:r>
        <w:t xml:space="preserve">for </w:t>
      </w:r>
      <w:r w:rsidR="00E27831">
        <w:t>previous and current national survey</w:t>
      </w:r>
      <w:r>
        <w:t>s</w:t>
      </w:r>
      <w:r w:rsidR="00E27831">
        <w:t xml:space="preserve">, </w:t>
      </w:r>
      <w:r w:rsidR="00C7029C">
        <w:t>where the</w:t>
      </w:r>
      <w:r>
        <w:t xml:space="preserve">se data are reported by the Australian Bureau of Statistics (ABS). </w:t>
      </w:r>
      <w:r w:rsidR="00C7029C">
        <w:t xml:space="preserve">However, the ABS </w:t>
      </w:r>
      <w:r>
        <w:t xml:space="preserve">advises </w:t>
      </w:r>
      <w:r w:rsidR="00C7029C">
        <w:t>that temporal comparisons should be made with caution owing to methodological differences between surveys.</w:t>
      </w:r>
    </w:p>
    <w:p w14:paraId="74D163E4" w14:textId="4B2DC0FC" w:rsidR="00A772DA" w:rsidRPr="000331EA" w:rsidRDefault="00A772DA" w:rsidP="00743011">
      <w:pPr>
        <w:pStyle w:val="Heading4"/>
      </w:pPr>
      <w:r>
        <w:t>Adults</w:t>
      </w:r>
    </w:p>
    <w:p w14:paraId="017CE52E" w14:textId="4B9E45F5" w:rsidR="00D378D8" w:rsidRDefault="00B0300D" w:rsidP="005D41BE">
      <w:pPr>
        <w:tabs>
          <w:tab w:val="left" w:pos="8364"/>
        </w:tabs>
        <w:spacing w:line="276" w:lineRule="auto"/>
      </w:pPr>
      <w:r>
        <w:t>NNPAS</w:t>
      </w:r>
      <w:r w:rsidR="00B06C25">
        <w:t xml:space="preserve"> </w:t>
      </w:r>
      <w:r w:rsidR="00807F88">
        <w:t xml:space="preserve">data on adult intakes and the proportion exceeding the SDT are presented in </w:t>
      </w:r>
      <w:r w:rsidR="00807F88">
        <w:fldChar w:fldCharType="begin"/>
      </w:r>
      <w:r w:rsidR="00807F88">
        <w:instrText xml:space="preserve"> REF _Ref228877718 \h </w:instrText>
      </w:r>
      <w:r w:rsidR="00807F88">
        <w:fldChar w:fldCharType="separate"/>
      </w:r>
      <w:r w:rsidR="000C2E8C">
        <w:t xml:space="preserve">Table </w:t>
      </w:r>
      <w:r w:rsidR="000C2E8C">
        <w:rPr>
          <w:noProof/>
        </w:rPr>
        <w:t>4</w:t>
      </w:r>
      <w:r w:rsidR="00807F88">
        <w:fldChar w:fldCharType="end"/>
      </w:r>
      <w:r w:rsidR="00807F88">
        <w:t xml:space="preserve">. </w:t>
      </w:r>
      <w:r w:rsidR="005F0B7F">
        <w:t>A</w:t>
      </w:r>
      <w:r w:rsidR="00044E6D">
        <w:t>dults aged 18 years and over had an average sodium intake of 2,384mg per day</w:t>
      </w:r>
      <w:r w:rsidR="005F0B7F">
        <w:t>, with h</w:t>
      </w:r>
      <w:r w:rsidR="005D5472">
        <w:t xml:space="preserve">igher intakes reported </w:t>
      </w:r>
      <w:r w:rsidR="005F0B7F">
        <w:t>for</w:t>
      </w:r>
      <w:r w:rsidR="005D5472">
        <w:t xml:space="preserve"> males (2,7</w:t>
      </w:r>
      <w:r w:rsidR="00F56BF4">
        <w:t xml:space="preserve">11 mg/day vs 2,070 mg/day for females), and those aged </w:t>
      </w:r>
      <w:r w:rsidR="00D50C26">
        <w:t>18-29 years (2,645 mg/day)</w:t>
      </w:r>
      <w:r w:rsidR="00406189">
        <w:t xml:space="preserve"> </w:t>
      </w:r>
      <w:r w:rsidR="00412F5C">
        <w:fldChar w:fldCharType="begin"/>
      </w:r>
      <w:r w:rsidR="007B321D">
        <w:instrText xml:space="preserve"> ADDIN EN.CITE &lt;EndNote&gt;&lt;Cite ExcludeAuth="1"&gt;&lt;Author&gt;Australian Bureau of Statistics&lt;/Author&gt;&lt;Year&gt;2023&lt;/Year&gt;&lt;RecNum&gt;4625&lt;/RecNum&gt;&lt;Prefix&gt;ABS`, &lt;/Prefix&gt;&lt;DisplayText&gt;(ABS, 2023b)&lt;/DisplayText&gt;&lt;record&gt;&lt;rec-number&gt;4625&lt;/rec-number&gt;&lt;foreign-keys&gt;&lt;key app="EN" db-id="wwsdv2wwp29fenerv0kx5tw9zxtx2fdrprx2" timestamp="1774922973"&gt;4625&lt;/key&gt;&lt;/foreign-keys&gt;&lt;ref-type name="Dataset"&gt;59&lt;/ref-type&gt;&lt;contributors&gt;&lt;authors&gt;&lt;author&gt;Australian Bureau of Statistics,&lt;/author&gt;&lt;/authors&gt;&lt;secondary-authors&gt;&lt;author&gt;Australian Bureau of Statistics,&lt;/author&gt;&lt;/secondary-authors&gt;&lt;/contributors&gt;&lt;titles&gt;&lt;title&gt; National Nutrition and Physical Activity Survey: Food and nutrients&lt;/title&gt;&lt;/titles&gt;&lt;section&gt;05/09/2025&lt;/section&gt;&lt;dates&gt;&lt;year&gt;2023&lt;/year&gt;&lt;/dates&gt;&lt;urls&gt;&lt;related-urls&gt;&lt;url&gt;https://www.abs.gov.au/statistics/health/food-and-nutrition/food-and-nutrients/2023&lt;/url&gt;&lt;/related-urls&gt;&lt;/urls&gt;&lt;access-date&gt;31/03/2026&lt;/access-date&gt;&lt;/record&gt;&lt;/Cite&gt;&lt;/EndNote&gt;</w:instrText>
      </w:r>
      <w:r w:rsidR="00412F5C">
        <w:fldChar w:fldCharType="separate"/>
      </w:r>
      <w:r w:rsidR="007B321D">
        <w:rPr>
          <w:noProof/>
        </w:rPr>
        <w:t>(ABS, 2023b)</w:t>
      </w:r>
      <w:r w:rsidR="00412F5C">
        <w:fldChar w:fldCharType="end"/>
      </w:r>
      <w:r w:rsidR="00D50C26">
        <w:t xml:space="preserve">. </w:t>
      </w:r>
      <w:r w:rsidR="00872857">
        <w:t>Average daily i</w:t>
      </w:r>
      <w:r w:rsidR="009F34BC">
        <w:t>ntake</w:t>
      </w:r>
      <w:r w:rsidR="00872857">
        <w:t xml:space="preserve">s </w:t>
      </w:r>
      <w:r w:rsidR="003C1D3C">
        <w:t xml:space="preserve">have remained </w:t>
      </w:r>
      <w:r w:rsidR="00D27670">
        <w:t xml:space="preserve">similar </w:t>
      </w:r>
      <w:r w:rsidR="003C1D3C">
        <w:t xml:space="preserve">over time </w:t>
      </w:r>
      <w:r w:rsidR="00D60DCC">
        <w:t>(</w:t>
      </w:r>
      <w:r w:rsidR="009663BA">
        <w:t>2,404 mg/day in 2011-12 vs 2,375 mg/day in 2023)</w:t>
      </w:r>
      <w:r w:rsidR="003C1D3C">
        <w:t xml:space="preserve">, although </w:t>
      </w:r>
      <w:r w:rsidR="00D27670">
        <w:t>a</w:t>
      </w:r>
      <w:r w:rsidR="00B2620C">
        <w:t xml:space="preserve"> small decrease </w:t>
      </w:r>
      <w:r w:rsidR="00E255F8">
        <w:t xml:space="preserve">over time </w:t>
      </w:r>
      <w:r w:rsidR="00B2620C">
        <w:t xml:space="preserve">was noted </w:t>
      </w:r>
      <w:r w:rsidR="00E255F8">
        <w:t xml:space="preserve">for </w:t>
      </w:r>
      <w:r w:rsidR="00B2620C">
        <w:t>people aged 30-49 years</w:t>
      </w:r>
      <w:r w:rsidR="00E255F8">
        <w:t xml:space="preserve"> (</w:t>
      </w:r>
      <w:r w:rsidR="00B2620C">
        <w:t>from 2,551 mg/day in 2011-12 to 2,464 mg/day in 2023</w:t>
      </w:r>
      <w:r w:rsidR="00E255F8">
        <w:t>)</w:t>
      </w:r>
      <w:r w:rsidR="00FC239E">
        <w:t xml:space="preserve">. </w:t>
      </w:r>
      <w:r w:rsidR="007D14AF">
        <w:t>E</w:t>
      </w:r>
      <w:r w:rsidR="00FB16BC" w:rsidRPr="00613235">
        <w:t xml:space="preserve">nergy-adjusted sodium intakes increased slightly </w:t>
      </w:r>
      <w:r w:rsidR="00FB16BC">
        <w:t xml:space="preserve">between 2011-12 and 2023 </w:t>
      </w:r>
      <w:r w:rsidR="00FB16BC" w:rsidRPr="00613235">
        <w:t>(from 289.4 mg/1,000 kJ in 2011–12 to 295.3 mg/1,000 kJ in 2023)</w:t>
      </w:r>
      <w:r w:rsidR="00FB16BC">
        <w:t xml:space="preserve">. This suggests increased </w:t>
      </w:r>
      <w:r w:rsidR="00FB16BC" w:rsidRPr="00613235">
        <w:t xml:space="preserve">sodium </w:t>
      </w:r>
      <w:r w:rsidR="00FB16BC">
        <w:t xml:space="preserve">concentration in </w:t>
      </w:r>
      <w:r w:rsidR="00FB16BC" w:rsidRPr="00613235">
        <w:t>diet</w:t>
      </w:r>
      <w:r w:rsidR="00FB16BC">
        <w:t>s</w:t>
      </w:r>
      <w:r w:rsidR="00FB16BC" w:rsidRPr="00613235">
        <w:t xml:space="preserve"> despite overall reductions in food consumption</w:t>
      </w:r>
      <w:r w:rsidR="00FB16BC">
        <w:t xml:space="preserve"> </w:t>
      </w:r>
      <w:r w:rsidR="00FB16BC">
        <w:fldChar w:fldCharType="begin"/>
      </w:r>
      <w:r w:rsidR="00FB16BC">
        <w:instrText xml:space="preserve"> ADDIN EN.CITE &lt;EndNote&gt;&lt;Cite ExcludeAuth="1"&gt;&lt;Author&gt;Australian Bureau of Statistics&lt;/Author&gt;&lt;Year&gt;2023&lt;/Year&gt;&lt;RecNum&gt;4625&lt;/RecNum&gt;&lt;Prefix&gt;ABS`, &lt;/Prefix&gt;&lt;DisplayText&gt;(ABS, 2023b)&lt;/DisplayText&gt;&lt;record&gt;&lt;rec-number&gt;4625&lt;/rec-number&gt;&lt;foreign-keys&gt;&lt;key app="EN" db-id="wwsdv2wwp29fenerv0kx5tw9zxtx2fdrprx2" timestamp="1774922973"&gt;4625&lt;/key&gt;&lt;/foreign-keys&gt;&lt;ref-type name="Dataset"&gt;59&lt;/ref-type&gt;&lt;contributors&gt;&lt;authors&gt;&lt;author&gt;Australian Bureau of Statistics,&lt;/author&gt;&lt;/authors&gt;&lt;secondary-authors&gt;&lt;author&gt;Australian Bureau of Statistics,&lt;/author&gt;&lt;/secondary-authors&gt;&lt;/contributors&gt;&lt;titles&gt;&lt;title&gt; National Nutrition and Physical Activity Survey: Food and nutrients&lt;/title&gt;&lt;/titles&gt;&lt;section&gt;05/09/2025&lt;/section&gt;&lt;dates&gt;&lt;year&gt;2023&lt;/year&gt;&lt;/dates&gt;&lt;urls&gt;&lt;related-urls&gt;&lt;url&gt;https://www.abs.gov.au/statistics/health/food-and-nutrition/food-and-nutrients/2023&lt;/url&gt;&lt;/related-urls&gt;&lt;/urls&gt;&lt;access-date&gt;31/03/2026&lt;/access-date&gt;&lt;/record&gt;&lt;/Cite&gt;&lt;/EndNote&gt;</w:instrText>
      </w:r>
      <w:r w:rsidR="00FB16BC">
        <w:fldChar w:fldCharType="separate"/>
      </w:r>
      <w:r w:rsidR="00FB16BC">
        <w:rPr>
          <w:noProof/>
        </w:rPr>
        <w:t>(ABS, 2023b)</w:t>
      </w:r>
      <w:r w:rsidR="00FB16BC">
        <w:fldChar w:fldCharType="end"/>
      </w:r>
      <w:r w:rsidR="00FB16BC">
        <w:t>.</w:t>
      </w:r>
      <w:r w:rsidR="00FC239E">
        <w:t xml:space="preserve"> </w:t>
      </w:r>
    </w:p>
    <w:p w14:paraId="3562CEE8" w14:textId="0BF4A746" w:rsidR="00BD3927" w:rsidRDefault="00E255F8" w:rsidP="006E3192">
      <w:pPr>
        <w:tabs>
          <w:tab w:val="left" w:pos="8364"/>
        </w:tabs>
        <w:spacing w:before="240" w:line="276" w:lineRule="auto"/>
        <w:rPr>
          <w:rFonts w:eastAsia="Times New Roman"/>
        </w:rPr>
      </w:pPr>
      <w:r>
        <w:t xml:space="preserve">Almost two thirds of adults </w:t>
      </w:r>
      <w:r w:rsidRPr="002B08E0">
        <w:t>(65.6% or 12.9 million)</w:t>
      </w:r>
      <w:r>
        <w:t xml:space="preserve"> had daily sodium intakes exceeding the </w:t>
      </w:r>
      <w:r w:rsidR="00691D3E">
        <w:t xml:space="preserve">current </w:t>
      </w:r>
      <w:r>
        <w:t>SDT</w:t>
      </w:r>
      <w:r w:rsidR="00691D3E">
        <w:t xml:space="preserve"> of 2,000mg/day</w:t>
      </w:r>
      <w:r>
        <w:t xml:space="preserve">, with more males than females exceeding the SDT across all age groups </w:t>
      </w:r>
      <w:r>
        <w:fldChar w:fldCharType="begin"/>
      </w:r>
      <w:r>
        <w:instrText xml:space="preserve"> ADDIN EN.CITE &lt;EndNote&gt;&lt;Cite ExcludeAuth="1"&gt;&lt;Author&gt;Australian Bureau of Statistics&lt;/Author&gt;&lt;Year&gt;2023&lt;/Year&gt;&lt;RecNum&gt;4635&lt;/RecNum&gt;&lt;Prefix&gt;ABS`,&lt;/Prefix&gt;&lt;DisplayText&gt;(ABS,2023c)&lt;/DisplayText&gt;&lt;record&gt;&lt;rec-number&gt;4635&lt;/rec-number&gt;&lt;foreign-keys&gt;&lt;key app="EN" db-id="wwsdv2wwp29fenerv0kx5tw9zxtx2fdrprx2" timestamp="1774930270"&gt;4635&lt;/key&gt;&lt;/foreign-keys&gt;&lt;ref-type name="Dataset"&gt;59&lt;/ref-type&gt;&lt;contributors&gt;&lt;authors&gt;&lt;author&gt;Australian Bureau of Statistics,&lt;/author&gt;&lt;/authors&gt;&lt;secondary-authors&gt;&lt;author&gt;Australian Bureau of Statistics,&lt;/author&gt;&lt;/secondary-authors&gt;&lt;/contributors&gt;&lt;titles&gt;&lt;title&gt;National Nutrition and Physical Activity Survey: Usual nutrient intakes&lt;/title&gt;&lt;/titles&gt;&lt;section&gt;17/03/2026&lt;/section&gt;&lt;dates&gt;&lt;year&gt;2023&lt;/year&gt;&lt;/dates&gt;&lt;pub-location&gt;Canberra&lt;/pub-location&gt;&lt;publisher&gt;ABS&lt;/publisher&gt;&lt;urls&gt;&lt;related-urls&gt;&lt;url&gt;https://www.abs.gov.au/statistics/health/food-and-nutrition/usual-nutrient-intakes/2023&lt;/url&gt;&lt;/related-urls&gt;&lt;/urls&gt;&lt;access-date&gt;31/03/2026&lt;/access-date&gt;&lt;/record&gt;&lt;/Cite&gt;&lt;/EndNote&gt;</w:instrText>
      </w:r>
      <w:r>
        <w:fldChar w:fldCharType="separate"/>
      </w:r>
      <w:r>
        <w:rPr>
          <w:noProof/>
        </w:rPr>
        <w:t>(ABS,2023c)</w:t>
      </w:r>
      <w:r>
        <w:fldChar w:fldCharType="end"/>
      </w:r>
      <w:r>
        <w:t xml:space="preserve">. Males aged 18-29 years had the greatest proportion of individuals exceeding the SDT </w:t>
      </w:r>
      <w:r w:rsidRPr="002B08E0">
        <w:t>(88.2%)</w:t>
      </w:r>
      <w:r>
        <w:t>, followed by males aged 30</w:t>
      </w:r>
      <w:r w:rsidR="009A04EA">
        <w:t>-</w:t>
      </w:r>
      <w:r>
        <w:t xml:space="preserve">49 years (81.5%). </w:t>
      </w:r>
      <w:r w:rsidR="00A0102C">
        <w:rPr>
          <w:rFonts w:eastAsia="Times New Roman"/>
        </w:rPr>
        <w:t>Females</w:t>
      </w:r>
      <w:r>
        <w:rPr>
          <w:rFonts w:eastAsia="Times New Roman"/>
        </w:rPr>
        <w:t xml:space="preserve"> in these age groups were also more likely to exceed the SDT (59.6% and 56.8% respectively) compared to older </w:t>
      </w:r>
      <w:r w:rsidR="00A0102C">
        <w:rPr>
          <w:rFonts w:eastAsia="Times New Roman"/>
        </w:rPr>
        <w:t>females</w:t>
      </w:r>
      <w:r>
        <w:rPr>
          <w:rFonts w:eastAsia="Times New Roman"/>
        </w:rPr>
        <w:t xml:space="preserve">. </w:t>
      </w:r>
      <w:r w:rsidR="00D71B7A">
        <w:t xml:space="preserve">The </w:t>
      </w:r>
      <w:r w:rsidR="00D71B7A" w:rsidRPr="005A105B">
        <w:rPr>
          <w:rFonts w:eastAsia="Times New Roman"/>
        </w:rPr>
        <w:t xml:space="preserve">proportion of </w:t>
      </w:r>
      <w:r w:rsidR="00D71B7A">
        <w:rPr>
          <w:rFonts w:eastAsia="Times New Roman"/>
        </w:rPr>
        <w:t xml:space="preserve">adults with usual intakes exceeding </w:t>
      </w:r>
      <w:r w:rsidR="000735E4">
        <w:rPr>
          <w:rFonts w:eastAsia="Times New Roman"/>
        </w:rPr>
        <w:t xml:space="preserve">2,000mg/day </w:t>
      </w:r>
      <w:r w:rsidR="00D71B7A" w:rsidRPr="005A105B">
        <w:rPr>
          <w:rFonts w:eastAsia="Times New Roman"/>
        </w:rPr>
        <w:t xml:space="preserve">has </w:t>
      </w:r>
      <w:r w:rsidR="00D71B7A" w:rsidRPr="005A105B">
        <w:rPr>
          <w:rFonts w:eastAsia="Times New Roman"/>
        </w:rPr>
        <w:lastRenderedPageBreak/>
        <w:t xml:space="preserve">decreased </w:t>
      </w:r>
      <w:r w:rsidR="00D71B7A">
        <w:rPr>
          <w:rFonts w:eastAsia="Times New Roman"/>
        </w:rPr>
        <w:t xml:space="preserve">since 2011-12 </w:t>
      </w:r>
      <w:r w:rsidR="00D71B7A" w:rsidRPr="005A105B">
        <w:rPr>
          <w:rFonts w:eastAsia="Times New Roman"/>
        </w:rPr>
        <w:t>(</w:t>
      </w:r>
      <w:r w:rsidR="00D71B7A">
        <w:rPr>
          <w:rFonts w:eastAsia="Times New Roman"/>
        </w:rPr>
        <w:t xml:space="preserve">down </w:t>
      </w:r>
      <w:r w:rsidR="00D71B7A" w:rsidRPr="005A105B">
        <w:rPr>
          <w:rFonts w:eastAsia="Times New Roman"/>
        </w:rPr>
        <w:t>from 84.8% to 79.9%</w:t>
      </w:r>
      <w:r w:rsidR="00D71B7A">
        <w:rPr>
          <w:rFonts w:eastAsia="Times New Roman"/>
        </w:rPr>
        <w:t xml:space="preserve"> in males, and from </w:t>
      </w:r>
      <w:r w:rsidR="00D71B7A" w:rsidRPr="005A105B">
        <w:rPr>
          <w:rFonts w:eastAsia="Times New Roman"/>
        </w:rPr>
        <w:t>54.2%</w:t>
      </w:r>
      <w:r w:rsidR="00D71B7A">
        <w:rPr>
          <w:rFonts w:eastAsia="Times New Roman"/>
        </w:rPr>
        <w:t xml:space="preserve"> to </w:t>
      </w:r>
      <w:r w:rsidR="00D71B7A" w:rsidRPr="005A105B">
        <w:rPr>
          <w:rFonts w:eastAsia="Times New Roman"/>
        </w:rPr>
        <w:t>51.2%</w:t>
      </w:r>
      <w:r w:rsidR="00D71B7A">
        <w:rPr>
          <w:rFonts w:eastAsia="Times New Roman"/>
        </w:rPr>
        <w:t xml:space="preserve"> in females</w:t>
      </w:r>
      <w:r w:rsidR="00D71B7A" w:rsidRPr="005A105B">
        <w:rPr>
          <w:rFonts w:eastAsia="Times New Roman"/>
        </w:rPr>
        <w:t>).</w:t>
      </w:r>
    </w:p>
    <w:p w14:paraId="5B7FD781" w14:textId="441B01B0" w:rsidR="007D14AF" w:rsidRDefault="007D14AF" w:rsidP="007D14AF">
      <w:pPr>
        <w:pStyle w:val="Caption"/>
        <w:keepNext/>
      </w:pPr>
      <w:bookmarkStart w:id="34" w:name="_Ref228877718"/>
      <w:r>
        <w:t xml:space="preserve">Table </w:t>
      </w:r>
      <w:r>
        <w:fldChar w:fldCharType="begin"/>
      </w:r>
      <w:r>
        <w:instrText>SEQ Table \* ARABIC</w:instrText>
      </w:r>
      <w:r>
        <w:fldChar w:fldCharType="separate"/>
      </w:r>
      <w:r w:rsidR="00B90577">
        <w:rPr>
          <w:noProof/>
        </w:rPr>
        <w:t>4</w:t>
      </w:r>
      <w:r>
        <w:fldChar w:fldCharType="end"/>
      </w:r>
      <w:bookmarkEnd w:id="34"/>
      <w:r>
        <w:t xml:space="preserve"> –Population intake of sodium from food and beverages among Australian adults and proportion of adults exceeding SDT, by age group and sex. Source: 2023 NNPAS </w:t>
      </w:r>
      <w:r>
        <w:fldChar w:fldCharType="begin"/>
      </w:r>
      <w:r>
        <w:instrText xml:space="preserve"> ADDIN EN.CITE &lt;EndNote&gt;&lt;Cite ExcludeAuth="1"&gt;&lt;Author&gt;Australian Bureau of Statistics&lt;/Author&gt;&lt;Year&gt;2023&lt;/Year&gt;&lt;RecNum&gt;4625&lt;/RecNum&gt;&lt;Prefix&gt;ABS`, &lt;/Prefix&gt;&lt;DisplayText&gt;(ABS, 2023b; ABS, 2023c)&lt;/DisplayText&gt;&lt;record&gt;&lt;rec-number&gt;4625&lt;/rec-number&gt;&lt;foreign-keys&gt;&lt;key app="EN" db-id="wwsdv2wwp29fenerv0kx5tw9zxtx2fdrprx2" timestamp="1774922973"&gt;4625&lt;/key&gt;&lt;/foreign-keys&gt;&lt;ref-type name="Dataset"&gt;59&lt;/ref-type&gt;&lt;contributors&gt;&lt;authors&gt;&lt;author&gt;Australian Bureau of Statistics,&lt;/author&gt;&lt;/authors&gt;&lt;secondary-authors&gt;&lt;author&gt;Australian Bureau of Statistics,&lt;/author&gt;&lt;/secondary-authors&gt;&lt;/contributors&gt;&lt;titles&gt;&lt;title&gt; National Nutrition and Physical Activity Survey: Food and nutrients&lt;/title&gt;&lt;/titles&gt;&lt;section&gt;05/09/2025&lt;/section&gt;&lt;dates&gt;&lt;year&gt;2023&lt;/year&gt;&lt;/dates&gt;&lt;urls&gt;&lt;related-urls&gt;&lt;url&gt;https://www.abs.gov.au/statistics/health/food-and-nutrition/food-and-nutrients/2023&lt;/url&gt;&lt;/related-urls&gt;&lt;/urls&gt;&lt;access-date&gt;31/03/2026&lt;/access-date&gt;&lt;/record&gt;&lt;/Cite&gt;&lt;Cite ExcludeAuth="1"&gt;&lt;Author&gt;Australian Bureau of Statistics&lt;/Author&gt;&lt;Year&gt;2023&lt;/Year&gt;&lt;RecNum&gt;4635&lt;/RecNum&gt;&lt;Prefix&gt;ABS`, &lt;/Prefix&gt;&lt;record&gt;&lt;rec-number&gt;4635&lt;/rec-number&gt;&lt;foreign-keys&gt;&lt;key app="EN" db-id="wwsdv2wwp29fenerv0kx5tw9zxtx2fdrprx2" timestamp="1774930270"&gt;4635&lt;/key&gt;&lt;/foreign-keys&gt;&lt;ref-type name="Dataset"&gt;59&lt;/ref-type&gt;&lt;contributors&gt;&lt;authors&gt;&lt;author&gt;Australian Bureau of Statistics,&lt;/author&gt;&lt;/authors&gt;&lt;secondary-authors&gt;&lt;author&gt;Australian Bureau of Statistics,&lt;/author&gt;&lt;/secondary-authors&gt;&lt;/contributors&gt;&lt;titles&gt;&lt;title&gt;National Nutrition and Physical Activity Survey: Usual nutrient intakes&lt;/title&gt;&lt;/titles&gt;&lt;section&gt;17/03/2026&lt;/section&gt;&lt;dates&gt;&lt;year&gt;2023&lt;/year&gt;&lt;/dates&gt;&lt;pub-location&gt;Canberra&lt;/pub-location&gt;&lt;publisher&gt;ABS&lt;/publisher&gt;&lt;urls&gt;&lt;related-urls&gt;&lt;url&gt;https://www.abs.gov.au/statistics/health/food-and-nutrition/usual-nutrient-intakes/2023&lt;/url&gt;&lt;/related-urls&gt;&lt;/urls&gt;&lt;access-date&gt;31/03/2026&lt;/access-date&gt;&lt;/record&gt;&lt;/Cite&gt;&lt;/EndNote&gt;</w:instrText>
      </w:r>
      <w:r>
        <w:fldChar w:fldCharType="separate"/>
      </w:r>
      <w:r>
        <w:rPr>
          <w:noProof/>
        </w:rPr>
        <w:t>(ABS, 2023b; ABS, 2023c)</w:t>
      </w:r>
      <w:r>
        <w:fldChar w:fldCharType="end"/>
      </w:r>
    </w:p>
    <w:tbl>
      <w:tblPr>
        <w:tblStyle w:val="TableGrid"/>
        <w:tblW w:w="9209"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1466"/>
        <w:gridCol w:w="1520"/>
        <w:gridCol w:w="1520"/>
        <w:gridCol w:w="1585"/>
        <w:gridCol w:w="1455"/>
        <w:gridCol w:w="1663"/>
      </w:tblGrid>
      <w:tr w:rsidR="007D14AF" w:rsidRPr="00D4008F" w14:paraId="75E6C3BC" w14:textId="77777777">
        <w:tc>
          <w:tcPr>
            <w:tcW w:w="1466" w:type="dxa"/>
            <w:shd w:val="clear" w:color="auto" w:fill="156082" w:themeFill="accent1"/>
          </w:tcPr>
          <w:p w14:paraId="527B6965" w14:textId="77777777" w:rsidR="007D14AF" w:rsidRPr="00D4008F" w:rsidRDefault="007D14AF">
            <w:pPr>
              <w:rPr>
                <w:b/>
                <w:bCs/>
                <w:color w:val="FFFFFF" w:themeColor="background1"/>
                <w:sz w:val="20"/>
                <w:szCs w:val="20"/>
              </w:rPr>
            </w:pPr>
            <w:r w:rsidRPr="00D4008F">
              <w:rPr>
                <w:b/>
                <w:bCs/>
                <w:color w:val="FFFFFF" w:themeColor="background1"/>
                <w:sz w:val="20"/>
                <w:szCs w:val="20"/>
              </w:rPr>
              <w:t>Age group</w:t>
            </w:r>
          </w:p>
        </w:tc>
        <w:tc>
          <w:tcPr>
            <w:tcW w:w="1520" w:type="dxa"/>
            <w:shd w:val="clear" w:color="auto" w:fill="156082" w:themeFill="accent1"/>
          </w:tcPr>
          <w:p w14:paraId="6387395B" w14:textId="77777777" w:rsidR="007D14AF" w:rsidRPr="00D4008F" w:rsidRDefault="007D14AF">
            <w:pPr>
              <w:jc w:val="center"/>
              <w:rPr>
                <w:b/>
                <w:bCs/>
                <w:color w:val="FFFFFF" w:themeColor="background1"/>
                <w:sz w:val="20"/>
                <w:szCs w:val="20"/>
              </w:rPr>
            </w:pPr>
            <w:r w:rsidRPr="00D4008F">
              <w:rPr>
                <w:b/>
                <w:bCs/>
                <w:color w:val="FFFFFF" w:themeColor="background1"/>
                <w:sz w:val="20"/>
                <w:szCs w:val="20"/>
              </w:rPr>
              <w:t>All persons</w:t>
            </w:r>
          </w:p>
        </w:tc>
        <w:tc>
          <w:tcPr>
            <w:tcW w:w="3105" w:type="dxa"/>
            <w:gridSpan w:val="2"/>
            <w:shd w:val="clear" w:color="auto" w:fill="156082" w:themeFill="accent1"/>
          </w:tcPr>
          <w:p w14:paraId="55B046F4" w14:textId="77777777" w:rsidR="007D14AF" w:rsidRPr="00D4008F" w:rsidRDefault="007D14AF">
            <w:pPr>
              <w:jc w:val="center"/>
              <w:rPr>
                <w:b/>
                <w:bCs/>
                <w:color w:val="FFFFFF" w:themeColor="background1"/>
                <w:sz w:val="20"/>
                <w:szCs w:val="20"/>
              </w:rPr>
            </w:pPr>
            <w:r w:rsidRPr="00D4008F">
              <w:rPr>
                <w:b/>
                <w:bCs/>
                <w:color w:val="FFFFFF" w:themeColor="background1"/>
                <w:sz w:val="20"/>
                <w:szCs w:val="20"/>
              </w:rPr>
              <w:t>Males</w:t>
            </w:r>
          </w:p>
        </w:tc>
        <w:tc>
          <w:tcPr>
            <w:tcW w:w="3118" w:type="dxa"/>
            <w:gridSpan w:val="2"/>
            <w:shd w:val="clear" w:color="auto" w:fill="156082" w:themeFill="accent1"/>
          </w:tcPr>
          <w:p w14:paraId="669ED1E2" w14:textId="77777777" w:rsidR="007D14AF" w:rsidRPr="00D4008F" w:rsidRDefault="007D14AF">
            <w:pPr>
              <w:jc w:val="center"/>
              <w:rPr>
                <w:b/>
                <w:bCs/>
                <w:color w:val="FFFFFF" w:themeColor="background1"/>
                <w:sz w:val="20"/>
                <w:szCs w:val="20"/>
              </w:rPr>
            </w:pPr>
            <w:r w:rsidRPr="00D4008F">
              <w:rPr>
                <w:b/>
                <w:bCs/>
                <w:color w:val="FFFFFF" w:themeColor="background1"/>
                <w:sz w:val="20"/>
                <w:szCs w:val="20"/>
              </w:rPr>
              <w:t>Females</w:t>
            </w:r>
          </w:p>
        </w:tc>
      </w:tr>
      <w:tr w:rsidR="007D14AF" w:rsidRPr="00D4008F" w14:paraId="0ED8B64C" w14:textId="77777777">
        <w:tc>
          <w:tcPr>
            <w:tcW w:w="1466" w:type="dxa"/>
            <w:shd w:val="clear" w:color="auto" w:fill="156082" w:themeFill="accent1"/>
          </w:tcPr>
          <w:p w14:paraId="30EFEE12" w14:textId="77777777" w:rsidR="007D14AF" w:rsidRPr="00D4008F" w:rsidRDefault="007D14AF">
            <w:pPr>
              <w:rPr>
                <w:b/>
                <w:bCs/>
                <w:color w:val="FFFFFF" w:themeColor="background1"/>
                <w:sz w:val="20"/>
                <w:szCs w:val="20"/>
              </w:rPr>
            </w:pPr>
          </w:p>
        </w:tc>
        <w:tc>
          <w:tcPr>
            <w:tcW w:w="1520" w:type="dxa"/>
            <w:shd w:val="clear" w:color="auto" w:fill="156082" w:themeFill="accent1"/>
          </w:tcPr>
          <w:p w14:paraId="7F8CFC3B" w14:textId="77777777" w:rsidR="007D14AF" w:rsidRPr="00D4008F" w:rsidRDefault="007D14AF">
            <w:pPr>
              <w:jc w:val="center"/>
              <w:rPr>
                <w:b/>
                <w:bCs/>
                <w:color w:val="FFFFFF" w:themeColor="background1"/>
                <w:sz w:val="20"/>
                <w:szCs w:val="20"/>
              </w:rPr>
            </w:pPr>
            <w:r w:rsidRPr="00D4008F">
              <w:rPr>
                <w:b/>
                <w:bCs/>
                <w:color w:val="FFFFFF" w:themeColor="background1"/>
                <w:sz w:val="20"/>
                <w:szCs w:val="20"/>
              </w:rPr>
              <w:t xml:space="preserve">Intake </w:t>
            </w:r>
            <w:r w:rsidRPr="00D4008F">
              <w:rPr>
                <w:i/>
                <w:iCs/>
                <w:color w:val="FFFFFF" w:themeColor="background1"/>
                <w:sz w:val="20"/>
                <w:szCs w:val="20"/>
              </w:rPr>
              <w:t>(mg/day)</w:t>
            </w:r>
          </w:p>
        </w:tc>
        <w:tc>
          <w:tcPr>
            <w:tcW w:w="1520" w:type="dxa"/>
            <w:shd w:val="clear" w:color="auto" w:fill="156082" w:themeFill="accent1"/>
          </w:tcPr>
          <w:p w14:paraId="5EB55F83" w14:textId="77777777" w:rsidR="007D14AF" w:rsidRPr="00D4008F" w:rsidRDefault="007D14AF">
            <w:pPr>
              <w:jc w:val="center"/>
              <w:rPr>
                <w:b/>
                <w:bCs/>
                <w:color w:val="FFFFFF" w:themeColor="background1"/>
                <w:sz w:val="20"/>
                <w:szCs w:val="20"/>
              </w:rPr>
            </w:pPr>
            <w:r w:rsidRPr="00D4008F">
              <w:rPr>
                <w:b/>
                <w:bCs/>
                <w:color w:val="FFFFFF" w:themeColor="background1"/>
                <w:sz w:val="20"/>
                <w:szCs w:val="20"/>
              </w:rPr>
              <w:t xml:space="preserve">Intake </w:t>
            </w:r>
            <w:r w:rsidRPr="00D4008F">
              <w:rPr>
                <w:i/>
                <w:iCs/>
                <w:color w:val="FFFFFF" w:themeColor="background1"/>
                <w:sz w:val="20"/>
                <w:szCs w:val="20"/>
              </w:rPr>
              <w:t>(mg/day)</w:t>
            </w:r>
          </w:p>
        </w:tc>
        <w:tc>
          <w:tcPr>
            <w:tcW w:w="1585" w:type="dxa"/>
            <w:shd w:val="clear" w:color="auto" w:fill="156082" w:themeFill="accent1"/>
          </w:tcPr>
          <w:p w14:paraId="6F1E1CFF" w14:textId="77777777" w:rsidR="007D14AF" w:rsidRPr="00D4008F" w:rsidRDefault="007D14AF">
            <w:pPr>
              <w:jc w:val="center"/>
              <w:rPr>
                <w:b/>
                <w:bCs/>
                <w:color w:val="FFFFFF" w:themeColor="background1"/>
                <w:sz w:val="20"/>
                <w:szCs w:val="20"/>
              </w:rPr>
            </w:pPr>
            <w:r w:rsidRPr="00D4008F">
              <w:rPr>
                <w:b/>
                <w:bCs/>
                <w:color w:val="FFFFFF" w:themeColor="background1"/>
                <w:sz w:val="20"/>
                <w:szCs w:val="20"/>
              </w:rPr>
              <w:t>% exceeding SDT</w:t>
            </w:r>
          </w:p>
        </w:tc>
        <w:tc>
          <w:tcPr>
            <w:tcW w:w="1455" w:type="dxa"/>
            <w:shd w:val="clear" w:color="auto" w:fill="156082" w:themeFill="accent1"/>
          </w:tcPr>
          <w:p w14:paraId="714B5EDD" w14:textId="77777777" w:rsidR="007D14AF" w:rsidRPr="00D4008F" w:rsidRDefault="007D14AF">
            <w:pPr>
              <w:jc w:val="center"/>
              <w:rPr>
                <w:b/>
                <w:bCs/>
                <w:color w:val="FFFFFF" w:themeColor="background1"/>
                <w:sz w:val="20"/>
                <w:szCs w:val="20"/>
              </w:rPr>
            </w:pPr>
            <w:r w:rsidRPr="00D4008F">
              <w:rPr>
                <w:b/>
                <w:bCs/>
                <w:color w:val="FFFFFF" w:themeColor="background1"/>
                <w:sz w:val="20"/>
                <w:szCs w:val="20"/>
              </w:rPr>
              <w:t xml:space="preserve">Intake </w:t>
            </w:r>
            <w:r w:rsidRPr="00D4008F">
              <w:rPr>
                <w:i/>
                <w:iCs/>
                <w:color w:val="FFFFFF" w:themeColor="background1"/>
                <w:sz w:val="20"/>
                <w:szCs w:val="20"/>
              </w:rPr>
              <w:t>(mg/day)</w:t>
            </w:r>
          </w:p>
        </w:tc>
        <w:tc>
          <w:tcPr>
            <w:tcW w:w="1663" w:type="dxa"/>
            <w:shd w:val="clear" w:color="auto" w:fill="156082" w:themeFill="accent1"/>
          </w:tcPr>
          <w:p w14:paraId="73834AC7" w14:textId="77777777" w:rsidR="007D14AF" w:rsidRPr="00D4008F" w:rsidRDefault="007D14AF">
            <w:pPr>
              <w:jc w:val="center"/>
              <w:rPr>
                <w:b/>
                <w:bCs/>
                <w:color w:val="FFFFFF" w:themeColor="background1"/>
                <w:sz w:val="20"/>
                <w:szCs w:val="20"/>
              </w:rPr>
            </w:pPr>
            <w:r w:rsidRPr="00D4008F">
              <w:rPr>
                <w:b/>
                <w:bCs/>
                <w:color w:val="FFFFFF" w:themeColor="background1"/>
                <w:sz w:val="20"/>
                <w:szCs w:val="20"/>
              </w:rPr>
              <w:t>% exceeding SDT</w:t>
            </w:r>
          </w:p>
        </w:tc>
      </w:tr>
      <w:tr w:rsidR="007D14AF" w:rsidRPr="00D4008F" w14:paraId="0FC3736A" w14:textId="77777777">
        <w:tc>
          <w:tcPr>
            <w:tcW w:w="1466" w:type="dxa"/>
          </w:tcPr>
          <w:p w14:paraId="2AD63AC8" w14:textId="77777777" w:rsidR="007D14AF" w:rsidRPr="00D4008F" w:rsidRDefault="007D14AF">
            <w:pPr>
              <w:rPr>
                <w:sz w:val="20"/>
                <w:szCs w:val="20"/>
              </w:rPr>
            </w:pPr>
            <w:r w:rsidRPr="00D4008F">
              <w:rPr>
                <w:sz w:val="20"/>
                <w:szCs w:val="20"/>
              </w:rPr>
              <w:t>18 – 29 years</w:t>
            </w:r>
          </w:p>
        </w:tc>
        <w:tc>
          <w:tcPr>
            <w:tcW w:w="1520" w:type="dxa"/>
          </w:tcPr>
          <w:p w14:paraId="7799D4D5" w14:textId="77777777" w:rsidR="007D14AF" w:rsidRPr="00D4008F" w:rsidRDefault="007D14AF">
            <w:pPr>
              <w:jc w:val="center"/>
              <w:rPr>
                <w:sz w:val="20"/>
                <w:szCs w:val="20"/>
              </w:rPr>
            </w:pPr>
            <w:r w:rsidRPr="00D4008F">
              <w:rPr>
                <w:sz w:val="20"/>
                <w:szCs w:val="20"/>
              </w:rPr>
              <w:t>2,645</w:t>
            </w:r>
          </w:p>
        </w:tc>
        <w:tc>
          <w:tcPr>
            <w:tcW w:w="1520" w:type="dxa"/>
          </w:tcPr>
          <w:p w14:paraId="6386E8D6" w14:textId="77777777" w:rsidR="007D14AF" w:rsidRPr="00D4008F" w:rsidRDefault="007D14AF">
            <w:pPr>
              <w:jc w:val="center"/>
              <w:rPr>
                <w:sz w:val="20"/>
                <w:szCs w:val="20"/>
              </w:rPr>
            </w:pPr>
            <w:r w:rsidRPr="00D4008F">
              <w:rPr>
                <w:sz w:val="20"/>
                <w:szCs w:val="20"/>
              </w:rPr>
              <w:t>3,106</w:t>
            </w:r>
          </w:p>
        </w:tc>
        <w:tc>
          <w:tcPr>
            <w:tcW w:w="1585" w:type="dxa"/>
          </w:tcPr>
          <w:p w14:paraId="499F4484" w14:textId="77777777" w:rsidR="007D14AF" w:rsidRPr="00D4008F" w:rsidRDefault="007D14AF">
            <w:pPr>
              <w:jc w:val="center"/>
              <w:rPr>
                <w:sz w:val="20"/>
                <w:szCs w:val="20"/>
              </w:rPr>
            </w:pPr>
            <w:r w:rsidRPr="00D4008F">
              <w:rPr>
                <w:sz w:val="20"/>
                <w:szCs w:val="20"/>
              </w:rPr>
              <w:t>88.2%</w:t>
            </w:r>
          </w:p>
        </w:tc>
        <w:tc>
          <w:tcPr>
            <w:tcW w:w="1455" w:type="dxa"/>
          </w:tcPr>
          <w:p w14:paraId="7E144F92" w14:textId="77777777" w:rsidR="007D14AF" w:rsidRPr="00D4008F" w:rsidRDefault="007D14AF">
            <w:pPr>
              <w:jc w:val="center"/>
              <w:rPr>
                <w:sz w:val="20"/>
                <w:szCs w:val="20"/>
              </w:rPr>
            </w:pPr>
            <w:r w:rsidRPr="00D4008F">
              <w:rPr>
                <w:sz w:val="20"/>
                <w:szCs w:val="20"/>
              </w:rPr>
              <w:t>2,157</w:t>
            </w:r>
          </w:p>
        </w:tc>
        <w:tc>
          <w:tcPr>
            <w:tcW w:w="1663" w:type="dxa"/>
          </w:tcPr>
          <w:p w14:paraId="6C3D8926" w14:textId="77777777" w:rsidR="007D14AF" w:rsidRPr="00D4008F" w:rsidRDefault="007D14AF">
            <w:pPr>
              <w:jc w:val="center"/>
              <w:rPr>
                <w:sz w:val="20"/>
                <w:szCs w:val="20"/>
              </w:rPr>
            </w:pPr>
            <w:r w:rsidRPr="00D4008F">
              <w:rPr>
                <w:sz w:val="20"/>
                <w:szCs w:val="20"/>
              </w:rPr>
              <w:t>59.6%</w:t>
            </w:r>
          </w:p>
        </w:tc>
      </w:tr>
      <w:tr w:rsidR="007D14AF" w:rsidRPr="00D4008F" w14:paraId="31D9C24A" w14:textId="77777777">
        <w:tc>
          <w:tcPr>
            <w:tcW w:w="1466" w:type="dxa"/>
          </w:tcPr>
          <w:p w14:paraId="582F5FAE" w14:textId="77777777" w:rsidR="007D14AF" w:rsidRPr="00D4008F" w:rsidRDefault="007D14AF">
            <w:pPr>
              <w:rPr>
                <w:sz w:val="20"/>
                <w:szCs w:val="20"/>
              </w:rPr>
            </w:pPr>
            <w:r w:rsidRPr="00D4008F">
              <w:rPr>
                <w:sz w:val="20"/>
                <w:szCs w:val="20"/>
              </w:rPr>
              <w:t>30 – 49 years</w:t>
            </w:r>
          </w:p>
        </w:tc>
        <w:tc>
          <w:tcPr>
            <w:tcW w:w="1520" w:type="dxa"/>
          </w:tcPr>
          <w:p w14:paraId="2C767C91" w14:textId="77777777" w:rsidR="007D14AF" w:rsidRPr="00D4008F" w:rsidRDefault="007D14AF">
            <w:pPr>
              <w:jc w:val="center"/>
              <w:rPr>
                <w:sz w:val="20"/>
                <w:szCs w:val="20"/>
              </w:rPr>
            </w:pPr>
            <w:r w:rsidRPr="00D4008F">
              <w:rPr>
                <w:sz w:val="20"/>
                <w:szCs w:val="20"/>
              </w:rPr>
              <w:t>2,464</w:t>
            </w:r>
          </w:p>
        </w:tc>
        <w:tc>
          <w:tcPr>
            <w:tcW w:w="1520" w:type="dxa"/>
          </w:tcPr>
          <w:p w14:paraId="58957ECC" w14:textId="77777777" w:rsidR="007D14AF" w:rsidRPr="00D4008F" w:rsidRDefault="007D14AF">
            <w:pPr>
              <w:jc w:val="center"/>
              <w:rPr>
                <w:sz w:val="20"/>
                <w:szCs w:val="20"/>
              </w:rPr>
            </w:pPr>
            <w:r w:rsidRPr="00D4008F">
              <w:rPr>
                <w:sz w:val="20"/>
                <w:szCs w:val="20"/>
              </w:rPr>
              <w:t>2,765</w:t>
            </w:r>
          </w:p>
        </w:tc>
        <w:tc>
          <w:tcPr>
            <w:tcW w:w="1585" w:type="dxa"/>
          </w:tcPr>
          <w:p w14:paraId="7A2E33D2" w14:textId="77777777" w:rsidR="007D14AF" w:rsidRPr="00D4008F" w:rsidRDefault="007D14AF">
            <w:pPr>
              <w:jc w:val="center"/>
              <w:rPr>
                <w:sz w:val="20"/>
                <w:szCs w:val="20"/>
              </w:rPr>
            </w:pPr>
            <w:r w:rsidRPr="00D4008F">
              <w:rPr>
                <w:sz w:val="20"/>
                <w:szCs w:val="20"/>
              </w:rPr>
              <w:t>81.5%</w:t>
            </w:r>
          </w:p>
        </w:tc>
        <w:tc>
          <w:tcPr>
            <w:tcW w:w="1455" w:type="dxa"/>
          </w:tcPr>
          <w:p w14:paraId="5986E5B7" w14:textId="77777777" w:rsidR="007D14AF" w:rsidRPr="00D4008F" w:rsidRDefault="007D14AF">
            <w:pPr>
              <w:jc w:val="center"/>
              <w:rPr>
                <w:sz w:val="20"/>
                <w:szCs w:val="20"/>
              </w:rPr>
            </w:pPr>
            <w:r w:rsidRPr="00D4008F">
              <w:rPr>
                <w:sz w:val="20"/>
                <w:szCs w:val="20"/>
              </w:rPr>
              <w:t>2,176</w:t>
            </w:r>
          </w:p>
        </w:tc>
        <w:tc>
          <w:tcPr>
            <w:tcW w:w="1663" w:type="dxa"/>
          </w:tcPr>
          <w:p w14:paraId="27278303" w14:textId="77777777" w:rsidR="007D14AF" w:rsidRPr="00D4008F" w:rsidRDefault="007D14AF">
            <w:pPr>
              <w:jc w:val="center"/>
              <w:rPr>
                <w:sz w:val="20"/>
                <w:szCs w:val="20"/>
              </w:rPr>
            </w:pPr>
            <w:r w:rsidRPr="00D4008F">
              <w:rPr>
                <w:sz w:val="20"/>
                <w:szCs w:val="20"/>
              </w:rPr>
              <w:t>56.8%</w:t>
            </w:r>
          </w:p>
        </w:tc>
      </w:tr>
      <w:tr w:rsidR="007D14AF" w:rsidRPr="00D4008F" w14:paraId="1CA80775" w14:textId="77777777">
        <w:tc>
          <w:tcPr>
            <w:tcW w:w="1466" w:type="dxa"/>
          </w:tcPr>
          <w:p w14:paraId="09FF4D34" w14:textId="77777777" w:rsidR="007D14AF" w:rsidRPr="00D4008F" w:rsidRDefault="007D14AF">
            <w:pPr>
              <w:rPr>
                <w:sz w:val="20"/>
                <w:szCs w:val="20"/>
              </w:rPr>
            </w:pPr>
            <w:r w:rsidRPr="00D4008F">
              <w:rPr>
                <w:sz w:val="20"/>
                <w:szCs w:val="20"/>
              </w:rPr>
              <w:t>50 – 64 years</w:t>
            </w:r>
          </w:p>
        </w:tc>
        <w:tc>
          <w:tcPr>
            <w:tcW w:w="1520" w:type="dxa"/>
          </w:tcPr>
          <w:p w14:paraId="22417FD6" w14:textId="77777777" w:rsidR="007D14AF" w:rsidRPr="00D4008F" w:rsidRDefault="007D14AF">
            <w:pPr>
              <w:jc w:val="center"/>
              <w:rPr>
                <w:sz w:val="20"/>
                <w:szCs w:val="20"/>
              </w:rPr>
            </w:pPr>
            <w:r w:rsidRPr="00D4008F">
              <w:rPr>
                <w:sz w:val="20"/>
                <w:szCs w:val="20"/>
              </w:rPr>
              <w:t>2,309</w:t>
            </w:r>
          </w:p>
        </w:tc>
        <w:tc>
          <w:tcPr>
            <w:tcW w:w="1520" w:type="dxa"/>
          </w:tcPr>
          <w:p w14:paraId="45D1F435" w14:textId="77777777" w:rsidR="007D14AF" w:rsidRPr="00D4008F" w:rsidRDefault="007D14AF">
            <w:pPr>
              <w:jc w:val="center"/>
              <w:rPr>
                <w:sz w:val="20"/>
                <w:szCs w:val="20"/>
              </w:rPr>
            </w:pPr>
            <w:r w:rsidRPr="00D4008F">
              <w:rPr>
                <w:sz w:val="20"/>
                <w:szCs w:val="20"/>
              </w:rPr>
              <w:t>2,603</w:t>
            </w:r>
          </w:p>
        </w:tc>
        <w:tc>
          <w:tcPr>
            <w:tcW w:w="1585" w:type="dxa"/>
          </w:tcPr>
          <w:p w14:paraId="22926953" w14:textId="77777777" w:rsidR="007D14AF" w:rsidRPr="00D4008F" w:rsidRDefault="007D14AF">
            <w:pPr>
              <w:jc w:val="center"/>
              <w:rPr>
                <w:sz w:val="20"/>
                <w:szCs w:val="20"/>
              </w:rPr>
            </w:pPr>
            <w:r w:rsidRPr="00D4008F">
              <w:rPr>
                <w:sz w:val="20"/>
                <w:szCs w:val="20"/>
              </w:rPr>
              <w:t>78.5%</w:t>
            </w:r>
          </w:p>
        </w:tc>
        <w:tc>
          <w:tcPr>
            <w:tcW w:w="1455" w:type="dxa"/>
          </w:tcPr>
          <w:p w14:paraId="65DF6759" w14:textId="77777777" w:rsidR="007D14AF" w:rsidRPr="00D4008F" w:rsidRDefault="007D14AF">
            <w:pPr>
              <w:jc w:val="center"/>
              <w:rPr>
                <w:sz w:val="20"/>
                <w:szCs w:val="20"/>
              </w:rPr>
            </w:pPr>
            <w:r w:rsidRPr="00D4008F">
              <w:rPr>
                <w:sz w:val="20"/>
                <w:szCs w:val="20"/>
              </w:rPr>
              <w:t>2,030</w:t>
            </w:r>
          </w:p>
        </w:tc>
        <w:tc>
          <w:tcPr>
            <w:tcW w:w="1663" w:type="dxa"/>
          </w:tcPr>
          <w:p w14:paraId="468CA523" w14:textId="77777777" w:rsidR="007D14AF" w:rsidRPr="00D4008F" w:rsidRDefault="007D14AF">
            <w:pPr>
              <w:jc w:val="center"/>
              <w:rPr>
                <w:sz w:val="20"/>
                <w:szCs w:val="20"/>
              </w:rPr>
            </w:pPr>
            <w:r w:rsidRPr="00D4008F">
              <w:rPr>
                <w:sz w:val="20"/>
                <w:szCs w:val="20"/>
              </w:rPr>
              <w:t>47.4%</w:t>
            </w:r>
          </w:p>
        </w:tc>
      </w:tr>
      <w:tr w:rsidR="007D14AF" w:rsidRPr="00D4008F" w14:paraId="6495B593" w14:textId="77777777">
        <w:tc>
          <w:tcPr>
            <w:tcW w:w="1466" w:type="dxa"/>
          </w:tcPr>
          <w:p w14:paraId="7532E1E0" w14:textId="77777777" w:rsidR="007D14AF" w:rsidRPr="00D4008F" w:rsidRDefault="007D14AF">
            <w:pPr>
              <w:rPr>
                <w:sz w:val="20"/>
                <w:szCs w:val="20"/>
              </w:rPr>
            </w:pPr>
            <w:r w:rsidRPr="00D4008F">
              <w:rPr>
                <w:sz w:val="20"/>
                <w:szCs w:val="20"/>
              </w:rPr>
              <w:t>65 – 74 years</w:t>
            </w:r>
          </w:p>
        </w:tc>
        <w:tc>
          <w:tcPr>
            <w:tcW w:w="1520" w:type="dxa"/>
          </w:tcPr>
          <w:p w14:paraId="3C104E6E" w14:textId="77777777" w:rsidR="007D14AF" w:rsidRPr="00D4008F" w:rsidRDefault="007D14AF">
            <w:pPr>
              <w:jc w:val="center"/>
              <w:rPr>
                <w:sz w:val="20"/>
                <w:szCs w:val="20"/>
              </w:rPr>
            </w:pPr>
            <w:r w:rsidRPr="00D4008F">
              <w:rPr>
                <w:sz w:val="20"/>
                <w:szCs w:val="20"/>
              </w:rPr>
              <w:t>2,140</w:t>
            </w:r>
          </w:p>
        </w:tc>
        <w:tc>
          <w:tcPr>
            <w:tcW w:w="1520" w:type="dxa"/>
          </w:tcPr>
          <w:p w14:paraId="589D95C5" w14:textId="77777777" w:rsidR="007D14AF" w:rsidRPr="00D4008F" w:rsidRDefault="007D14AF">
            <w:pPr>
              <w:jc w:val="center"/>
              <w:rPr>
                <w:sz w:val="20"/>
                <w:szCs w:val="20"/>
              </w:rPr>
            </w:pPr>
            <w:r w:rsidRPr="00D4008F">
              <w:rPr>
                <w:sz w:val="20"/>
                <w:szCs w:val="20"/>
              </w:rPr>
              <w:t>2,372</w:t>
            </w:r>
          </w:p>
        </w:tc>
        <w:tc>
          <w:tcPr>
            <w:tcW w:w="1585" w:type="dxa"/>
          </w:tcPr>
          <w:p w14:paraId="30878F2B" w14:textId="77777777" w:rsidR="007D14AF" w:rsidRPr="00D4008F" w:rsidRDefault="007D14AF">
            <w:pPr>
              <w:jc w:val="center"/>
              <w:rPr>
                <w:sz w:val="20"/>
                <w:szCs w:val="20"/>
              </w:rPr>
            </w:pPr>
            <w:r w:rsidRPr="00D4008F">
              <w:rPr>
                <w:sz w:val="20"/>
                <w:szCs w:val="20"/>
              </w:rPr>
              <w:t>71.2%</w:t>
            </w:r>
          </w:p>
        </w:tc>
        <w:tc>
          <w:tcPr>
            <w:tcW w:w="1455" w:type="dxa"/>
          </w:tcPr>
          <w:p w14:paraId="5B8C2DF9" w14:textId="77777777" w:rsidR="007D14AF" w:rsidRPr="00D4008F" w:rsidRDefault="007D14AF">
            <w:pPr>
              <w:jc w:val="center"/>
              <w:rPr>
                <w:sz w:val="20"/>
                <w:szCs w:val="20"/>
              </w:rPr>
            </w:pPr>
            <w:r w:rsidRPr="00D4008F">
              <w:rPr>
                <w:sz w:val="20"/>
                <w:szCs w:val="20"/>
              </w:rPr>
              <w:t>1,925</w:t>
            </w:r>
          </w:p>
        </w:tc>
        <w:tc>
          <w:tcPr>
            <w:tcW w:w="1663" w:type="dxa"/>
          </w:tcPr>
          <w:p w14:paraId="2BCCA2FE" w14:textId="77777777" w:rsidR="007D14AF" w:rsidRPr="00D4008F" w:rsidRDefault="007D14AF">
            <w:pPr>
              <w:jc w:val="center"/>
              <w:rPr>
                <w:sz w:val="20"/>
                <w:szCs w:val="20"/>
              </w:rPr>
            </w:pPr>
            <w:r w:rsidRPr="00D4008F">
              <w:rPr>
                <w:sz w:val="20"/>
                <w:szCs w:val="20"/>
              </w:rPr>
              <w:t>44.2%</w:t>
            </w:r>
          </w:p>
        </w:tc>
      </w:tr>
      <w:tr w:rsidR="007D14AF" w:rsidRPr="00D4008F" w14:paraId="235D2BB4" w14:textId="77777777">
        <w:tc>
          <w:tcPr>
            <w:tcW w:w="1466" w:type="dxa"/>
          </w:tcPr>
          <w:p w14:paraId="5E63B74B" w14:textId="77777777" w:rsidR="007D14AF" w:rsidRPr="00D4008F" w:rsidRDefault="007D14AF">
            <w:pPr>
              <w:rPr>
                <w:sz w:val="20"/>
                <w:szCs w:val="20"/>
              </w:rPr>
            </w:pPr>
            <w:r w:rsidRPr="00D4008F">
              <w:rPr>
                <w:sz w:val="20"/>
                <w:szCs w:val="20"/>
              </w:rPr>
              <w:t>75+ years</w:t>
            </w:r>
          </w:p>
        </w:tc>
        <w:tc>
          <w:tcPr>
            <w:tcW w:w="1520" w:type="dxa"/>
          </w:tcPr>
          <w:p w14:paraId="327BB1DB" w14:textId="77777777" w:rsidR="007D14AF" w:rsidRPr="00D4008F" w:rsidRDefault="007D14AF">
            <w:pPr>
              <w:jc w:val="center"/>
              <w:rPr>
                <w:sz w:val="20"/>
                <w:szCs w:val="20"/>
              </w:rPr>
            </w:pPr>
            <w:r w:rsidRPr="00D4008F">
              <w:rPr>
                <w:sz w:val="20"/>
                <w:szCs w:val="20"/>
              </w:rPr>
              <w:t>2005</w:t>
            </w:r>
          </w:p>
        </w:tc>
        <w:tc>
          <w:tcPr>
            <w:tcW w:w="1520" w:type="dxa"/>
          </w:tcPr>
          <w:p w14:paraId="4E62F0D4" w14:textId="77777777" w:rsidR="007D14AF" w:rsidRPr="00D4008F" w:rsidRDefault="007D14AF">
            <w:pPr>
              <w:jc w:val="center"/>
              <w:rPr>
                <w:sz w:val="20"/>
                <w:szCs w:val="20"/>
              </w:rPr>
            </w:pPr>
            <w:r w:rsidRPr="00D4008F">
              <w:rPr>
                <w:sz w:val="20"/>
                <w:szCs w:val="20"/>
              </w:rPr>
              <w:t>2,266</w:t>
            </w:r>
          </w:p>
        </w:tc>
        <w:tc>
          <w:tcPr>
            <w:tcW w:w="1585" w:type="dxa"/>
          </w:tcPr>
          <w:p w14:paraId="44BDDFCA" w14:textId="77777777" w:rsidR="007D14AF" w:rsidRPr="00D4008F" w:rsidRDefault="007D14AF">
            <w:pPr>
              <w:jc w:val="center"/>
              <w:rPr>
                <w:sz w:val="20"/>
                <w:szCs w:val="20"/>
              </w:rPr>
            </w:pPr>
            <w:r w:rsidRPr="00D4008F">
              <w:rPr>
                <w:sz w:val="20"/>
                <w:szCs w:val="20"/>
              </w:rPr>
              <w:t>68.1%</w:t>
            </w:r>
          </w:p>
        </w:tc>
        <w:tc>
          <w:tcPr>
            <w:tcW w:w="1455" w:type="dxa"/>
          </w:tcPr>
          <w:p w14:paraId="433F1C01" w14:textId="77777777" w:rsidR="007D14AF" w:rsidRPr="00D4008F" w:rsidRDefault="007D14AF">
            <w:pPr>
              <w:jc w:val="center"/>
              <w:rPr>
                <w:sz w:val="20"/>
                <w:szCs w:val="20"/>
              </w:rPr>
            </w:pPr>
            <w:r w:rsidRPr="00D4008F">
              <w:rPr>
                <w:sz w:val="20"/>
                <w:szCs w:val="20"/>
              </w:rPr>
              <w:t>1,780</w:t>
            </w:r>
          </w:p>
        </w:tc>
        <w:tc>
          <w:tcPr>
            <w:tcW w:w="1663" w:type="dxa"/>
          </w:tcPr>
          <w:p w14:paraId="6722211C" w14:textId="77777777" w:rsidR="007D14AF" w:rsidRPr="00D4008F" w:rsidRDefault="007D14AF">
            <w:pPr>
              <w:jc w:val="center"/>
              <w:rPr>
                <w:sz w:val="20"/>
                <w:szCs w:val="20"/>
              </w:rPr>
            </w:pPr>
            <w:r w:rsidRPr="00D4008F">
              <w:rPr>
                <w:sz w:val="20"/>
                <w:szCs w:val="20"/>
              </w:rPr>
              <w:t>35.4%</w:t>
            </w:r>
          </w:p>
        </w:tc>
      </w:tr>
    </w:tbl>
    <w:p w14:paraId="3B44D5ED" w14:textId="217CA1E0" w:rsidR="00E255F8" w:rsidRDefault="007D14AF" w:rsidP="005D41BE">
      <w:pPr>
        <w:tabs>
          <w:tab w:val="left" w:pos="8364"/>
        </w:tabs>
        <w:spacing w:before="120" w:line="276" w:lineRule="auto"/>
      </w:pPr>
      <w:r>
        <w:t>I</w:t>
      </w:r>
      <w:r w:rsidR="00E255F8">
        <w:t>ntake</w:t>
      </w:r>
      <w:r>
        <w:t xml:space="preserve"> data from the 2023 NNPAS</w:t>
      </w:r>
      <w:r w:rsidR="00E255F8">
        <w:t xml:space="preserve"> are substantially lower than estimates from Australian studies</w:t>
      </w:r>
      <w:r w:rsidR="00B03652">
        <w:t xml:space="preserve"> which have utilised 24-hour urinary sodium excretion</w:t>
      </w:r>
      <w:r w:rsidR="008C32CC">
        <w:t>, although the data are not contemporaneous</w:t>
      </w:r>
      <w:r w:rsidR="00E255F8">
        <w:t xml:space="preserve">. A 2018 systematic review meta-analysed data from studies measuring 24-hour urine collection from 3,896 </w:t>
      </w:r>
      <w:r w:rsidR="00C72E8A">
        <w:t>adults</w:t>
      </w:r>
      <w:r w:rsidR="00E255F8">
        <w:t xml:space="preserve"> in Australia</w:t>
      </w:r>
      <w:r w:rsidR="001F66F1">
        <w:t xml:space="preserve"> with a mean age ranging from 31 to 69 years.</w:t>
      </w:r>
      <w:r w:rsidR="00E255F8">
        <w:t xml:space="preserve"> Daily salt intake was estimated at 9.6 grams per day, equating to 3,800 mg/day of sodium </w:t>
      </w:r>
      <w:r w:rsidR="00E255F8">
        <w:fldChar w:fldCharType="begin"/>
      </w:r>
      <w:r w:rsidR="00E255F8">
        <w:instrText xml:space="preserve"> ADDIN EN.CITE &lt;EndNote&gt;&lt;Cite&gt;&lt;Author&gt;Land&lt;/Author&gt;&lt;Year&gt;2018&lt;/Year&gt;&lt;RecNum&gt;28&lt;/RecNum&gt;&lt;DisplayText&gt;(Land et al., 2018)&lt;/DisplayText&gt;&lt;record&gt;&lt;rec-number&gt;28&lt;/rec-number&gt;&lt;foreign-keys&gt;&lt;key app="EN" db-id="2ddsf25zp2xzzge9x5tp0atcsevpvztrd5dw" timestamp="1777854264"&gt;28&lt;/key&gt;&lt;/foreign-keys&gt;&lt;ref-type name="Journal Article"&gt;17&lt;/ref-type&gt;&lt;contributors&gt;&lt;authors&gt;&lt;author&gt;Land, M. A.&lt;/author&gt;&lt;author&gt;Neal, B. C.&lt;/author&gt;&lt;author&gt;Johnson, C.&lt;/author&gt;&lt;author&gt;Nowson, C. A.&lt;/author&gt;&lt;author&gt;Margerison, C.&lt;/author&gt;&lt;author&gt;Petersen, K. S.&lt;/author&gt;&lt;/authors&gt;&lt;/contributors&gt;&lt;titles&gt;&lt;title&gt;Salt consumption by Australian adults: a systematic review and meta-analysis&lt;/title&gt;&lt;secondary-title&gt;The Medical journal of Australia&lt;/secondary-title&gt;&lt;/titles&gt;&lt;pages&gt;75-81&lt;/pages&gt;&lt;volume&gt;208&lt;/volume&gt;&lt;number&gt;2&lt;/number&gt;&lt;dates&gt;&lt;year&gt;2018&lt;/year&gt;&lt;pub-dates&gt;&lt;date&gt;2018&lt;/date&gt;&lt;/pub-dates&gt;&lt;/dates&gt;&lt;isbn&gt;1326-5377&lt;/isbn&gt;&lt;urls&gt;&lt;related-urls&gt;&lt;url&gt;http://www.epistemonikos.org/documents/a16971d32a460db0e6a456fbdbd355397d25d7df&lt;/url&gt;&lt;/related-urls&gt;&lt;/urls&gt;&lt;electronic-resource-num&gt;10.5694/mja17.00394&lt;/electronic-resource-num&gt;&lt;remote-database-name&gt;EPISTEMONIKOS&lt;/remote-database-name&gt;&lt;language&gt;English&lt;/language&gt;&lt;/record&gt;&lt;/Cite&gt;&lt;/EndNote&gt;</w:instrText>
      </w:r>
      <w:r w:rsidR="00E255F8">
        <w:fldChar w:fldCharType="separate"/>
      </w:r>
      <w:r w:rsidR="00E255F8">
        <w:t>(Land et al., 2018)</w:t>
      </w:r>
      <w:r w:rsidR="00E255F8">
        <w:fldChar w:fldCharType="end"/>
      </w:r>
      <w:r w:rsidR="00E255F8">
        <w:t xml:space="preserve">. Intakes were higher among </w:t>
      </w:r>
      <w:r w:rsidR="001A6CBD">
        <w:t>m</w:t>
      </w:r>
      <w:r w:rsidR="00A0102C">
        <w:t>ales</w:t>
      </w:r>
      <w:r w:rsidR="001A6CBD">
        <w:t xml:space="preserve"> </w:t>
      </w:r>
      <w:r w:rsidR="00E255F8">
        <w:t xml:space="preserve">compared with </w:t>
      </w:r>
      <w:r w:rsidR="00A0102C">
        <w:t>females</w:t>
      </w:r>
      <w:r w:rsidR="00E255F8">
        <w:t xml:space="preserve"> (</w:t>
      </w:r>
      <w:r w:rsidR="001A6CBD">
        <w:t xml:space="preserve">4,040 mg/day vs </w:t>
      </w:r>
      <w:r w:rsidR="00E255F8">
        <w:t>2,936 mg/day).</w:t>
      </w:r>
    </w:p>
    <w:p w14:paraId="0C1E7DED" w14:textId="77777777" w:rsidR="003C585A" w:rsidRPr="000331EA" w:rsidRDefault="003C585A" w:rsidP="003C585A">
      <w:pPr>
        <w:pStyle w:val="Heading4"/>
        <w:spacing w:line="360" w:lineRule="auto"/>
      </w:pPr>
      <w:r>
        <w:t>Pregnancy and lactation</w:t>
      </w:r>
    </w:p>
    <w:p w14:paraId="08D1A55F" w14:textId="2DDC4F8A" w:rsidR="003C585A" w:rsidRPr="00614EA4" w:rsidRDefault="00614EA4" w:rsidP="005D41BE">
      <w:pPr>
        <w:spacing w:line="276" w:lineRule="auto"/>
      </w:pPr>
      <w:r w:rsidRPr="00614EA4">
        <w:t>No data were identified in pregnant or lactating Australian populations.</w:t>
      </w:r>
    </w:p>
    <w:p w14:paraId="719A1855" w14:textId="4901265A" w:rsidR="00CF0C99" w:rsidRDefault="00CF0C99" w:rsidP="00392BA5">
      <w:pPr>
        <w:pStyle w:val="Heading4"/>
      </w:pPr>
      <w:r>
        <w:t>Children and adolescents</w:t>
      </w:r>
    </w:p>
    <w:p w14:paraId="44262891" w14:textId="4F505B44" w:rsidR="0007275C" w:rsidRDefault="0007275C" w:rsidP="005D41BE">
      <w:pPr>
        <w:tabs>
          <w:tab w:val="left" w:pos="8364"/>
        </w:tabs>
        <w:spacing w:before="120" w:line="276" w:lineRule="auto"/>
      </w:pPr>
      <w:r>
        <w:t xml:space="preserve">NNPAS data </w:t>
      </w:r>
      <w:r w:rsidR="00900DAB">
        <w:t xml:space="preserve">from Australian children and adolescents are presented in </w:t>
      </w:r>
      <w:r w:rsidR="00900DAB">
        <w:fldChar w:fldCharType="begin"/>
      </w:r>
      <w:r w:rsidR="00900DAB">
        <w:instrText xml:space="preserve"> REF _Ref228877780 \h </w:instrText>
      </w:r>
      <w:r w:rsidR="00900DAB">
        <w:fldChar w:fldCharType="separate"/>
      </w:r>
      <w:r w:rsidR="000C2E8C">
        <w:t xml:space="preserve">Table </w:t>
      </w:r>
      <w:r w:rsidR="000C2E8C">
        <w:rPr>
          <w:noProof/>
        </w:rPr>
        <w:t>5</w:t>
      </w:r>
      <w:r w:rsidR="00900DAB">
        <w:fldChar w:fldCharType="end"/>
      </w:r>
      <w:r w:rsidR="00900DAB">
        <w:t xml:space="preserve">. </w:t>
      </w:r>
      <w:r w:rsidR="003E01C2">
        <w:t xml:space="preserve">Average intakes </w:t>
      </w:r>
      <w:r w:rsidR="00803B15">
        <w:t xml:space="preserve">are </w:t>
      </w:r>
      <w:proofErr w:type="gramStart"/>
      <w:r w:rsidR="003E01C2">
        <w:t xml:space="preserve">similar </w:t>
      </w:r>
      <w:r w:rsidR="00803B15">
        <w:t>to</w:t>
      </w:r>
      <w:proofErr w:type="gramEnd"/>
      <w:r w:rsidR="00803B15">
        <w:t xml:space="preserve"> the previous (2011-12) NNPAS survey</w:t>
      </w:r>
      <w:r w:rsidR="003E01C2">
        <w:t xml:space="preserve">, </w:t>
      </w:r>
      <w:r w:rsidR="00D27670">
        <w:t xml:space="preserve">except for </w:t>
      </w:r>
      <w:r w:rsidR="003E01C2">
        <w:t>a small increase among people aged 12 -17 years (</w:t>
      </w:r>
      <w:r w:rsidR="00803B15">
        <w:t xml:space="preserve">2,635 mg/day in 2011-12 vs 2,903 mg/day in 2023). </w:t>
      </w:r>
      <w:r w:rsidR="00FB1A96">
        <w:t>N</w:t>
      </w:r>
      <w:r w:rsidR="00884072">
        <w:t xml:space="preserve">o data </w:t>
      </w:r>
      <w:r w:rsidR="00FB1A96">
        <w:t xml:space="preserve">is available </w:t>
      </w:r>
      <w:r w:rsidR="00884072">
        <w:t xml:space="preserve">on the proportion of children </w:t>
      </w:r>
      <w:r w:rsidR="00FB1A96">
        <w:t xml:space="preserve">and adolescents </w:t>
      </w:r>
      <w:r w:rsidR="00884072">
        <w:t>exceeding the UL</w:t>
      </w:r>
      <w:r w:rsidR="00FB1A96">
        <w:t>.</w:t>
      </w:r>
      <w:r w:rsidR="00DF29A5">
        <w:t xml:space="preserve"> However, when the UL is weighted to align with the ABS age-groupings, average intakes for all age groups and sexes exceed the relevant UL recommendations.</w:t>
      </w:r>
    </w:p>
    <w:p w14:paraId="5CECDE9E" w14:textId="43BD5149" w:rsidR="00401D1B" w:rsidRDefault="00401D1B" w:rsidP="00401D1B">
      <w:pPr>
        <w:pStyle w:val="Caption"/>
        <w:keepNext/>
      </w:pPr>
      <w:bookmarkStart w:id="35" w:name="_Ref228877780"/>
      <w:r>
        <w:t xml:space="preserve">Table </w:t>
      </w:r>
      <w:r>
        <w:fldChar w:fldCharType="begin"/>
      </w:r>
      <w:r>
        <w:instrText>SEQ Table \* ARABIC</w:instrText>
      </w:r>
      <w:r>
        <w:fldChar w:fldCharType="separate"/>
      </w:r>
      <w:r w:rsidR="00B90577">
        <w:rPr>
          <w:noProof/>
        </w:rPr>
        <w:t>5</w:t>
      </w:r>
      <w:r>
        <w:fldChar w:fldCharType="end"/>
      </w:r>
      <w:bookmarkEnd w:id="35"/>
      <w:r>
        <w:t xml:space="preserve"> - </w:t>
      </w:r>
      <w:r w:rsidRPr="00F83CC5">
        <w:t>Population intake of sodium from food and beverages among Australian children and adolescents, by age group and sex.</w:t>
      </w:r>
      <w:r w:rsidR="00DF29A5">
        <w:t xml:space="preserve"> UL data from the 2006 NRVs are also presented for comparison purposes.</w:t>
      </w:r>
      <w:r w:rsidRPr="00F83CC5">
        <w:t xml:space="preserve"> Source</w:t>
      </w:r>
      <w:r w:rsidR="00DF29A5">
        <w:t>s</w:t>
      </w:r>
      <w:r w:rsidRPr="00F83CC5">
        <w:t>: 2023 NNPAS (ABS, 2023b)</w:t>
      </w:r>
      <w:r w:rsidR="00DF29A5">
        <w:t xml:space="preserve">, NRVs 2006 </w:t>
      </w:r>
      <w:r w:rsidR="00DF29A5">
        <w:fldChar w:fldCharType="begin"/>
      </w:r>
      <w:r w:rsidR="00DF29A5">
        <w:instrText xml:space="preserve"> ADDIN EN.CITE &lt;EndNote&gt;&lt;Cite ExcludeAuth="1"&gt;&lt;Author&gt;National Health and Medical Research Council&lt;/Author&gt;&lt;Year&gt;2006&lt;/Year&gt;&lt;RecNum&gt;4629&lt;/RecNum&gt;&lt;Prefix&gt;NHMRC`, &lt;/Prefix&gt;&lt;DisplayText&gt;(NHMRC, 2006b)&lt;/DisplayText&gt;&lt;record&gt;&lt;rec-number&gt;4629&lt;/rec-number&gt;&lt;foreign-keys&gt;&lt;key app="EN" db-id="wwsdv2wwp29fenerv0kx5tw9zxtx2fdrprx2" timestamp="1774923627"&gt;4629&lt;/key&gt;&lt;/foreign-keys&gt;&lt;ref-type name="Government Document"&gt;46&lt;/ref-type&gt;&lt;contributors&gt;&lt;authors&gt;&lt;author&gt;National Health and Medical Research Council, NHMRC&lt;/author&gt;&lt;/authors&gt;&lt;secondary-authors&gt;&lt;author&gt;Australian Government Department of Health and Ageing&lt;/author&gt;&lt;/secondary-authors&gt;&lt;/contributors&gt;&lt;titles&gt;&lt;title&gt;Nutrient Reference Values for Australia and New Zealand&lt;/title&gt;&lt;/titles&gt;&lt;dates&gt;&lt;year&gt;2006&lt;/year&gt;&lt;/dates&gt;&lt;pub-location&gt;Canberra&lt;/pub-location&gt;&lt;publisher&gt;NHMRC&lt;/publisher&gt;&lt;urls&gt;&lt;related-urls&gt;&lt;url&gt;https://www.nhmrc.gov.au/about-us/publications/nutrient-reference-values-australia-and-new-zealand-including-recommended-dietary-intakes&lt;/url&gt;&lt;/related-urls&gt;&lt;/urls&gt;&lt;/record&gt;&lt;/Cite&gt;&lt;/EndNote&gt;</w:instrText>
      </w:r>
      <w:r w:rsidR="00DF29A5">
        <w:fldChar w:fldCharType="separate"/>
      </w:r>
      <w:r w:rsidR="00DF29A5">
        <w:rPr>
          <w:noProof/>
        </w:rPr>
        <w:t>(NHMRC, 2006b)</w:t>
      </w:r>
      <w:r w:rsidR="00DF29A5">
        <w:fldChar w:fldCharType="end"/>
      </w:r>
    </w:p>
    <w:tbl>
      <w:tblPr>
        <w:tblStyle w:val="TableGrid"/>
        <w:tblW w:w="8217"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1466"/>
        <w:gridCol w:w="1520"/>
        <w:gridCol w:w="1520"/>
        <w:gridCol w:w="1585"/>
        <w:gridCol w:w="2126"/>
      </w:tblGrid>
      <w:tr w:rsidR="003A4C40" w:rsidRPr="00D4008F" w14:paraId="15F039E2" w14:textId="623C0838" w:rsidTr="003A4C40">
        <w:trPr>
          <w:trHeight w:val="742"/>
        </w:trPr>
        <w:tc>
          <w:tcPr>
            <w:tcW w:w="1466" w:type="dxa"/>
            <w:shd w:val="clear" w:color="auto" w:fill="156082" w:themeFill="accent1"/>
          </w:tcPr>
          <w:p w14:paraId="3C95024C" w14:textId="3EB47E95" w:rsidR="003A4C40" w:rsidRPr="00D4008F" w:rsidRDefault="003A4C40" w:rsidP="003C585A">
            <w:pPr>
              <w:rPr>
                <w:b/>
                <w:bCs/>
                <w:color w:val="FFFFFF" w:themeColor="background1"/>
                <w:sz w:val="20"/>
                <w:szCs w:val="20"/>
              </w:rPr>
            </w:pPr>
            <w:r w:rsidRPr="00D4008F">
              <w:rPr>
                <w:b/>
                <w:bCs/>
                <w:color w:val="FFFFFF" w:themeColor="background1"/>
                <w:sz w:val="20"/>
                <w:szCs w:val="20"/>
              </w:rPr>
              <w:t>Age group</w:t>
            </w:r>
          </w:p>
        </w:tc>
        <w:tc>
          <w:tcPr>
            <w:tcW w:w="1520" w:type="dxa"/>
            <w:shd w:val="clear" w:color="auto" w:fill="156082" w:themeFill="accent1"/>
          </w:tcPr>
          <w:p w14:paraId="4D2D4363" w14:textId="77777777" w:rsidR="003A4C40" w:rsidRPr="00D4008F" w:rsidRDefault="003A4C40" w:rsidP="000B75DC">
            <w:pPr>
              <w:jc w:val="center"/>
              <w:rPr>
                <w:b/>
                <w:bCs/>
                <w:color w:val="FFFFFF" w:themeColor="background1"/>
                <w:sz w:val="20"/>
                <w:szCs w:val="20"/>
              </w:rPr>
            </w:pPr>
            <w:r w:rsidRPr="00D4008F">
              <w:rPr>
                <w:b/>
                <w:bCs/>
                <w:color w:val="FFFFFF" w:themeColor="background1"/>
                <w:sz w:val="20"/>
                <w:szCs w:val="20"/>
              </w:rPr>
              <w:t>All persons</w:t>
            </w:r>
          </w:p>
          <w:p w14:paraId="2D9F0CCF" w14:textId="5C7F16FD" w:rsidR="003A4C40" w:rsidRPr="00D4008F" w:rsidRDefault="003A4C40" w:rsidP="000B75DC">
            <w:pPr>
              <w:jc w:val="center"/>
              <w:rPr>
                <w:b/>
                <w:bCs/>
                <w:color w:val="FFFFFF" w:themeColor="background1"/>
                <w:sz w:val="20"/>
                <w:szCs w:val="20"/>
              </w:rPr>
            </w:pPr>
            <w:r w:rsidRPr="00D4008F">
              <w:rPr>
                <w:b/>
                <w:bCs/>
                <w:color w:val="FFFFFF" w:themeColor="background1"/>
                <w:sz w:val="20"/>
                <w:szCs w:val="20"/>
              </w:rPr>
              <w:t xml:space="preserve">Intake </w:t>
            </w:r>
            <w:r w:rsidRPr="00D4008F">
              <w:rPr>
                <w:i/>
                <w:iCs/>
                <w:color w:val="FFFFFF" w:themeColor="background1"/>
                <w:sz w:val="20"/>
                <w:szCs w:val="20"/>
              </w:rPr>
              <w:t>(mg/day)</w:t>
            </w:r>
          </w:p>
        </w:tc>
        <w:tc>
          <w:tcPr>
            <w:tcW w:w="1520" w:type="dxa"/>
            <w:shd w:val="clear" w:color="auto" w:fill="156082" w:themeFill="accent1"/>
          </w:tcPr>
          <w:p w14:paraId="305F5DC9" w14:textId="77777777" w:rsidR="003A4C40" w:rsidRPr="00D4008F" w:rsidRDefault="003A4C40" w:rsidP="000B75DC">
            <w:pPr>
              <w:jc w:val="center"/>
              <w:rPr>
                <w:b/>
                <w:bCs/>
                <w:color w:val="FFFFFF" w:themeColor="background1"/>
                <w:sz w:val="20"/>
                <w:szCs w:val="20"/>
              </w:rPr>
            </w:pPr>
            <w:r w:rsidRPr="00D4008F">
              <w:rPr>
                <w:b/>
                <w:bCs/>
                <w:color w:val="FFFFFF" w:themeColor="background1"/>
                <w:sz w:val="20"/>
                <w:szCs w:val="20"/>
              </w:rPr>
              <w:t>Males</w:t>
            </w:r>
          </w:p>
          <w:p w14:paraId="3D057615" w14:textId="559DADB4" w:rsidR="003A4C40" w:rsidRPr="00D4008F" w:rsidRDefault="003A4C40" w:rsidP="000B75DC">
            <w:pPr>
              <w:jc w:val="center"/>
              <w:rPr>
                <w:b/>
                <w:bCs/>
                <w:color w:val="FFFFFF" w:themeColor="background1"/>
                <w:sz w:val="20"/>
                <w:szCs w:val="20"/>
              </w:rPr>
            </w:pPr>
            <w:r w:rsidRPr="00D4008F">
              <w:rPr>
                <w:b/>
                <w:bCs/>
                <w:color w:val="FFFFFF" w:themeColor="background1"/>
                <w:sz w:val="20"/>
                <w:szCs w:val="20"/>
              </w:rPr>
              <w:t xml:space="preserve">Intake </w:t>
            </w:r>
            <w:r w:rsidRPr="00D4008F">
              <w:rPr>
                <w:i/>
                <w:iCs/>
                <w:color w:val="FFFFFF" w:themeColor="background1"/>
                <w:sz w:val="20"/>
                <w:szCs w:val="20"/>
              </w:rPr>
              <w:t>(mg/day)</w:t>
            </w:r>
          </w:p>
        </w:tc>
        <w:tc>
          <w:tcPr>
            <w:tcW w:w="1585" w:type="dxa"/>
            <w:shd w:val="clear" w:color="auto" w:fill="156082" w:themeFill="accent1"/>
          </w:tcPr>
          <w:p w14:paraId="5621DF08" w14:textId="77777777" w:rsidR="003A4C40" w:rsidRPr="00D4008F" w:rsidRDefault="003A4C40" w:rsidP="000B75DC">
            <w:pPr>
              <w:jc w:val="center"/>
              <w:rPr>
                <w:b/>
                <w:bCs/>
                <w:color w:val="FFFFFF" w:themeColor="background1"/>
                <w:sz w:val="20"/>
                <w:szCs w:val="20"/>
              </w:rPr>
            </w:pPr>
            <w:r w:rsidRPr="00D4008F">
              <w:rPr>
                <w:b/>
                <w:bCs/>
                <w:color w:val="FFFFFF" w:themeColor="background1"/>
                <w:sz w:val="20"/>
                <w:szCs w:val="20"/>
              </w:rPr>
              <w:t>Females</w:t>
            </w:r>
          </w:p>
          <w:p w14:paraId="2011D3B0" w14:textId="6C760A0C" w:rsidR="003A4C40" w:rsidRPr="00D4008F" w:rsidRDefault="003A4C40" w:rsidP="000B75DC">
            <w:pPr>
              <w:jc w:val="center"/>
              <w:rPr>
                <w:b/>
                <w:bCs/>
                <w:color w:val="FFFFFF" w:themeColor="background1"/>
                <w:sz w:val="20"/>
                <w:szCs w:val="20"/>
              </w:rPr>
            </w:pPr>
            <w:r w:rsidRPr="00D4008F">
              <w:rPr>
                <w:b/>
                <w:bCs/>
                <w:color w:val="FFFFFF" w:themeColor="background1"/>
                <w:sz w:val="20"/>
                <w:szCs w:val="20"/>
              </w:rPr>
              <w:t xml:space="preserve">Intake </w:t>
            </w:r>
            <w:r w:rsidRPr="00D4008F">
              <w:rPr>
                <w:i/>
                <w:iCs/>
                <w:color w:val="FFFFFF" w:themeColor="background1"/>
                <w:sz w:val="20"/>
                <w:szCs w:val="20"/>
              </w:rPr>
              <w:t>(mg/day)</w:t>
            </w:r>
          </w:p>
        </w:tc>
        <w:tc>
          <w:tcPr>
            <w:tcW w:w="2126" w:type="dxa"/>
            <w:shd w:val="clear" w:color="auto" w:fill="156082" w:themeFill="accent1"/>
          </w:tcPr>
          <w:p w14:paraId="10B47332" w14:textId="228FCB5E" w:rsidR="003A4C40" w:rsidRDefault="003A4C40" w:rsidP="000B75DC">
            <w:pPr>
              <w:jc w:val="center"/>
              <w:rPr>
                <w:b/>
                <w:bCs/>
                <w:color w:val="FFFFFF" w:themeColor="background1"/>
                <w:sz w:val="20"/>
                <w:szCs w:val="20"/>
              </w:rPr>
            </w:pPr>
            <w:r>
              <w:rPr>
                <w:b/>
                <w:bCs/>
                <w:color w:val="FFFFFF" w:themeColor="background1"/>
                <w:sz w:val="20"/>
                <w:szCs w:val="20"/>
              </w:rPr>
              <w:t>UL</w:t>
            </w:r>
          </w:p>
          <w:p w14:paraId="66B5C2D9" w14:textId="017990DF" w:rsidR="003A4C40" w:rsidRDefault="003A4C40" w:rsidP="000B75DC">
            <w:pPr>
              <w:jc w:val="center"/>
              <w:rPr>
                <w:b/>
                <w:bCs/>
                <w:color w:val="FFFFFF" w:themeColor="background1"/>
                <w:sz w:val="20"/>
                <w:szCs w:val="20"/>
              </w:rPr>
            </w:pPr>
            <w:r>
              <w:rPr>
                <w:b/>
                <w:bCs/>
                <w:color w:val="FFFFFF" w:themeColor="background1"/>
                <w:sz w:val="20"/>
                <w:szCs w:val="20"/>
              </w:rPr>
              <w:t>(weighted average)*</w:t>
            </w:r>
          </w:p>
          <w:p w14:paraId="34143CD0" w14:textId="6600F298" w:rsidR="003A4C40" w:rsidRPr="00D4008F" w:rsidRDefault="003A4C40" w:rsidP="000B75DC">
            <w:pPr>
              <w:jc w:val="center"/>
              <w:rPr>
                <w:b/>
                <w:bCs/>
                <w:color w:val="FFFFFF" w:themeColor="background1"/>
                <w:sz w:val="20"/>
                <w:szCs w:val="20"/>
              </w:rPr>
            </w:pPr>
            <w:r w:rsidRPr="00D4008F">
              <w:rPr>
                <w:i/>
                <w:iCs/>
                <w:color w:val="FFFFFF" w:themeColor="background1"/>
                <w:sz w:val="20"/>
                <w:szCs w:val="20"/>
              </w:rPr>
              <w:t>(mg/day)</w:t>
            </w:r>
          </w:p>
        </w:tc>
      </w:tr>
      <w:tr w:rsidR="00C370FB" w:rsidRPr="00D4008F" w14:paraId="7A89B698" w14:textId="025DCF0B" w:rsidTr="003A4C40">
        <w:tc>
          <w:tcPr>
            <w:tcW w:w="1466" w:type="dxa"/>
          </w:tcPr>
          <w:p w14:paraId="62AA627E" w14:textId="719D2A8D" w:rsidR="00C370FB" w:rsidRPr="00D4008F" w:rsidRDefault="00C370FB" w:rsidP="003C585A">
            <w:pPr>
              <w:rPr>
                <w:sz w:val="20"/>
                <w:szCs w:val="20"/>
              </w:rPr>
            </w:pPr>
            <w:r w:rsidRPr="00D4008F">
              <w:rPr>
                <w:sz w:val="20"/>
                <w:szCs w:val="20"/>
              </w:rPr>
              <w:t>2 – 4 years</w:t>
            </w:r>
          </w:p>
        </w:tc>
        <w:tc>
          <w:tcPr>
            <w:tcW w:w="1520" w:type="dxa"/>
          </w:tcPr>
          <w:p w14:paraId="3D916400" w14:textId="108B942D" w:rsidR="00C370FB" w:rsidRPr="00D4008F" w:rsidRDefault="00C370FB" w:rsidP="000B75DC">
            <w:pPr>
              <w:jc w:val="center"/>
              <w:rPr>
                <w:sz w:val="20"/>
                <w:szCs w:val="20"/>
              </w:rPr>
            </w:pPr>
            <w:r w:rsidRPr="00D4008F">
              <w:rPr>
                <w:sz w:val="20"/>
                <w:szCs w:val="20"/>
              </w:rPr>
              <w:t>1,521</w:t>
            </w:r>
          </w:p>
        </w:tc>
        <w:tc>
          <w:tcPr>
            <w:tcW w:w="1520" w:type="dxa"/>
          </w:tcPr>
          <w:p w14:paraId="0DB620E1" w14:textId="6B6A16CB" w:rsidR="00C370FB" w:rsidRPr="00D4008F" w:rsidRDefault="00C370FB" w:rsidP="000B75DC">
            <w:pPr>
              <w:jc w:val="center"/>
              <w:rPr>
                <w:sz w:val="20"/>
                <w:szCs w:val="20"/>
              </w:rPr>
            </w:pPr>
            <w:r w:rsidRPr="00D4008F">
              <w:rPr>
                <w:sz w:val="20"/>
                <w:szCs w:val="20"/>
              </w:rPr>
              <w:t>1,605</w:t>
            </w:r>
          </w:p>
        </w:tc>
        <w:tc>
          <w:tcPr>
            <w:tcW w:w="1585" w:type="dxa"/>
          </w:tcPr>
          <w:p w14:paraId="1F181927" w14:textId="1EEA257A" w:rsidR="00C370FB" w:rsidRPr="00D4008F" w:rsidRDefault="00C370FB" w:rsidP="000B75DC">
            <w:pPr>
              <w:jc w:val="center"/>
              <w:rPr>
                <w:sz w:val="20"/>
                <w:szCs w:val="20"/>
              </w:rPr>
            </w:pPr>
            <w:r w:rsidRPr="00D4008F">
              <w:rPr>
                <w:sz w:val="20"/>
                <w:szCs w:val="20"/>
              </w:rPr>
              <w:t>1,431</w:t>
            </w:r>
          </w:p>
        </w:tc>
        <w:tc>
          <w:tcPr>
            <w:tcW w:w="2126" w:type="dxa"/>
          </w:tcPr>
          <w:p w14:paraId="63DC86ED" w14:textId="0CC063AF" w:rsidR="00C370FB" w:rsidRPr="00D4008F" w:rsidRDefault="00DF29A5" w:rsidP="000B75DC">
            <w:pPr>
              <w:jc w:val="center"/>
              <w:rPr>
                <w:sz w:val="20"/>
                <w:szCs w:val="20"/>
              </w:rPr>
            </w:pPr>
            <w:r>
              <w:rPr>
                <w:sz w:val="20"/>
                <w:szCs w:val="20"/>
              </w:rPr>
              <w:t>1,200</w:t>
            </w:r>
          </w:p>
        </w:tc>
      </w:tr>
      <w:tr w:rsidR="00C370FB" w:rsidRPr="00D4008F" w14:paraId="4379ED35" w14:textId="1A58CB42" w:rsidTr="003A4C40">
        <w:tc>
          <w:tcPr>
            <w:tcW w:w="1466" w:type="dxa"/>
          </w:tcPr>
          <w:p w14:paraId="28660B21" w14:textId="4DB381F1" w:rsidR="00C370FB" w:rsidRPr="00D4008F" w:rsidRDefault="00C370FB" w:rsidP="003C585A">
            <w:pPr>
              <w:rPr>
                <w:sz w:val="20"/>
                <w:szCs w:val="20"/>
              </w:rPr>
            </w:pPr>
            <w:r w:rsidRPr="00D4008F">
              <w:rPr>
                <w:sz w:val="20"/>
                <w:szCs w:val="20"/>
              </w:rPr>
              <w:t>5 – 11 years</w:t>
            </w:r>
          </w:p>
        </w:tc>
        <w:tc>
          <w:tcPr>
            <w:tcW w:w="1520" w:type="dxa"/>
          </w:tcPr>
          <w:p w14:paraId="6DC5B180" w14:textId="5FA81CFB" w:rsidR="00C370FB" w:rsidRPr="00D4008F" w:rsidRDefault="00C370FB" w:rsidP="000B75DC">
            <w:pPr>
              <w:jc w:val="center"/>
              <w:rPr>
                <w:sz w:val="20"/>
                <w:szCs w:val="20"/>
              </w:rPr>
            </w:pPr>
            <w:r w:rsidRPr="00D4008F">
              <w:rPr>
                <w:sz w:val="20"/>
                <w:szCs w:val="20"/>
              </w:rPr>
              <w:t>2,188</w:t>
            </w:r>
          </w:p>
        </w:tc>
        <w:tc>
          <w:tcPr>
            <w:tcW w:w="1520" w:type="dxa"/>
          </w:tcPr>
          <w:p w14:paraId="54376466" w14:textId="3FD1809A" w:rsidR="00C370FB" w:rsidRPr="00D4008F" w:rsidRDefault="00C370FB" w:rsidP="000B75DC">
            <w:pPr>
              <w:jc w:val="center"/>
              <w:rPr>
                <w:sz w:val="20"/>
                <w:szCs w:val="20"/>
              </w:rPr>
            </w:pPr>
            <w:r w:rsidRPr="00D4008F">
              <w:rPr>
                <w:sz w:val="20"/>
                <w:szCs w:val="20"/>
              </w:rPr>
              <w:t>2,312</w:t>
            </w:r>
          </w:p>
        </w:tc>
        <w:tc>
          <w:tcPr>
            <w:tcW w:w="1585" w:type="dxa"/>
          </w:tcPr>
          <w:p w14:paraId="6C138248" w14:textId="04A6BEE8" w:rsidR="00C370FB" w:rsidRPr="00D4008F" w:rsidRDefault="00C370FB" w:rsidP="000B75DC">
            <w:pPr>
              <w:jc w:val="center"/>
              <w:rPr>
                <w:sz w:val="20"/>
                <w:szCs w:val="20"/>
              </w:rPr>
            </w:pPr>
            <w:r w:rsidRPr="00D4008F">
              <w:rPr>
                <w:sz w:val="20"/>
                <w:szCs w:val="20"/>
              </w:rPr>
              <w:t>2,055</w:t>
            </w:r>
          </w:p>
        </w:tc>
        <w:tc>
          <w:tcPr>
            <w:tcW w:w="2126" w:type="dxa"/>
          </w:tcPr>
          <w:p w14:paraId="5B7A679C" w14:textId="4DA2A23D" w:rsidR="00C370FB" w:rsidRPr="00D4008F" w:rsidRDefault="00DF29A5" w:rsidP="000B75DC">
            <w:pPr>
              <w:jc w:val="center"/>
              <w:rPr>
                <w:sz w:val="20"/>
                <w:szCs w:val="20"/>
              </w:rPr>
            </w:pPr>
            <w:r>
              <w:rPr>
                <w:sz w:val="20"/>
                <w:szCs w:val="20"/>
              </w:rPr>
              <w:t>1,657</w:t>
            </w:r>
          </w:p>
        </w:tc>
      </w:tr>
      <w:tr w:rsidR="00C370FB" w:rsidRPr="00D4008F" w14:paraId="7077DF2A" w14:textId="57FB4A4D" w:rsidTr="003A4C40">
        <w:tc>
          <w:tcPr>
            <w:tcW w:w="1466" w:type="dxa"/>
          </w:tcPr>
          <w:p w14:paraId="63939EAD" w14:textId="08F4A20D" w:rsidR="00C370FB" w:rsidRPr="00D4008F" w:rsidRDefault="00C370FB" w:rsidP="003C585A">
            <w:pPr>
              <w:rPr>
                <w:sz w:val="20"/>
                <w:szCs w:val="20"/>
              </w:rPr>
            </w:pPr>
            <w:r w:rsidRPr="00D4008F">
              <w:rPr>
                <w:sz w:val="20"/>
                <w:szCs w:val="20"/>
              </w:rPr>
              <w:t>12 – 17 years</w:t>
            </w:r>
          </w:p>
        </w:tc>
        <w:tc>
          <w:tcPr>
            <w:tcW w:w="1520" w:type="dxa"/>
          </w:tcPr>
          <w:p w14:paraId="313B45DD" w14:textId="4190B849" w:rsidR="00C370FB" w:rsidRPr="00D4008F" w:rsidRDefault="00C370FB" w:rsidP="000B75DC">
            <w:pPr>
              <w:jc w:val="center"/>
              <w:rPr>
                <w:sz w:val="20"/>
                <w:szCs w:val="20"/>
              </w:rPr>
            </w:pPr>
            <w:r w:rsidRPr="00D4008F">
              <w:rPr>
                <w:sz w:val="20"/>
                <w:szCs w:val="20"/>
              </w:rPr>
              <w:t>2,903</w:t>
            </w:r>
          </w:p>
        </w:tc>
        <w:tc>
          <w:tcPr>
            <w:tcW w:w="1520" w:type="dxa"/>
          </w:tcPr>
          <w:p w14:paraId="49F40228" w14:textId="20973F2F" w:rsidR="00C370FB" w:rsidRPr="00D4008F" w:rsidRDefault="00C370FB" w:rsidP="000B75DC">
            <w:pPr>
              <w:jc w:val="center"/>
              <w:rPr>
                <w:sz w:val="20"/>
                <w:szCs w:val="20"/>
              </w:rPr>
            </w:pPr>
            <w:r w:rsidRPr="00D4008F">
              <w:rPr>
                <w:sz w:val="20"/>
                <w:szCs w:val="20"/>
              </w:rPr>
              <w:t>3,365</w:t>
            </w:r>
          </w:p>
        </w:tc>
        <w:tc>
          <w:tcPr>
            <w:tcW w:w="1585" w:type="dxa"/>
          </w:tcPr>
          <w:p w14:paraId="31038E53" w14:textId="6AFC509C" w:rsidR="00C370FB" w:rsidRPr="00D4008F" w:rsidRDefault="00C370FB" w:rsidP="000B75DC">
            <w:pPr>
              <w:jc w:val="center"/>
              <w:rPr>
                <w:sz w:val="20"/>
                <w:szCs w:val="20"/>
              </w:rPr>
            </w:pPr>
            <w:r w:rsidRPr="00D4008F">
              <w:rPr>
                <w:sz w:val="20"/>
                <w:szCs w:val="20"/>
              </w:rPr>
              <w:t>2,419</w:t>
            </w:r>
          </w:p>
        </w:tc>
        <w:tc>
          <w:tcPr>
            <w:tcW w:w="2126" w:type="dxa"/>
          </w:tcPr>
          <w:p w14:paraId="5E5E4DE7" w14:textId="4186C649" w:rsidR="00C370FB" w:rsidRPr="00D4008F" w:rsidRDefault="00DF29A5" w:rsidP="000B75DC">
            <w:pPr>
              <w:jc w:val="center"/>
              <w:rPr>
                <w:sz w:val="20"/>
                <w:szCs w:val="20"/>
              </w:rPr>
            </w:pPr>
            <w:r>
              <w:rPr>
                <w:sz w:val="20"/>
                <w:szCs w:val="20"/>
              </w:rPr>
              <w:t>2,200</w:t>
            </w:r>
          </w:p>
        </w:tc>
      </w:tr>
    </w:tbl>
    <w:p w14:paraId="0BD04E91" w14:textId="43C4B32D" w:rsidR="00DF29A5" w:rsidRPr="00550605" w:rsidRDefault="006F5FE2" w:rsidP="0007275C">
      <w:pPr>
        <w:rPr>
          <w:sz w:val="18"/>
          <w:szCs w:val="18"/>
        </w:rPr>
      </w:pPr>
      <w:r w:rsidRPr="00550605">
        <w:rPr>
          <w:sz w:val="18"/>
          <w:szCs w:val="18"/>
        </w:rPr>
        <w:t xml:space="preserve">*Data on the proportion of children exceeding the UL was not reported in the NNPAS. </w:t>
      </w:r>
      <w:r w:rsidR="00550605">
        <w:rPr>
          <w:sz w:val="18"/>
          <w:szCs w:val="18"/>
        </w:rPr>
        <w:t>T</w:t>
      </w:r>
      <w:r w:rsidRPr="00550605">
        <w:rPr>
          <w:sz w:val="18"/>
          <w:szCs w:val="18"/>
        </w:rPr>
        <w:t xml:space="preserve">he </w:t>
      </w:r>
      <w:r w:rsidR="00550605">
        <w:rPr>
          <w:sz w:val="18"/>
          <w:szCs w:val="18"/>
        </w:rPr>
        <w:t xml:space="preserve">current (2006) UL is </w:t>
      </w:r>
      <w:r w:rsidRPr="00550605">
        <w:rPr>
          <w:sz w:val="18"/>
          <w:szCs w:val="18"/>
        </w:rPr>
        <w:t xml:space="preserve">presented </w:t>
      </w:r>
      <w:r w:rsidR="00550605" w:rsidRPr="00550605">
        <w:rPr>
          <w:sz w:val="18"/>
          <w:szCs w:val="18"/>
        </w:rPr>
        <w:t>here for comparison purposes</w:t>
      </w:r>
      <w:r w:rsidR="00550605">
        <w:rPr>
          <w:sz w:val="18"/>
          <w:szCs w:val="18"/>
        </w:rPr>
        <w:t>; values have been derived for the age groups specified by applying a weighted average</w:t>
      </w:r>
      <w:r w:rsidR="00550605" w:rsidRPr="00550605">
        <w:rPr>
          <w:sz w:val="18"/>
          <w:szCs w:val="18"/>
        </w:rPr>
        <w:t xml:space="preserve">. Source: </w:t>
      </w:r>
      <w:r w:rsidR="00550605" w:rsidRPr="00550605">
        <w:rPr>
          <w:sz w:val="18"/>
          <w:szCs w:val="18"/>
        </w:rPr>
        <w:fldChar w:fldCharType="begin"/>
      </w:r>
      <w:r w:rsidR="00550605" w:rsidRPr="00550605">
        <w:rPr>
          <w:sz w:val="18"/>
          <w:szCs w:val="18"/>
        </w:rPr>
        <w:instrText xml:space="preserve"> ADDIN EN.CITE &lt;EndNote&gt;&lt;Cite ExcludeAuth="1"&gt;&lt;Author&gt;National Health and Medical Research Council&lt;/Author&gt;&lt;Year&gt;2006&lt;/Year&gt;&lt;RecNum&gt;4629&lt;/RecNum&gt;&lt;Prefix&gt;NHMRC`, &lt;/Prefix&gt;&lt;DisplayText&gt;(NHMRC, 2006b)&lt;/DisplayText&gt;&lt;record&gt;&lt;rec-number&gt;4629&lt;/rec-number&gt;&lt;foreign-keys&gt;&lt;key app="EN" db-id="wwsdv2wwp29fenerv0kx5tw9zxtx2fdrprx2" timestamp="1774923627"&gt;4629&lt;/key&gt;&lt;/foreign-keys&gt;&lt;ref-type name="Government Document"&gt;46&lt;/ref-type&gt;&lt;contributors&gt;&lt;authors&gt;&lt;author&gt;National Health and Medical Research Council, NHMRC&lt;/author&gt;&lt;/authors&gt;&lt;secondary-authors&gt;&lt;author&gt;Australian Government Department of Health and Ageing&lt;/author&gt;&lt;/secondary-authors&gt;&lt;/contributors&gt;&lt;titles&gt;&lt;title&gt;Nutrient Reference Values for Australia and New Zealand&lt;/title&gt;&lt;/titles&gt;&lt;dates&gt;&lt;year&gt;2006&lt;/year&gt;&lt;/dates&gt;&lt;pub-location&gt;Canberra&lt;/pub-location&gt;&lt;publisher&gt;NHMRC&lt;/publisher&gt;&lt;urls&gt;&lt;related-urls&gt;&lt;url&gt;https://www.nhmrc.gov.au/about-us/publications/nutrient-reference-values-australia-and-new-zealand-including-recommended-dietary-intakes&lt;/url&gt;&lt;/related-urls&gt;&lt;/urls&gt;&lt;/record&gt;&lt;/Cite&gt;&lt;/EndNote&gt;</w:instrText>
      </w:r>
      <w:r w:rsidR="00550605" w:rsidRPr="00550605">
        <w:rPr>
          <w:sz w:val="18"/>
          <w:szCs w:val="18"/>
        </w:rPr>
        <w:fldChar w:fldCharType="separate"/>
      </w:r>
      <w:r w:rsidR="00550605" w:rsidRPr="00550605">
        <w:rPr>
          <w:noProof/>
          <w:sz w:val="18"/>
          <w:szCs w:val="18"/>
        </w:rPr>
        <w:t>(NHMRC, 2006b)</w:t>
      </w:r>
      <w:r w:rsidR="00550605" w:rsidRPr="00550605">
        <w:rPr>
          <w:sz w:val="18"/>
          <w:szCs w:val="18"/>
        </w:rPr>
        <w:fldChar w:fldCharType="end"/>
      </w:r>
    </w:p>
    <w:p w14:paraId="5A407A97" w14:textId="2EA9B2A8" w:rsidR="001129B4" w:rsidRDefault="00676AAA" w:rsidP="005D41BE">
      <w:pPr>
        <w:spacing w:line="276" w:lineRule="auto"/>
      </w:pPr>
      <w:r>
        <w:t xml:space="preserve">Among the studies that report </w:t>
      </w:r>
      <w:r w:rsidR="00AB4339">
        <w:t xml:space="preserve">24-hour urinary sodium </w:t>
      </w:r>
      <w:r w:rsidR="00254FD5">
        <w:t>measures</w:t>
      </w:r>
      <w:r>
        <w:t>, o</w:t>
      </w:r>
      <w:r w:rsidR="00CB5E28">
        <w:t xml:space="preserve">ne </w:t>
      </w:r>
      <w:r w:rsidR="00B55AB1">
        <w:t>c</w:t>
      </w:r>
      <w:r w:rsidR="00CA47E2">
        <w:t xml:space="preserve">ross-sectional </w:t>
      </w:r>
      <w:r w:rsidR="00AD7092">
        <w:t xml:space="preserve">study in </w:t>
      </w:r>
      <w:r w:rsidR="00B55AB1">
        <w:t xml:space="preserve">666 Victorian children </w:t>
      </w:r>
      <w:r w:rsidR="00AD7092">
        <w:t xml:space="preserve">aged 4 to 12 years </w:t>
      </w:r>
      <w:r w:rsidR="00B55AB1">
        <w:t xml:space="preserve">sampled in 2010-2013 </w:t>
      </w:r>
      <w:r w:rsidR="005F2CFD">
        <w:t>reported a mean</w:t>
      </w:r>
      <w:r w:rsidR="00906FEE">
        <w:t xml:space="preserve"> (SD) urinary</w:t>
      </w:r>
      <w:r w:rsidR="005F2CFD">
        <w:t xml:space="preserve"> sodium excretion of </w:t>
      </w:r>
      <w:r w:rsidR="00E03E85">
        <w:t>2,369 mg/day</w:t>
      </w:r>
      <w:r w:rsidR="00540BA0">
        <w:t xml:space="preserve"> </w:t>
      </w:r>
      <w:r w:rsidR="001254E4">
        <w:fldChar w:fldCharType="begin">
          <w:fldData xml:space="preserve">PEVuZE5vdGU+PENpdGU+PEF1dGhvcj5HcmltZXM8L0F1dGhvcj48WWVhcj4yMDE3PC9ZZWFyPjxS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</w:fldData>
        </w:fldChar>
      </w:r>
      <w:r w:rsidR="00F61D64">
        <w:instrText xml:space="preserve"> ADDIN EN.CITE </w:instrText>
      </w:r>
      <w:r w:rsidR="00F61D64">
        <w:fldChar w:fldCharType="begin">
          <w:fldData xml:space="preserve">PEVuZE5vdGU+PENpdGU+PEF1dGhvcj5HcmltZXM8L0F1dGhvcj48WWVhcj4yMDE3PC9ZZWFyPjxS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</w:fldData>
        </w:fldChar>
      </w:r>
      <w:r w:rsidR="00F61D64">
        <w:instrText xml:space="preserve"> ADDIN EN.CITE.DATA </w:instrText>
      </w:r>
      <w:r w:rsidR="00F61D64">
        <w:fldChar w:fldCharType="end"/>
      </w:r>
      <w:r w:rsidR="001254E4">
        <w:fldChar w:fldCharType="separate"/>
      </w:r>
      <w:r w:rsidR="00F61D64">
        <w:rPr>
          <w:noProof/>
        </w:rPr>
        <w:t>(Grimes, Riddell, et al., 2017)</w:t>
      </w:r>
      <w:r w:rsidR="001254E4">
        <w:fldChar w:fldCharType="end"/>
      </w:r>
      <w:r w:rsidR="00E03E85">
        <w:t xml:space="preserve">. </w:t>
      </w:r>
      <w:r w:rsidR="0017456E">
        <w:t>Statistically significantly h</w:t>
      </w:r>
      <w:r w:rsidR="00AF7037">
        <w:t xml:space="preserve">igher urinary sodium values were reported for boys (2,507 mg/day) </w:t>
      </w:r>
      <w:r w:rsidR="00B723BD">
        <w:t>compared with girls (2,231</w:t>
      </w:r>
      <w:r w:rsidR="0017456E">
        <w:t> </w:t>
      </w:r>
      <w:r w:rsidR="00B723BD">
        <w:t xml:space="preserve">mg/day) </w:t>
      </w:r>
      <w:r w:rsidR="00AF7037">
        <w:t xml:space="preserve">and </w:t>
      </w:r>
      <w:r w:rsidR="00B723BD">
        <w:t xml:space="preserve">for older </w:t>
      </w:r>
      <w:r w:rsidR="00614901">
        <w:t>(9</w:t>
      </w:r>
      <w:r w:rsidR="00227F33">
        <w:t>-</w:t>
      </w:r>
      <w:r w:rsidR="00614901">
        <w:t>12 years)</w:t>
      </w:r>
      <w:r w:rsidR="00B723BD">
        <w:t xml:space="preserve"> compared with younger </w:t>
      </w:r>
      <w:r w:rsidR="00614901">
        <w:t>(</w:t>
      </w:r>
      <w:r w:rsidR="00227F33">
        <w:t xml:space="preserve">4-8 years) </w:t>
      </w:r>
      <w:r w:rsidR="00762355">
        <w:t xml:space="preserve">children </w:t>
      </w:r>
      <w:r w:rsidR="00B723BD">
        <w:t>(</w:t>
      </w:r>
      <w:r w:rsidR="00EC5374">
        <w:t xml:space="preserve">2,599 </w:t>
      </w:r>
      <w:r w:rsidR="00EC5374">
        <w:lastRenderedPageBreak/>
        <w:t>mg/day vs 2,070 mg/day).</w:t>
      </w:r>
      <w:r w:rsidR="0017456E">
        <w:t xml:space="preserve"> </w:t>
      </w:r>
      <w:r w:rsidR="00BD2B71">
        <w:t xml:space="preserve">A follow-up cross-sectional study conducted by the same research group in </w:t>
      </w:r>
      <w:r w:rsidR="00A124A5">
        <w:t>2018</w:t>
      </w:r>
      <w:r w:rsidR="00C15BB8">
        <w:t>-19</w:t>
      </w:r>
      <w:r w:rsidR="00A124A5">
        <w:t xml:space="preserve"> among </w:t>
      </w:r>
      <w:r w:rsidR="00BD2B71">
        <w:t>1</w:t>
      </w:r>
      <w:r w:rsidR="009D282B">
        <w:t xml:space="preserve">61 children </w:t>
      </w:r>
      <w:r w:rsidR="003A6C67">
        <w:t xml:space="preserve">aged 4 to 12 years </w:t>
      </w:r>
      <w:r w:rsidR="009006A6">
        <w:t xml:space="preserve">reported </w:t>
      </w:r>
      <w:r w:rsidR="00A124A5">
        <w:t>similar results</w:t>
      </w:r>
      <w:r w:rsidR="00C15BB8">
        <w:t xml:space="preserve"> </w:t>
      </w:r>
      <w:r w:rsidR="009C2DEC">
        <w:fldChar w:fldCharType="begin">
          <w:fldData xml:space="preserve">PEVuZE5vdGU+PENpdGU+PEF1dGhvcj5HcmltZXM8L0F1dGhvcj48WWVhcj4yMDIzPC9ZZWFyPjxS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</w:fldData>
        </w:fldChar>
      </w:r>
      <w:r w:rsidR="009C2DEC">
        <w:instrText xml:space="preserve"> ADDIN EN.CITE </w:instrText>
      </w:r>
      <w:r w:rsidR="009C2DEC">
        <w:fldChar w:fldCharType="begin">
          <w:fldData xml:space="preserve">PEVuZE5vdGU+PENpdGU+PEF1dGhvcj5HcmltZXM8L0F1dGhvcj48WWVhcj4yMDIzPC9ZZWFyPjxS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</w:fldData>
        </w:fldChar>
      </w:r>
      <w:r w:rsidR="009C2DEC">
        <w:instrText xml:space="preserve"> ADDIN EN.CITE.DATA </w:instrText>
      </w:r>
      <w:r w:rsidR="009C2DEC">
        <w:fldChar w:fldCharType="end"/>
      </w:r>
      <w:r w:rsidR="009C2DEC">
        <w:fldChar w:fldCharType="separate"/>
      </w:r>
      <w:r w:rsidR="009C2DEC">
        <w:rPr>
          <w:noProof/>
        </w:rPr>
        <w:t>(Grimes et al., 2023)</w:t>
      </w:r>
      <w:r w:rsidR="009C2DEC">
        <w:fldChar w:fldCharType="end"/>
      </w:r>
      <w:r w:rsidR="00EC4E71">
        <w:t>. M</w:t>
      </w:r>
      <w:r w:rsidR="009006A6">
        <w:t xml:space="preserve">ean </w:t>
      </w:r>
      <w:r w:rsidR="0038419C">
        <w:t xml:space="preserve">sodium </w:t>
      </w:r>
      <w:r w:rsidR="009006A6">
        <w:t>intake</w:t>
      </w:r>
      <w:r w:rsidR="00EB2C94">
        <w:t xml:space="preserve"> </w:t>
      </w:r>
      <w:r w:rsidR="0038419C">
        <w:t xml:space="preserve">was </w:t>
      </w:r>
      <w:r w:rsidR="007167B7">
        <w:t xml:space="preserve">2,440 </w:t>
      </w:r>
      <w:r w:rsidR="009006A6">
        <w:t>mg/day of sodium</w:t>
      </w:r>
      <w:r w:rsidR="0038419C">
        <w:t>, with higher intakes recorded for boys (</w:t>
      </w:r>
      <w:r w:rsidR="00191D1B">
        <w:t>2,719</w:t>
      </w:r>
      <w:r w:rsidR="00CB1C65">
        <w:t> </w:t>
      </w:r>
      <w:r w:rsidR="00191D1B">
        <w:t>mg/day</w:t>
      </w:r>
      <w:r w:rsidR="0038419C">
        <w:t>) compared with girls (</w:t>
      </w:r>
      <w:r w:rsidR="00CB1C65">
        <w:t>2,200 mg/day</w:t>
      </w:r>
      <w:r w:rsidR="0038419C">
        <w:t xml:space="preserve">). For </w:t>
      </w:r>
      <w:r w:rsidR="00D91E2B">
        <w:t>children aged 4-8 years</w:t>
      </w:r>
      <w:r w:rsidR="007B72A0">
        <w:t xml:space="preserve"> mean intake was</w:t>
      </w:r>
      <w:r w:rsidR="00D91E2B">
        <w:t xml:space="preserve"> </w:t>
      </w:r>
      <w:r w:rsidR="00300534">
        <w:t>2,040</w:t>
      </w:r>
      <w:r w:rsidR="00D91E2B">
        <w:t xml:space="preserve"> mg/day</w:t>
      </w:r>
      <w:r w:rsidR="007B72A0">
        <w:t xml:space="preserve"> compared with </w:t>
      </w:r>
      <w:r w:rsidR="007904E6">
        <w:t xml:space="preserve">2,639 </w:t>
      </w:r>
      <w:r w:rsidR="00D91E2B">
        <w:t xml:space="preserve">mg/day </w:t>
      </w:r>
      <w:r w:rsidR="00C8664E">
        <w:t>for 9 – 12 year olds</w:t>
      </w:r>
      <w:r w:rsidR="007904E6">
        <w:t xml:space="preserve">. </w:t>
      </w:r>
      <w:r w:rsidR="00F70D1D">
        <w:t xml:space="preserve">Across both time points, around 70% of children exceeded the UL recommendation. </w:t>
      </w:r>
    </w:p>
    <w:p w14:paraId="0BD98F5C" w14:textId="66538C11" w:rsidR="002E0910" w:rsidRDefault="000976F6" w:rsidP="005D41BE">
      <w:pPr>
        <w:spacing w:line="276" w:lineRule="auto"/>
      </w:pPr>
      <w:r>
        <w:t xml:space="preserve">These intakes are higher than </w:t>
      </w:r>
      <w:r w:rsidR="00150403">
        <w:t xml:space="preserve">those </w:t>
      </w:r>
      <w:r>
        <w:t>reported by the NNPAS for comparable aged children</w:t>
      </w:r>
      <w:r w:rsidR="00676AAA">
        <w:t>, although they were not</w:t>
      </w:r>
      <w:r>
        <w:t xml:space="preserve"> </w:t>
      </w:r>
      <w:r w:rsidR="00F600C0">
        <w:t xml:space="preserve">contemporaneously </w:t>
      </w:r>
      <w:r>
        <w:t>sampled</w:t>
      </w:r>
      <w:r w:rsidR="00676AAA">
        <w:t xml:space="preserve">. </w:t>
      </w:r>
      <w:r w:rsidR="00F600C0">
        <w:t>Nevertheless</w:t>
      </w:r>
      <w:r w:rsidR="00F621FE">
        <w:t xml:space="preserve">, </w:t>
      </w:r>
      <w:r w:rsidR="00F70D1D">
        <w:t xml:space="preserve">the ABS reports that </w:t>
      </w:r>
      <w:r w:rsidR="00EF50F8">
        <w:t>intake</w:t>
      </w:r>
      <w:r w:rsidR="002D7726">
        <w:t>s</w:t>
      </w:r>
      <w:r w:rsidR="00EF50F8">
        <w:t xml:space="preserve"> for 5 to 11 year olds in 2023 w</w:t>
      </w:r>
      <w:r w:rsidR="002D7726">
        <w:t>ere</w:t>
      </w:r>
      <w:r w:rsidR="00EF50F8">
        <w:t xml:space="preserve"> similar to </w:t>
      </w:r>
      <w:r w:rsidR="002E0910">
        <w:t xml:space="preserve">2011-12 </w:t>
      </w:r>
      <w:r w:rsidR="002D7726">
        <w:t>values</w:t>
      </w:r>
      <w:r w:rsidR="00150403">
        <w:t xml:space="preserve"> </w:t>
      </w:r>
      <w:r w:rsidR="00150403">
        <w:fldChar w:fldCharType="begin"/>
      </w:r>
      <w:r w:rsidR="00150403">
        <w:instrText xml:space="preserve"> ADDIN EN.CITE &lt;EndNote&gt;&lt;Cite ExcludeAuth="1"&gt;&lt;Author&gt;Australian Bureau of Statistics&lt;/Author&gt;&lt;Year&gt;2023&lt;/Year&gt;&lt;RecNum&gt;4625&lt;/RecNum&gt;&lt;Prefix&gt;ABS`, &lt;/Prefix&gt;&lt;DisplayText&gt;(ABS, 2023b)&lt;/DisplayText&gt;&lt;record&gt;&lt;rec-number&gt;4625&lt;/rec-number&gt;&lt;foreign-keys&gt;&lt;key app="EN" db-id="wwsdv2wwp29fenerv0kx5tw9zxtx2fdrprx2" timestamp="1774922973"&gt;4625&lt;/key&gt;&lt;/foreign-keys&gt;&lt;ref-type name="Dataset"&gt;59&lt;/ref-type&gt;&lt;contributors&gt;&lt;authors&gt;&lt;author&gt;Australian Bureau of Statistics,&lt;/author&gt;&lt;/authors&gt;&lt;secondary-authors&gt;&lt;author&gt;Australian Bureau of Statistics,&lt;/author&gt;&lt;/secondary-authors&gt;&lt;/contributors&gt;&lt;titles&gt;&lt;title&gt; National Nutrition and Physical Activity Survey: Food and nutrients&lt;/title&gt;&lt;/titles&gt;&lt;section&gt;05/09/2025&lt;/section&gt;&lt;dates&gt;&lt;year&gt;2023&lt;/year&gt;&lt;/dates&gt;&lt;urls&gt;&lt;related-urls&gt;&lt;url&gt;https://www.abs.gov.au/statistics/health/food-and-nutrition/food-and-nutrients/2023&lt;/url&gt;&lt;/related-urls&gt;&lt;/urls&gt;&lt;access-date&gt;31/03/2026&lt;/access-date&gt;&lt;/record&gt;&lt;/Cite&gt;&lt;/EndNote&gt;</w:instrText>
      </w:r>
      <w:r w:rsidR="00150403">
        <w:fldChar w:fldCharType="separate"/>
      </w:r>
      <w:r w:rsidR="00150403">
        <w:rPr>
          <w:noProof/>
        </w:rPr>
        <w:t>(ABS, 2023b)</w:t>
      </w:r>
      <w:r w:rsidR="00150403">
        <w:fldChar w:fldCharType="end"/>
      </w:r>
      <w:r w:rsidR="002D7726">
        <w:t xml:space="preserve">. Assuming comparability on this basis, </w:t>
      </w:r>
      <w:r w:rsidR="006054F4">
        <w:t xml:space="preserve">data </w:t>
      </w:r>
      <w:r w:rsidR="00F600C0">
        <w:t xml:space="preserve">from studies reporting 24-hour urinary sodium measures suggest </w:t>
      </w:r>
      <w:r w:rsidR="006054F4">
        <w:t xml:space="preserve">that intakes </w:t>
      </w:r>
      <w:r w:rsidR="00F13F9C">
        <w:t xml:space="preserve">among </w:t>
      </w:r>
      <w:r w:rsidR="006054F4">
        <w:t xml:space="preserve">Australian children </w:t>
      </w:r>
      <w:r w:rsidR="00F13F9C">
        <w:t xml:space="preserve">may exceed the levels </w:t>
      </w:r>
      <w:r w:rsidR="00BD2B71">
        <w:t>reported in the NNPAS.</w:t>
      </w:r>
    </w:p>
    <w:p w14:paraId="391FDADE" w14:textId="034B082C" w:rsidR="00E8342D" w:rsidRDefault="00775E85" w:rsidP="00392BA5">
      <w:pPr>
        <w:pStyle w:val="Heading4"/>
      </w:pPr>
      <w:r>
        <w:t>Aboriginal and Torres Strait Islander populations</w:t>
      </w:r>
    </w:p>
    <w:p w14:paraId="5241BEF2" w14:textId="1BD95FED" w:rsidR="00CC6018" w:rsidRPr="00B003C2" w:rsidRDefault="00401D1B" w:rsidP="005D41BE">
      <w:pPr>
        <w:spacing w:line="276" w:lineRule="auto"/>
      </w:pPr>
      <w:r>
        <w:t>Data from t</w:t>
      </w:r>
      <w:r w:rsidRPr="00D75A15">
        <w:t xml:space="preserve">he </w:t>
      </w:r>
      <w:r>
        <w:t xml:space="preserve">NATSINPAS are presented in </w:t>
      </w:r>
      <w:r>
        <w:fldChar w:fldCharType="begin"/>
      </w:r>
      <w:r>
        <w:instrText xml:space="preserve"> REF _Ref228867132 \h </w:instrText>
      </w:r>
      <w:r>
        <w:fldChar w:fldCharType="separate"/>
      </w:r>
      <w:r w:rsidR="000C2E8C">
        <w:t xml:space="preserve">Table </w:t>
      </w:r>
      <w:r w:rsidR="000C2E8C">
        <w:rPr>
          <w:noProof/>
        </w:rPr>
        <w:t>6</w:t>
      </w:r>
      <w:r>
        <w:fldChar w:fldCharType="end"/>
      </w:r>
      <w:r>
        <w:t xml:space="preserve">. </w:t>
      </w:r>
      <w:r w:rsidR="00CC6018">
        <w:t xml:space="preserve">Average intakes </w:t>
      </w:r>
      <w:r w:rsidR="00CC6018" w:rsidRPr="00B003C2">
        <w:t xml:space="preserve">for people aged 2 years and over </w:t>
      </w:r>
      <w:r w:rsidR="00D75A7D">
        <w:t>have remained similar over time (</w:t>
      </w:r>
      <w:r w:rsidR="00CC6018" w:rsidRPr="00B003C2">
        <w:t>2,382 mg in 2012–13 and 2,486 mg in 2023)</w:t>
      </w:r>
      <w:r w:rsidR="00D75A7D">
        <w:fldChar w:fldCharType="begin"/>
      </w:r>
      <w:r w:rsidR="00D75A7D">
        <w:instrText xml:space="preserve"> ADDIN EN.CITE &lt;EndNote&gt;&lt;Cite&gt;&lt;Author&gt;Australian Bureau of Statistics&lt;/Author&gt;&lt;Year&gt;2023&lt;/Year&gt;&lt;RecNum&gt;4715&lt;/RecNum&gt;&lt;DisplayText&gt;(Australian Bureau of Statistics, 2023a)&lt;/DisplayText&gt;&lt;record&gt;&lt;rec-number&gt;4715&lt;/rec-number&gt;&lt;foreign-keys&gt;&lt;key app="EN" db-id="wwsdv2wwp29fenerv0kx5tw9zxtx2fdrprx2" timestamp="1777938266"&gt;4715&lt;/key&gt;&lt;/foreign-keys&gt;&lt;ref-type name="Dataset"&gt;59&lt;/ref-type&gt;&lt;contributors&gt;&lt;authors&gt;&lt;author&gt;Australian Bureau of Statistics,&lt;/author&gt;&lt;/authors&gt;&lt;secondary-authors&gt;&lt;author&gt;Australian Bureau of Statistics,&lt;/author&gt;&lt;/secondary-authors&gt;&lt;/contributors&gt;&lt;titles&gt;&lt;title&gt;National Aboriginal and Torres Strait Islander Nutrition and Physical Activity Survey: Food and Nutrients, 2023&lt;/title&gt;&lt;/titles&gt;&lt;section&gt;03/10/2025&lt;/section&gt;&lt;dates&gt;&lt;year&gt;2023&lt;/year&gt;&lt;pub-dates&gt;&lt;date&gt;2023&lt;/date&gt;&lt;/pub-dates&gt;&lt;/dates&gt;&lt;pub-location&gt;Canberra, ACT&lt;/pub-location&gt;&lt;urls&gt;&lt;related-urls&gt;&lt;url&gt;https://www.abs.gov.au/statistics/people/aboriginal-and-torres-strait-islander-peoples/national-aboriginal-and-torres-strait-islander-nutrition-and-physical-activity-survey/latest-release#about-the-survey&lt;/url&gt;&lt;/related-urls&gt;&lt;/urls&gt;&lt;/record&gt;&lt;/Cite&gt;&lt;/EndNote&gt;</w:instrText>
      </w:r>
      <w:r w:rsidR="00D75A7D">
        <w:fldChar w:fldCharType="separate"/>
      </w:r>
      <w:r w:rsidR="00D75A7D">
        <w:rPr>
          <w:noProof/>
        </w:rPr>
        <w:t>(Australian Bureau of Statistics, 2023a)</w:t>
      </w:r>
      <w:r w:rsidR="00D75A7D">
        <w:fldChar w:fldCharType="end"/>
      </w:r>
      <w:r w:rsidR="00CC6018" w:rsidRPr="00B003C2">
        <w:t>.</w:t>
      </w:r>
      <w:r w:rsidR="00CC6018">
        <w:t xml:space="preserve">  </w:t>
      </w:r>
    </w:p>
    <w:p w14:paraId="3CA0C42F" w14:textId="732DE035" w:rsidR="003B11C5" w:rsidRPr="00D75A15" w:rsidRDefault="00B01133" w:rsidP="005D41BE">
      <w:pPr>
        <w:spacing w:after="0" w:line="276" w:lineRule="auto"/>
      </w:pPr>
      <w:r>
        <w:t>Among Aboriginal and Torres Strait Islanders, h</w:t>
      </w:r>
      <w:r w:rsidR="00CB7991" w:rsidRPr="00D75A15">
        <w:t>igher mean daily sodium intakes were recorded for</w:t>
      </w:r>
      <w:r w:rsidR="003B11C5" w:rsidRPr="00D75A15">
        <w:t>:</w:t>
      </w:r>
    </w:p>
    <w:p w14:paraId="188D2915" w14:textId="77777777" w:rsidR="003B11C5" w:rsidRPr="00D75A15" w:rsidRDefault="00CB7991" w:rsidP="005411B7">
      <w:pPr>
        <w:pStyle w:val="ListParagraph"/>
        <w:numPr>
          <w:ilvl w:val="0"/>
          <w:numId w:val="8"/>
        </w:numPr>
        <w:spacing w:line="276" w:lineRule="auto"/>
      </w:pPr>
      <w:r w:rsidRPr="00D75A15">
        <w:t>males (2,764 mg/day) compared with females (2,213 mg/day)</w:t>
      </w:r>
    </w:p>
    <w:p w14:paraId="6AEE7F11" w14:textId="29C4DDDA" w:rsidR="00F14541" w:rsidRPr="00D75A15" w:rsidRDefault="00546173" w:rsidP="005411B7">
      <w:pPr>
        <w:pStyle w:val="ListParagraph"/>
        <w:numPr>
          <w:ilvl w:val="0"/>
          <w:numId w:val="8"/>
        </w:numPr>
        <w:spacing w:line="276" w:lineRule="auto"/>
      </w:pPr>
      <w:r w:rsidRPr="00D75A15">
        <w:t>those aged 18-29 years (2,752 mg/day) and 30-49 years (2,578 mg/day) than for older adult age groups</w:t>
      </w:r>
    </w:p>
    <w:p w14:paraId="40CE0F6D" w14:textId="7721D27F" w:rsidR="003B11C5" w:rsidRDefault="003B11C5" w:rsidP="005411B7">
      <w:pPr>
        <w:pStyle w:val="ListParagraph"/>
        <w:numPr>
          <w:ilvl w:val="0"/>
          <w:numId w:val="8"/>
        </w:numPr>
        <w:spacing w:line="276" w:lineRule="auto"/>
      </w:pPr>
      <w:r w:rsidRPr="00D75A15">
        <w:t>those residing in non-remote areas (2</w:t>
      </w:r>
      <w:r w:rsidR="00D75A15" w:rsidRPr="00D75A15">
        <w:t>,538 mg/day) compared with remote areas (2,190</w:t>
      </w:r>
      <w:r w:rsidR="00B01133">
        <w:t> </w:t>
      </w:r>
      <w:r w:rsidR="00D75A15" w:rsidRPr="00D75A15">
        <w:t>mg/day).</w:t>
      </w:r>
    </w:p>
    <w:p w14:paraId="774E3899" w14:textId="06CC3FFA" w:rsidR="00D75A7D" w:rsidRPr="00D75A15" w:rsidRDefault="006876FB" w:rsidP="005D41BE">
      <w:pPr>
        <w:spacing w:line="276" w:lineRule="auto"/>
      </w:pPr>
      <w:r>
        <w:t>Mean intakes exceeded the SDT for a</w:t>
      </w:r>
      <w:r w:rsidR="00B753EC">
        <w:t xml:space="preserve">ll </w:t>
      </w:r>
      <w:r w:rsidR="00202415">
        <w:t xml:space="preserve">adults aged under </w:t>
      </w:r>
      <w:r w:rsidR="004540F1">
        <w:t>65</w:t>
      </w:r>
      <w:r w:rsidR="00202415">
        <w:t xml:space="preserve"> years</w:t>
      </w:r>
      <w:r w:rsidR="0039301D">
        <w:t xml:space="preserve">, </w:t>
      </w:r>
      <w:r w:rsidR="00F11A40">
        <w:t xml:space="preserve">with </w:t>
      </w:r>
      <w:r w:rsidR="0039301D">
        <w:t xml:space="preserve">females </w:t>
      </w:r>
      <w:r w:rsidR="005B114D">
        <w:t>aged 50 years</w:t>
      </w:r>
      <w:r w:rsidR="009A44AF">
        <w:t xml:space="preserve"> and older </w:t>
      </w:r>
      <w:r w:rsidR="005B114D">
        <w:t xml:space="preserve">the only group with mean intakes lower than the SDT. </w:t>
      </w:r>
      <w:r w:rsidR="00D75A7D">
        <w:t xml:space="preserve">Intakes among Aboriginal and Torres Strait Islander people were greater than those of the general Australian population for all age groups, except 12 to 17 year olds and those aged over 50 years </w:t>
      </w:r>
      <w:r w:rsidR="00D75A7D">
        <w:fldChar w:fldCharType="begin"/>
      </w:r>
      <w:r w:rsidR="00D75A7D">
        <w:instrText xml:space="preserve"> ADDIN EN.CITE &lt;EndNote&gt;&lt;Cite ExcludeAuth="1"&gt;&lt;Author&gt;Australian Bureau of Statistics&lt;/Author&gt;&lt;Year&gt;2023&lt;/Year&gt;&lt;RecNum&gt;4715&lt;/RecNum&gt;&lt;Prefix&gt;ABS`, &lt;/Prefix&gt;&lt;DisplayText&gt;(ABS, 2023a, 2023b)&lt;/DisplayText&gt;&lt;record&gt;&lt;rec-number&gt;4715&lt;/rec-number&gt;&lt;foreign-keys&gt;&lt;key app="EN" db-id="wwsdv2wwp29fenerv0kx5tw9zxtx2fdrprx2" timestamp="1777938266"&gt;4715&lt;/key&gt;&lt;/foreign-keys&gt;&lt;ref-type name="Dataset"&gt;59&lt;/ref-type&gt;&lt;contributors&gt;&lt;authors&gt;&lt;author&gt;Australian Bureau of Statistics,&lt;/author&gt;&lt;/authors&gt;&lt;secondary-authors&gt;&lt;author&gt;Australian Bureau of Statistics,&lt;/author&gt;&lt;/secondary-authors&gt;&lt;/contributors&gt;&lt;titles&gt;&lt;title&gt;National Aboriginal and Torres Strait Islander Nutrition and Physical Activity Survey: Food and Nutrients, 2023&lt;/title&gt;&lt;/titles&gt;&lt;section&gt;03/10/2025&lt;/section&gt;&lt;dates&gt;&lt;year&gt;2023&lt;/year&gt;&lt;pub-dates&gt;&lt;date&gt;2023&lt;/date&gt;&lt;/pub-dates&gt;&lt;/dates&gt;&lt;pub-location&gt;Canberra, ACT&lt;/pub-location&gt;&lt;urls&gt;&lt;related-urls&gt;&lt;url&gt;https://www.abs.gov.au/statistics/people/aboriginal-and-torres-strait-islander-peoples/national-aboriginal-and-torres-strait-islander-nutrition-and-physical-activity-survey/latest-release#about-the-survey&lt;/url&gt;&lt;/related-urls&gt;&lt;/urls&gt;&lt;/record&gt;&lt;/Cite&gt;&lt;Cite&gt;&lt;Author&gt;Australian Bureau of Statistics&lt;/Author&gt;&lt;Year&gt;2023&lt;/Year&gt;&lt;RecNum&gt;4625&lt;/RecNum&gt;&lt;record&gt;&lt;rec-number&gt;4625&lt;/rec-number&gt;&lt;foreign-keys&gt;&lt;key app="EN" db-id="wwsdv2wwp29fenerv0kx5tw9zxtx2fdrprx2" timestamp="1774922973"&gt;4625&lt;/key&gt;&lt;/foreign-keys&gt;&lt;ref-type name="Dataset"&gt;59&lt;/ref-type&gt;&lt;contributors&gt;&lt;authors&gt;&lt;author&gt;Australian Bureau of Statistics,&lt;/author&gt;&lt;/authors&gt;&lt;secondary-authors&gt;&lt;author&gt;Australian Bureau of Statistics,&lt;/author&gt;&lt;/secondary-authors&gt;&lt;/contributors&gt;&lt;titles&gt;&lt;title&gt; National Nutrition and Physical Activity Survey: Food and nutrients&lt;/title&gt;&lt;/titles&gt;&lt;section&gt;05/09/2025&lt;/section&gt;&lt;dates&gt;&lt;year&gt;2023&lt;/year&gt;&lt;/dates&gt;&lt;urls&gt;&lt;related-urls&gt;&lt;url&gt;https://www.abs.gov.au/statistics/health/food-and-nutrition/food-and-nutrients/2023&lt;/url&gt;&lt;/related-urls&gt;&lt;/urls&gt;&lt;access-date&gt;31/03/2026&lt;/access-date&gt;&lt;/record&gt;&lt;/Cite&gt;&lt;/EndNote&gt;</w:instrText>
      </w:r>
      <w:r w:rsidR="00D75A7D">
        <w:fldChar w:fldCharType="separate"/>
      </w:r>
      <w:r w:rsidR="00D75A7D">
        <w:rPr>
          <w:noProof/>
        </w:rPr>
        <w:t>(ABS, 2023a, 2023b)</w:t>
      </w:r>
      <w:r w:rsidR="00D75A7D">
        <w:fldChar w:fldCharType="end"/>
      </w:r>
      <w:r w:rsidR="00D75A7D">
        <w:t>.</w:t>
      </w:r>
    </w:p>
    <w:p w14:paraId="56B55A57" w14:textId="1CD13FCB" w:rsidR="00F825A7" w:rsidRDefault="00F825A7" w:rsidP="00C11E34">
      <w:pPr>
        <w:pStyle w:val="Caption"/>
        <w:keepNext/>
        <w:keepLines/>
      </w:pPr>
      <w:bookmarkStart w:id="36" w:name="_Ref228867132"/>
      <w:r>
        <w:t xml:space="preserve">Table </w:t>
      </w:r>
      <w:r>
        <w:fldChar w:fldCharType="begin"/>
      </w:r>
      <w:r>
        <w:instrText>SEQ Table \* ARABIC</w:instrText>
      </w:r>
      <w:r>
        <w:fldChar w:fldCharType="separate"/>
      </w:r>
      <w:r w:rsidR="00B90577">
        <w:rPr>
          <w:noProof/>
        </w:rPr>
        <w:t>6</w:t>
      </w:r>
      <w:r>
        <w:fldChar w:fldCharType="end"/>
      </w:r>
      <w:bookmarkEnd w:id="36"/>
      <w:r>
        <w:t xml:space="preserve"> </w:t>
      </w:r>
      <w:r w:rsidR="00317B07">
        <w:t>–</w:t>
      </w:r>
      <w:r>
        <w:t xml:space="preserve"> </w:t>
      </w:r>
      <w:r w:rsidR="00317B07">
        <w:t>Aboriginal and Torres Strait Islander population i</w:t>
      </w:r>
      <w:r w:rsidRPr="004C33B7">
        <w:t>ntake</w:t>
      </w:r>
      <w:r w:rsidR="00317B07">
        <w:t>s</w:t>
      </w:r>
      <w:r w:rsidRPr="004C33B7">
        <w:t xml:space="preserve"> of sodium from food and beverages Australia. Source: 2023 </w:t>
      </w:r>
      <w:r w:rsidR="00317B07" w:rsidRPr="00D75A15">
        <w:t>NATSINPA</w:t>
      </w:r>
      <w:r w:rsidRPr="004C33B7">
        <w:t>S</w:t>
      </w:r>
      <w:r w:rsidR="00317B07">
        <w:t xml:space="preserve"> </w:t>
      </w:r>
      <w:r w:rsidR="00317B07">
        <w:fldChar w:fldCharType="begin"/>
      </w:r>
      <w:r w:rsidR="007B321D">
        <w:instrText xml:space="preserve"> ADDIN EN.CITE &lt;EndNote&gt;&lt;Cite ExcludeAuth="1"&gt;&lt;Author&gt;Australian Bureau of Statistics&lt;/Author&gt;&lt;Year&gt;2023&lt;/Year&gt;&lt;RecNum&gt;4715&lt;/RecNum&gt;&lt;Prefix&gt;ABS`, &lt;/Prefix&gt;&lt;DisplayText&gt;(ABS, 2023a)&lt;/DisplayText&gt;&lt;record&gt;&lt;rec-number&gt;4715&lt;/rec-number&gt;&lt;foreign-keys&gt;&lt;key app="EN" db-id="wwsdv2wwp29fenerv0kx5tw9zxtx2fdrprx2" timestamp="1777938266"&gt;4715&lt;/key&gt;&lt;/foreign-keys&gt;&lt;ref-type name="Dataset"&gt;59&lt;/ref-type&gt;&lt;contributors&gt;&lt;authors&gt;&lt;author&gt;Australian Bureau of Statistics,&lt;/author&gt;&lt;/authors&gt;&lt;secondary-authors&gt;&lt;author&gt;Australian Bureau of Statistics,&lt;/author&gt;&lt;/secondary-authors&gt;&lt;/contributors&gt;&lt;titles&gt;&lt;title&gt;National Aboriginal and Torres Strait Islander Nutrition and Physical Activity Survey: Food and Nutrients, 2023&lt;/title&gt;&lt;/titles&gt;&lt;section&gt;03/10/2025&lt;/section&gt;&lt;dates&gt;&lt;year&gt;2023&lt;/year&gt;&lt;pub-dates&gt;&lt;date&gt;2023&lt;/date&gt;&lt;/pub-dates&gt;&lt;/dates&gt;&lt;pub-location&gt;Canberra, ACT&lt;/pub-location&gt;&lt;urls&gt;&lt;related-urls&gt;&lt;url&gt;https://www.abs.gov.au/statistics/people/aboriginal-and-torres-strait-islander-peoples/national-aboriginal-and-torres-strait-islander-nutrition-and-physical-activity-survey/latest-release#about-the-survey&lt;/url&gt;&lt;/related-urls&gt;&lt;/urls&gt;&lt;/record&gt;&lt;/Cite&gt;&lt;/EndNote&gt;</w:instrText>
      </w:r>
      <w:r w:rsidR="00317B07">
        <w:fldChar w:fldCharType="separate"/>
      </w:r>
      <w:r w:rsidR="007B321D">
        <w:rPr>
          <w:noProof/>
        </w:rPr>
        <w:t>(ABS, 2023a)</w:t>
      </w:r>
      <w:r w:rsidR="00317B07">
        <w:fldChar w:fldCharType="end"/>
      </w:r>
    </w:p>
    <w:tbl>
      <w:tblPr>
        <w:tblStyle w:val="TableGrid"/>
        <w:tblW w:w="5961"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1466"/>
        <w:gridCol w:w="1520"/>
        <w:gridCol w:w="1520"/>
        <w:gridCol w:w="32"/>
        <w:gridCol w:w="1423"/>
      </w:tblGrid>
      <w:tr w:rsidR="00250EC5" w:rsidRPr="00D4008F" w14:paraId="4FC4169B" w14:textId="77777777" w:rsidTr="004E481C">
        <w:trPr>
          <w:trHeight w:val="742"/>
        </w:trPr>
        <w:tc>
          <w:tcPr>
            <w:tcW w:w="1466" w:type="dxa"/>
            <w:shd w:val="clear" w:color="auto" w:fill="156082" w:themeFill="accent1"/>
          </w:tcPr>
          <w:p w14:paraId="64ADD514" w14:textId="77777777" w:rsidR="00250EC5" w:rsidRPr="00D4008F" w:rsidRDefault="00250EC5" w:rsidP="00C11E34">
            <w:pPr>
              <w:keepNext/>
              <w:keepLines/>
              <w:rPr>
                <w:b/>
                <w:bCs/>
                <w:color w:val="FFFFFF" w:themeColor="background1"/>
                <w:sz w:val="20"/>
                <w:szCs w:val="20"/>
              </w:rPr>
            </w:pPr>
            <w:r w:rsidRPr="00D4008F">
              <w:rPr>
                <w:b/>
                <w:bCs/>
                <w:color w:val="FFFFFF" w:themeColor="background1"/>
                <w:sz w:val="20"/>
                <w:szCs w:val="20"/>
              </w:rPr>
              <w:t>Age group</w:t>
            </w:r>
          </w:p>
        </w:tc>
        <w:tc>
          <w:tcPr>
            <w:tcW w:w="1520" w:type="dxa"/>
            <w:shd w:val="clear" w:color="auto" w:fill="156082" w:themeFill="accent1"/>
          </w:tcPr>
          <w:p w14:paraId="0C5C445D" w14:textId="77777777" w:rsidR="00250EC5" w:rsidRPr="00D4008F" w:rsidRDefault="00250EC5" w:rsidP="00C11E34">
            <w:pPr>
              <w:keepNext/>
              <w:keepLines/>
              <w:jc w:val="center"/>
              <w:rPr>
                <w:b/>
                <w:bCs/>
                <w:color w:val="FFFFFF" w:themeColor="background1"/>
                <w:sz w:val="20"/>
                <w:szCs w:val="20"/>
              </w:rPr>
            </w:pPr>
            <w:r w:rsidRPr="00D4008F">
              <w:rPr>
                <w:b/>
                <w:bCs/>
                <w:color w:val="FFFFFF" w:themeColor="background1"/>
                <w:sz w:val="20"/>
                <w:szCs w:val="20"/>
              </w:rPr>
              <w:t>All persons</w:t>
            </w:r>
          </w:p>
          <w:p w14:paraId="7BD451EE" w14:textId="4AB76C2A" w:rsidR="00250EC5" w:rsidRPr="00D4008F" w:rsidRDefault="00250EC5" w:rsidP="00C11E34">
            <w:pPr>
              <w:keepNext/>
              <w:keepLines/>
              <w:jc w:val="center"/>
              <w:rPr>
                <w:b/>
                <w:bCs/>
                <w:color w:val="FFFFFF" w:themeColor="background1"/>
                <w:sz w:val="20"/>
                <w:szCs w:val="20"/>
              </w:rPr>
            </w:pPr>
            <w:r w:rsidRPr="00D4008F">
              <w:rPr>
                <w:b/>
                <w:bCs/>
                <w:color w:val="FFFFFF" w:themeColor="background1"/>
                <w:sz w:val="20"/>
                <w:szCs w:val="20"/>
              </w:rPr>
              <w:t xml:space="preserve">Intake </w:t>
            </w:r>
            <w:r w:rsidRPr="00D4008F">
              <w:rPr>
                <w:i/>
                <w:iCs/>
                <w:color w:val="FFFFFF" w:themeColor="background1"/>
                <w:sz w:val="20"/>
                <w:szCs w:val="20"/>
              </w:rPr>
              <w:t>(mg/day)</w:t>
            </w:r>
          </w:p>
        </w:tc>
        <w:tc>
          <w:tcPr>
            <w:tcW w:w="1552" w:type="dxa"/>
            <w:gridSpan w:val="2"/>
            <w:shd w:val="clear" w:color="auto" w:fill="156082" w:themeFill="accent1"/>
          </w:tcPr>
          <w:p w14:paraId="445069F5" w14:textId="77777777" w:rsidR="00250EC5" w:rsidRPr="00D4008F" w:rsidRDefault="00250EC5" w:rsidP="00C11E34">
            <w:pPr>
              <w:keepNext/>
              <w:keepLines/>
              <w:jc w:val="center"/>
              <w:rPr>
                <w:b/>
                <w:bCs/>
                <w:color w:val="FFFFFF" w:themeColor="background1"/>
                <w:sz w:val="20"/>
                <w:szCs w:val="20"/>
              </w:rPr>
            </w:pPr>
            <w:r w:rsidRPr="00D4008F">
              <w:rPr>
                <w:b/>
                <w:bCs/>
                <w:color w:val="FFFFFF" w:themeColor="background1"/>
                <w:sz w:val="20"/>
                <w:szCs w:val="20"/>
              </w:rPr>
              <w:t>Males</w:t>
            </w:r>
          </w:p>
          <w:p w14:paraId="19935802" w14:textId="5BFDA582" w:rsidR="00250EC5" w:rsidRPr="00D4008F" w:rsidRDefault="00250EC5" w:rsidP="00C11E34">
            <w:pPr>
              <w:keepNext/>
              <w:keepLines/>
              <w:jc w:val="center"/>
              <w:rPr>
                <w:b/>
                <w:bCs/>
                <w:color w:val="FFFFFF" w:themeColor="background1"/>
                <w:sz w:val="20"/>
                <w:szCs w:val="20"/>
              </w:rPr>
            </w:pPr>
            <w:r w:rsidRPr="00D4008F">
              <w:rPr>
                <w:b/>
                <w:bCs/>
                <w:color w:val="FFFFFF" w:themeColor="background1"/>
                <w:sz w:val="20"/>
                <w:szCs w:val="20"/>
              </w:rPr>
              <w:t xml:space="preserve">Intake </w:t>
            </w:r>
            <w:r w:rsidRPr="00D4008F">
              <w:rPr>
                <w:i/>
                <w:iCs/>
                <w:color w:val="FFFFFF" w:themeColor="background1"/>
                <w:sz w:val="20"/>
                <w:szCs w:val="20"/>
              </w:rPr>
              <w:t>(mg/day)</w:t>
            </w:r>
          </w:p>
        </w:tc>
        <w:tc>
          <w:tcPr>
            <w:tcW w:w="1423" w:type="dxa"/>
            <w:shd w:val="clear" w:color="auto" w:fill="156082" w:themeFill="accent1"/>
          </w:tcPr>
          <w:p w14:paraId="0067BC32" w14:textId="77777777" w:rsidR="00250EC5" w:rsidRPr="00D4008F" w:rsidRDefault="00250EC5" w:rsidP="00C11E34">
            <w:pPr>
              <w:keepNext/>
              <w:keepLines/>
              <w:jc w:val="center"/>
              <w:rPr>
                <w:b/>
                <w:bCs/>
                <w:color w:val="FFFFFF" w:themeColor="background1"/>
                <w:sz w:val="20"/>
                <w:szCs w:val="20"/>
              </w:rPr>
            </w:pPr>
            <w:r w:rsidRPr="00D4008F">
              <w:rPr>
                <w:b/>
                <w:bCs/>
                <w:color w:val="FFFFFF" w:themeColor="background1"/>
                <w:sz w:val="20"/>
                <w:szCs w:val="20"/>
              </w:rPr>
              <w:t>Females</w:t>
            </w:r>
          </w:p>
          <w:p w14:paraId="536B725B" w14:textId="26AB6A89" w:rsidR="00250EC5" w:rsidRPr="00D4008F" w:rsidRDefault="00250EC5" w:rsidP="00C11E34">
            <w:pPr>
              <w:keepNext/>
              <w:keepLines/>
              <w:jc w:val="center"/>
              <w:rPr>
                <w:b/>
                <w:bCs/>
                <w:color w:val="FFFFFF" w:themeColor="background1"/>
                <w:sz w:val="20"/>
                <w:szCs w:val="20"/>
              </w:rPr>
            </w:pPr>
            <w:r w:rsidRPr="00D4008F">
              <w:rPr>
                <w:b/>
                <w:bCs/>
                <w:color w:val="FFFFFF" w:themeColor="background1"/>
                <w:sz w:val="20"/>
                <w:szCs w:val="20"/>
              </w:rPr>
              <w:t xml:space="preserve">Intake </w:t>
            </w:r>
            <w:r w:rsidRPr="00D4008F">
              <w:rPr>
                <w:i/>
                <w:iCs/>
                <w:color w:val="FFFFFF" w:themeColor="background1"/>
                <w:sz w:val="20"/>
                <w:szCs w:val="20"/>
              </w:rPr>
              <w:t>(mg/day)</w:t>
            </w:r>
          </w:p>
        </w:tc>
      </w:tr>
      <w:tr w:rsidR="00F600B3" w:rsidRPr="00D4008F" w14:paraId="73621DB7" w14:textId="77777777" w:rsidTr="00F600B3">
        <w:tc>
          <w:tcPr>
            <w:tcW w:w="1466" w:type="dxa"/>
          </w:tcPr>
          <w:p w14:paraId="65D60D24" w14:textId="77777777" w:rsidR="00F600B3" w:rsidRPr="00D4008F" w:rsidRDefault="00F600B3" w:rsidP="00C11E34">
            <w:pPr>
              <w:keepNext/>
              <w:keepLines/>
              <w:rPr>
                <w:sz w:val="20"/>
                <w:szCs w:val="20"/>
              </w:rPr>
            </w:pPr>
            <w:r w:rsidRPr="00D4008F">
              <w:rPr>
                <w:sz w:val="20"/>
                <w:szCs w:val="20"/>
              </w:rPr>
              <w:t>2 – 4 years</w:t>
            </w:r>
          </w:p>
        </w:tc>
        <w:tc>
          <w:tcPr>
            <w:tcW w:w="1520" w:type="dxa"/>
          </w:tcPr>
          <w:p w14:paraId="5FC31CA1" w14:textId="597B05C3" w:rsidR="00F600B3" w:rsidRPr="00D4008F" w:rsidRDefault="00C80226" w:rsidP="00C11E34">
            <w:pPr>
              <w:keepNext/>
              <w:keepLines/>
              <w:jc w:val="center"/>
              <w:rPr>
                <w:sz w:val="20"/>
                <w:szCs w:val="20"/>
              </w:rPr>
            </w:pPr>
            <w:r>
              <w:rPr>
                <w:sz w:val="20"/>
                <w:szCs w:val="20"/>
              </w:rPr>
              <w:t>1,988</w:t>
            </w:r>
          </w:p>
        </w:tc>
        <w:tc>
          <w:tcPr>
            <w:tcW w:w="1520" w:type="dxa"/>
          </w:tcPr>
          <w:p w14:paraId="5B2E44AC" w14:textId="43DDFAAF" w:rsidR="00F600B3" w:rsidRPr="00D4008F" w:rsidRDefault="00F600B3" w:rsidP="00C11E34">
            <w:pPr>
              <w:keepNext/>
              <w:keepLines/>
              <w:jc w:val="center"/>
              <w:rPr>
                <w:sz w:val="20"/>
                <w:szCs w:val="20"/>
              </w:rPr>
            </w:pPr>
            <w:r>
              <w:rPr>
                <w:sz w:val="20"/>
                <w:szCs w:val="20"/>
              </w:rPr>
              <w:t>1,767</w:t>
            </w:r>
          </w:p>
        </w:tc>
        <w:tc>
          <w:tcPr>
            <w:tcW w:w="1455" w:type="dxa"/>
            <w:gridSpan w:val="2"/>
          </w:tcPr>
          <w:p w14:paraId="316E2E8C" w14:textId="6A7E4358" w:rsidR="00F600B3" w:rsidRPr="00D4008F" w:rsidRDefault="00845B19" w:rsidP="00C11E34">
            <w:pPr>
              <w:keepNext/>
              <w:keepLines/>
              <w:jc w:val="center"/>
              <w:rPr>
                <w:sz w:val="20"/>
                <w:szCs w:val="20"/>
              </w:rPr>
            </w:pPr>
            <w:r>
              <w:rPr>
                <w:sz w:val="20"/>
                <w:szCs w:val="20"/>
              </w:rPr>
              <w:t>2,197</w:t>
            </w:r>
          </w:p>
        </w:tc>
      </w:tr>
      <w:tr w:rsidR="00F600B3" w:rsidRPr="00D4008F" w14:paraId="7734EBC7" w14:textId="77777777" w:rsidTr="00F600B3">
        <w:tc>
          <w:tcPr>
            <w:tcW w:w="1466" w:type="dxa"/>
          </w:tcPr>
          <w:p w14:paraId="161AF9E2" w14:textId="77777777" w:rsidR="00F600B3" w:rsidRPr="00D4008F" w:rsidRDefault="00F600B3" w:rsidP="00C11E34">
            <w:pPr>
              <w:keepNext/>
              <w:keepLines/>
              <w:rPr>
                <w:sz w:val="20"/>
                <w:szCs w:val="20"/>
              </w:rPr>
            </w:pPr>
            <w:r w:rsidRPr="00D4008F">
              <w:rPr>
                <w:sz w:val="20"/>
                <w:szCs w:val="20"/>
              </w:rPr>
              <w:t>5 – 11 years</w:t>
            </w:r>
          </w:p>
        </w:tc>
        <w:tc>
          <w:tcPr>
            <w:tcW w:w="1520" w:type="dxa"/>
          </w:tcPr>
          <w:p w14:paraId="23F10515" w14:textId="25E2CC15" w:rsidR="00F600B3" w:rsidRPr="00D4008F" w:rsidRDefault="001520D0" w:rsidP="00C11E34">
            <w:pPr>
              <w:keepNext/>
              <w:keepLines/>
              <w:jc w:val="center"/>
              <w:rPr>
                <w:sz w:val="20"/>
                <w:szCs w:val="20"/>
              </w:rPr>
            </w:pPr>
            <w:r>
              <w:rPr>
                <w:sz w:val="20"/>
                <w:szCs w:val="20"/>
              </w:rPr>
              <w:t>2,416</w:t>
            </w:r>
          </w:p>
        </w:tc>
        <w:tc>
          <w:tcPr>
            <w:tcW w:w="1520" w:type="dxa"/>
          </w:tcPr>
          <w:p w14:paraId="705CB005" w14:textId="472E9E8C" w:rsidR="00F600B3" w:rsidRPr="00D4008F" w:rsidRDefault="00F600B3" w:rsidP="00C11E34">
            <w:pPr>
              <w:keepNext/>
              <w:keepLines/>
              <w:jc w:val="center"/>
              <w:rPr>
                <w:sz w:val="20"/>
                <w:szCs w:val="20"/>
              </w:rPr>
            </w:pPr>
            <w:r>
              <w:rPr>
                <w:sz w:val="20"/>
                <w:szCs w:val="20"/>
              </w:rPr>
              <w:t>2,586</w:t>
            </w:r>
          </w:p>
        </w:tc>
        <w:tc>
          <w:tcPr>
            <w:tcW w:w="1455" w:type="dxa"/>
            <w:gridSpan w:val="2"/>
          </w:tcPr>
          <w:p w14:paraId="710BB882" w14:textId="18416022" w:rsidR="00F600B3" w:rsidRPr="00D4008F" w:rsidRDefault="00845B19" w:rsidP="00C11E34">
            <w:pPr>
              <w:keepNext/>
              <w:keepLines/>
              <w:jc w:val="center"/>
              <w:rPr>
                <w:sz w:val="20"/>
                <w:szCs w:val="20"/>
              </w:rPr>
            </w:pPr>
            <w:r>
              <w:rPr>
                <w:sz w:val="20"/>
                <w:szCs w:val="20"/>
              </w:rPr>
              <w:t>2,191</w:t>
            </w:r>
          </w:p>
        </w:tc>
      </w:tr>
      <w:tr w:rsidR="00F600B3" w:rsidRPr="00D4008F" w14:paraId="26F24E80" w14:textId="77777777" w:rsidTr="00F600B3">
        <w:tc>
          <w:tcPr>
            <w:tcW w:w="1466" w:type="dxa"/>
          </w:tcPr>
          <w:p w14:paraId="444639D0" w14:textId="77777777" w:rsidR="00F600B3" w:rsidRPr="00D4008F" w:rsidRDefault="00F600B3">
            <w:pPr>
              <w:rPr>
                <w:sz w:val="20"/>
                <w:szCs w:val="20"/>
              </w:rPr>
            </w:pPr>
            <w:r w:rsidRPr="00D4008F">
              <w:rPr>
                <w:sz w:val="20"/>
                <w:szCs w:val="20"/>
              </w:rPr>
              <w:t>12 – 17 years</w:t>
            </w:r>
          </w:p>
        </w:tc>
        <w:tc>
          <w:tcPr>
            <w:tcW w:w="1520" w:type="dxa"/>
          </w:tcPr>
          <w:p w14:paraId="5524B89A" w14:textId="77F2A4B5" w:rsidR="00F600B3" w:rsidRPr="00D4008F" w:rsidRDefault="001520D0">
            <w:pPr>
              <w:jc w:val="center"/>
              <w:rPr>
                <w:sz w:val="20"/>
                <w:szCs w:val="20"/>
              </w:rPr>
            </w:pPr>
            <w:r>
              <w:rPr>
                <w:sz w:val="20"/>
                <w:szCs w:val="20"/>
              </w:rPr>
              <w:t>2,801</w:t>
            </w:r>
          </w:p>
        </w:tc>
        <w:tc>
          <w:tcPr>
            <w:tcW w:w="1520" w:type="dxa"/>
          </w:tcPr>
          <w:p w14:paraId="7CCAD631" w14:textId="432C4028" w:rsidR="00F600B3" w:rsidRPr="00D4008F" w:rsidRDefault="00F600B3">
            <w:pPr>
              <w:jc w:val="center"/>
              <w:rPr>
                <w:sz w:val="20"/>
                <w:szCs w:val="20"/>
              </w:rPr>
            </w:pPr>
            <w:r>
              <w:rPr>
                <w:sz w:val="20"/>
                <w:szCs w:val="20"/>
              </w:rPr>
              <w:t>3,212</w:t>
            </w:r>
          </w:p>
        </w:tc>
        <w:tc>
          <w:tcPr>
            <w:tcW w:w="1455" w:type="dxa"/>
            <w:gridSpan w:val="2"/>
          </w:tcPr>
          <w:p w14:paraId="5942D2D2" w14:textId="28EC736D" w:rsidR="00F600B3" w:rsidRPr="00D4008F" w:rsidRDefault="00845B19">
            <w:pPr>
              <w:jc w:val="center"/>
              <w:rPr>
                <w:sz w:val="20"/>
                <w:szCs w:val="20"/>
              </w:rPr>
            </w:pPr>
            <w:r>
              <w:rPr>
                <w:sz w:val="20"/>
                <w:szCs w:val="20"/>
              </w:rPr>
              <w:t>2,459</w:t>
            </w:r>
          </w:p>
        </w:tc>
      </w:tr>
      <w:tr w:rsidR="00F600B3" w:rsidRPr="00D4008F" w14:paraId="155B8163" w14:textId="77777777" w:rsidTr="00F600B3">
        <w:tc>
          <w:tcPr>
            <w:tcW w:w="1466" w:type="dxa"/>
          </w:tcPr>
          <w:p w14:paraId="38BA38E0" w14:textId="77777777" w:rsidR="00F600B3" w:rsidRPr="00D4008F" w:rsidRDefault="00F600B3">
            <w:pPr>
              <w:rPr>
                <w:sz w:val="20"/>
                <w:szCs w:val="20"/>
              </w:rPr>
            </w:pPr>
            <w:r w:rsidRPr="00D4008F">
              <w:rPr>
                <w:sz w:val="20"/>
                <w:szCs w:val="20"/>
              </w:rPr>
              <w:t>18 – 29 years</w:t>
            </w:r>
          </w:p>
        </w:tc>
        <w:tc>
          <w:tcPr>
            <w:tcW w:w="1520" w:type="dxa"/>
          </w:tcPr>
          <w:p w14:paraId="5B24C1F0" w14:textId="2073E0AA" w:rsidR="00F600B3" w:rsidRPr="00D4008F" w:rsidRDefault="001520D0">
            <w:pPr>
              <w:jc w:val="center"/>
              <w:rPr>
                <w:sz w:val="20"/>
                <w:szCs w:val="20"/>
              </w:rPr>
            </w:pPr>
            <w:r>
              <w:rPr>
                <w:sz w:val="20"/>
                <w:szCs w:val="20"/>
              </w:rPr>
              <w:t>2,752</w:t>
            </w:r>
          </w:p>
        </w:tc>
        <w:tc>
          <w:tcPr>
            <w:tcW w:w="1520" w:type="dxa"/>
          </w:tcPr>
          <w:p w14:paraId="2C3108DA" w14:textId="16C5ABC1" w:rsidR="00F600B3" w:rsidRPr="00D4008F" w:rsidRDefault="00F600B3">
            <w:pPr>
              <w:jc w:val="center"/>
              <w:rPr>
                <w:sz w:val="20"/>
                <w:szCs w:val="20"/>
              </w:rPr>
            </w:pPr>
            <w:r>
              <w:rPr>
                <w:sz w:val="20"/>
                <w:szCs w:val="20"/>
              </w:rPr>
              <w:t>3,264</w:t>
            </w:r>
          </w:p>
        </w:tc>
        <w:tc>
          <w:tcPr>
            <w:tcW w:w="1455" w:type="dxa"/>
            <w:gridSpan w:val="2"/>
          </w:tcPr>
          <w:p w14:paraId="18ABB03B" w14:textId="3623ED51" w:rsidR="00F600B3" w:rsidRPr="00D4008F" w:rsidRDefault="00845B19">
            <w:pPr>
              <w:jc w:val="center"/>
              <w:rPr>
                <w:sz w:val="20"/>
                <w:szCs w:val="20"/>
              </w:rPr>
            </w:pPr>
            <w:r>
              <w:rPr>
                <w:sz w:val="20"/>
                <w:szCs w:val="20"/>
              </w:rPr>
              <w:t>2,292</w:t>
            </w:r>
          </w:p>
        </w:tc>
      </w:tr>
      <w:tr w:rsidR="00F600B3" w:rsidRPr="00D4008F" w14:paraId="366E4C9D" w14:textId="77777777" w:rsidTr="00F600B3">
        <w:tc>
          <w:tcPr>
            <w:tcW w:w="1466" w:type="dxa"/>
          </w:tcPr>
          <w:p w14:paraId="727F6FE1" w14:textId="77777777" w:rsidR="00F600B3" w:rsidRPr="00D4008F" w:rsidRDefault="00F600B3">
            <w:pPr>
              <w:rPr>
                <w:sz w:val="20"/>
                <w:szCs w:val="20"/>
              </w:rPr>
            </w:pPr>
            <w:r w:rsidRPr="00D4008F">
              <w:rPr>
                <w:sz w:val="20"/>
                <w:szCs w:val="20"/>
              </w:rPr>
              <w:t>30 – 49 years</w:t>
            </w:r>
          </w:p>
        </w:tc>
        <w:tc>
          <w:tcPr>
            <w:tcW w:w="1520" w:type="dxa"/>
          </w:tcPr>
          <w:p w14:paraId="1DF3FE6E" w14:textId="3D96CA24" w:rsidR="00F600B3" w:rsidRPr="00D4008F" w:rsidRDefault="001520D0">
            <w:pPr>
              <w:jc w:val="center"/>
              <w:rPr>
                <w:sz w:val="20"/>
                <w:szCs w:val="20"/>
              </w:rPr>
            </w:pPr>
            <w:r>
              <w:rPr>
                <w:sz w:val="20"/>
                <w:szCs w:val="20"/>
              </w:rPr>
              <w:t>2,578</w:t>
            </w:r>
          </w:p>
        </w:tc>
        <w:tc>
          <w:tcPr>
            <w:tcW w:w="1520" w:type="dxa"/>
          </w:tcPr>
          <w:p w14:paraId="347486D2" w14:textId="19BBB7F2" w:rsidR="00F600B3" w:rsidRPr="00D4008F" w:rsidRDefault="00845B19">
            <w:pPr>
              <w:jc w:val="center"/>
              <w:rPr>
                <w:sz w:val="20"/>
                <w:szCs w:val="20"/>
              </w:rPr>
            </w:pPr>
            <w:r>
              <w:rPr>
                <w:sz w:val="20"/>
                <w:szCs w:val="20"/>
              </w:rPr>
              <w:t>2,833</w:t>
            </w:r>
          </w:p>
        </w:tc>
        <w:tc>
          <w:tcPr>
            <w:tcW w:w="1455" w:type="dxa"/>
            <w:gridSpan w:val="2"/>
          </w:tcPr>
          <w:p w14:paraId="3E586872" w14:textId="4BD52352" w:rsidR="00F600B3" w:rsidRPr="00D4008F" w:rsidRDefault="00845B19">
            <w:pPr>
              <w:jc w:val="center"/>
              <w:rPr>
                <w:sz w:val="20"/>
                <w:szCs w:val="20"/>
              </w:rPr>
            </w:pPr>
            <w:r>
              <w:rPr>
                <w:sz w:val="20"/>
                <w:szCs w:val="20"/>
              </w:rPr>
              <w:t>2,316</w:t>
            </w:r>
          </w:p>
        </w:tc>
      </w:tr>
      <w:tr w:rsidR="00F600B3" w:rsidRPr="00D4008F" w14:paraId="7ABB93E2" w14:textId="77777777" w:rsidTr="00F600B3">
        <w:tc>
          <w:tcPr>
            <w:tcW w:w="1466" w:type="dxa"/>
          </w:tcPr>
          <w:p w14:paraId="407DF9E1" w14:textId="77777777" w:rsidR="00F600B3" w:rsidRPr="00D4008F" w:rsidRDefault="00F600B3">
            <w:pPr>
              <w:rPr>
                <w:sz w:val="20"/>
                <w:szCs w:val="20"/>
              </w:rPr>
            </w:pPr>
            <w:r w:rsidRPr="00D4008F">
              <w:rPr>
                <w:sz w:val="20"/>
                <w:szCs w:val="20"/>
              </w:rPr>
              <w:t>50 – 64 years</w:t>
            </w:r>
          </w:p>
        </w:tc>
        <w:tc>
          <w:tcPr>
            <w:tcW w:w="1520" w:type="dxa"/>
          </w:tcPr>
          <w:p w14:paraId="3BE7F438" w14:textId="51E19BD8" w:rsidR="00F600B3" w:rsidRPr="00D4008F" w:rsidRDefault="001520D0">
            <w:pPr>
              <w:jc w:val="center"/>
              <w:rPr>
                <w:sz w:val="20"/>
                <w:szCs w:val="20"/>
              </w:rPr>
            </w:pPr>
            <w:r>
              <w:rPr>
                <w:sz w:val="20"/>
                <w:szCs w:val="20"/>
              </w:rPr>
              <w:t>2,</w:t>
            </w:r>
            <w:r w:rsidR="002F3391">
              <w:rPr>
                <w:sz w:val="20"/>
                <w:szCs w:val="20"/>
              </w:rPr>
              <w:t>197</w:t>
            </w:r>
          </w:p>
        </w:tc>
        <w:tc>
          <w:tcPr>
            <w:tcW w:w="1520" w:type="dxa"/>
          </w:tcPr>
          <w:p w14:paraId="4C90ED1F" w14:textId="2D8C0840" w:rsidR="00F600B3" w:rsidRPr="00D4008F" w:rsidRDefault="00845B19">
            <w:pPr>
              <w:jc w:val="center"/>
              <w:rPr>
                <w:sz w:val="20"/>
                <w:szCs w:val="20"/>
              </w:rPr>
            </w:pPr>
            <w:r>
              <w:rPr>
                <w:sz w:val="20"/>
                <w:szCs w:val="20"/>
              </w:rPr>
              <w:t>2,528</w:t>
            </w:r>
          </w:p>
        </w:tc>
        <w:tc>
          <w:tcPr>
            <w:tcW w:w="1455" w:type="dxa"/>
            <w:gridSpan w:val="2"/>
          </w:tcPr>
          <w:p w14:paraId="7ACC3ACF" w14:textId="4BF8D8AE" w:rsidR="00F600B3" w:rsidRPr="00D4008F" w:rsidRDefault="00845B19">
            <w:pPr>
              <w:jc w:val="center"/>
              <w:rPr>
                <w:sz w:val="20"/>
                <w:szCs w:val="20"/>
              </w:rPr>
            </w:pPr>
            <w:r>
              <w:rPr>
                <w:sz w:val="20"/>
                <w:szCs w:val="20"/>
              </w:rPr>
              <w:t>1,908</w:t>
            </w:r>
          </w:p>
        </w:tc>
      </w:tr>
      <w:tr w:rsidR="00F600B3" w:rsidRPr="00D4008F" w14:paraId="32EEAA68" w14:textId="77777777" w:rsidTr="00F600B3">
        <w:tc>
          <w:tcPr>
            <w:tcW w:w="1466" w:type="dxa"/>
          </w:tcPr>
          <w:p w14:paraId="0925509F" w14:textId="3EA0959B" w:rsidR="00F600B3" w:rsidRPr="00D4008F" w:rsidRDefault="00F600B3">
            <w:pPr>
              <w:rPr>
                <w:sz w:val="20"/>
                <w:szCs w:val="20"/>
              </w:rPr>
            </w:pPr>
            <w:r w:rsidRPr="00D4008F">
              <w:rPr>
                <w:sz w:val="20"/>
                <w:szCs w:val="20"/>
              </w:rPr>
              <w:t xml:space="preserve">65 </w:t>
            </w:r>
            <w:r w:rsidR="00845B19">
              <w:rPr>
                <w:sz w:val="20"/>
                <w:szCs w:val="20"/>
              </w:rPr>
              <w:t>+ years</w:t>
            </w:r>
          </w:p>
        </w:tc>
        <w:tc>
          <w:tcPr>
            <w:tcW w:w="1520" w:type="dxa"/>
          </w:tcPr>
          <w:p w14:paraId="77929FA0" w14:textId="22EB8C09" w:rsidR="00F600B3" w:rsidRPr="00D4008F" w:rsidRDefault="002F3391">
            <w:pPr>
              <w:jc w:val="center"/>
              <w:rPr>
                <w:sz w:val="20"/>
                <w:szCs w:val="20"/>
              </w:rPr>
            </w:pPr>
            <w:r>
              <w:rPr>
                <w:sz w:val="20"/>
                <w:szCs w:val="20"/>
              </w:rPr>
              <w:t>1,873</w:t>
            </w:r>
          </w:p>
        </w:tc>
        <w:tc>
          <w:tcPr>
            <w:tcW w:w="1520" w:type="dxa"/>
          </w:tcPr>
          <w:p w14:paraId="4F02C259" w14:textId="6C097AF4" w:rsidR="00F600B3" w:rsidRPr="00D4008F" w:rsidRDefault="00845B19">
            <w:pPr>
              <w:jc w:val="center"/>
              <w:rPr>
                <w:sz w:val="20"/>
                <w:szCs w:val="20"/>
              </w:rPr>
            </w:pPr>
            <w:r>
              <w:rPr>
                <w:sz w:val="20"/>
                <w:szCs w:val="20"/>
              </w:rPr>
              <w:t>2,109</w:t>
            </w:r>
          </w:p>
        </w:tc>
        <w:tc>
          <w:tcPr>
            <w:tcW w:w="1455" w:type="dxa"/>
            <w:gridSpan w:val="2"/>
          </w:tcPr>
          <w:p w14:paraId="26E1AE3F" w14:textId="30CCC4C2" w:rsidR="00F600B3" w:rsidRPr="00D4008F" w:rsidRDefault="00845B19">
            <w:pPr>
              <w:jc w:val="center"/>
              <w:rPr>
                <w:sz w:val="20"/>
                <w:szCs w:val="20"/>
              </w:rPr>
            </w:pPr>
            <w:r>
              <w:rPr>
                <w:sz w:val="20"/>
                <w:szCs w:val="20"/>
              </w:rPr>
              <w:t>1,749</w:t>
            </w:r>
          </w:p>
        </w:tc>
      </w:tr>
    </w:tbl>
    <w:p w14:paraId="1B84FEA9" w14:textId="7A144A90" w:rsidR="00401D1B" w:rsidRDefault="00401D1B" w:rsidP="005D41BE">
      <w:pPr>
        <w:spacing w:before="160" w:line="276" w:lineRule="auto"/>
      </w:pPr>
      <w:r>
        <w:t xml:space="preserve">These data may under-estimate intake, with a study estimating </w:t>
      </w:r>
      <w:r w:rsidR="00936AE0">
        <w:t xml:space="preserve">average </w:t>
      </w:r>
      <w:r>
        <w:t>sodium intake across 20</w:t>
      </w:r>
      <w:r w:rsidR="0071003D">
        <w:t> </w:t>
      </w:r>
      <w:r>
        <w:t>remote Indigenous communities at 2,770 mg/day</w:t>
      </w:r>
      <w:r w:rsidR="0053291B">
        <w:t xml:space="preserve"> </w:t>
      </w:r>
      <w:r w:rsidR="0053291B">
        <w:fldChar w:fldCharType="begin">
          <w:fldData xml:space="preserve">PEVuZE5vdGU+PENpdGU+PEF1dGhvcj5NY01haG9uPC9BdXRob3I+PFllYXI+MjAxNTwvWWVhcj48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</w:fldData>
        </w:fldChar>
      </w:r>
      <w:r w:rsidR="0053291B">
        <w:instrText xml:space="preserve"> ADDIN EN.CITE </w:instrText>
      </w:r>
      <w:r w:rsidR="0053291B">
        <w:fldChar w:fldCharType="begin">
          <w:fldData xml:space="preserve">PEVuZE5vdGU+PENpdGU+PEF1dGhvcj5NY01haG9uPC9BdXRob3I+PFllYXI+MjAxNTwvWWVhcj48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</w:fldData>
        </w:fldChar>
      </w:r>
      <w:r w:rsidR="0053291B">
        <w:instrText xml:space="preserve"> ADDIN EN.CITE.DATA </w:instrText>
      </w:r>
      <w:r w:rsidR="0053291B">
        <w:fldChar w:fldCharType="end"/>
      </w:r>
      <w:r w:rsidR="0053291B">
        <w:fldChar w:fldCharType="separate"/>
      </w:r>
      <w:r w:rsidR="0053291B">
        <w:rPr>
          <w:noProof/>
        </w:rPr>
        <w:t>(McMahon et al., 2015)</w:t>
      </w:r>
      <w:r w:rsidR="0053291B">
        <w:fldChar w:fldCharType="end"/>
      </w:r>
      <w:r>
        <w:t xml:space="preserve">. The study used apparent consumption data </w:t>
      </w:r>
      <w:r w:rsidR="0071003D">
        <w:t xml:space="preserve">based on store-sales data from 2012-14 </w:t>
      </w:r>
      <w:r>
        <w:t xml:space="preserve">and factored in discretionary salt use. There was significant variability in estimated mean intakes across communities, ranging from 2,410 mg/day to 3,450 mg/day. </w:t>
      </w:r>
      <w:r w:rsidR="0061374C">
        <w:t>T</w:t>
      </w:r>
      <w:r>
        <w:t xml:space="preserve">hese estimates are higher than the </w:t>
      </w:r>
      <w:r>
        <w:lastRenderedPageBreak/>
        <w:t>NATSINPAS estimated intake of 2,190 mg/day among remote populations</w:t>
      </w:r>
      <w:r w:rsidR="0061374C">
        <w:t xml:space="preserve"> (which did not include </w:t>
      </w:r>
      <w:r w:rsidR="00E07603">
        <w:t xml:space="preserve">discretionary </w:t>
      </w:r>
      <w:r w:rsidR="007D46B4">
        <w:t xml:space="preserve">salt </w:t>
      </w:r>
      <w:r w:rsidR="00E07603">
        <w:t>use</w:t>
      </w:r>
      <w:r w:rsidR="007D46B4">
        <w:t>)</w:t>
      </w:r>
      <w:r>
        <w:t>.</w:t>
      </w:r>
    </w:p>
    <w:p w14:paraId="06D09114" w14:textId="528B1D8B" w:rsidR="007B4B62" w:rsidRDefault="007B4B62" w:rsidP="007B4B62">
      <w:pPr>
        <w:pStyle w:val="Heading4"/>
        <w:spacing w:line="360" w:lineRule="auto"/>
      </w:pPr>
      <w:r>
        <w:t>Other sensitive or at-risk groups</w:t>
      </w:r>
    </w:p>
    <w:p w14:paraId="464F5507" w14:textId="48262D0C" w:rsidR="00DF7E7F" w:rsidRDefault="00DF7E7F" w:rsidP="005D41BE">
      <w:pPr>
        <w:spacing w:line="276" w:lineRule="auto"/>
      </w:pPr>
      <w:r>
        <w:t xml:space="preserve">A 2017 systematic review evaluating social patterns in sodium intake among high-income countries found that adults of lower socioeconomic status (SES) had greater sodium intakes than high socioeconomic status adults </w:t>
      </w:r>
      <w:r>
        <w:fldChar w:fldCharType="begin"/>
      </w:r>
      <w:r>
        <w:instrText xml:space="preserve"> ADDIN EN.CITE &lt;EndNote&gt;&lt;Cite&gt;&lt;Author&gt;de Mestral&lt;/Author&gt;&lt;Year&gt;2017&lt;/Year&gt;&lt;RecNum&gt;4684&lt;/RecNum&gt;&lt;DisplayText&gt;(de Mestral et al., 2017)&lt;/DisplayText&gt;&lt;record&gt;&lt;rec-number&gt;4684&lt;/rec-number&gt;&lt;foreign-keys&gt;&lt;key app="EN" db-id="wwsdv2wwp29fenerv0kx5tw9zxtx2fdrprx2" timestamp="1776125787"&gt;4684&lt;/key&gt;&lt;/foreign-keys&gt;&lt;ref-type name="Journal Article"&gt;17&lt;/ref-type&gt;&lt;contributors&gt;&lt;authors&gt;&lt;author&gt;de Mestral, Carlos&lt;/author&gt;&lt;author&gt;Mayén, Ana-Lucia&lt;/author&gt;&lt;author&gt;Petrovic, Dusan&lt;/author&gt;&lt;author&gt;Marques-Vidal, Pedro&lt;/author&gt;&lt;author&gt;Bochud, Murielle&lt;/author&gt;&lt;author&gt;Stringhini, Silvia&lt;/author&gt;&lt;/authors&gt;&lt;/contributors&gt;&lt;titles&gt;&lt;title&gt;Socioeconomic determinants of sodium intake in adult populations of high-income countries: a systematic review and meta-analysis&lt;/title&gt;&lt;secondary-title&gt;American journal of public health&lt;/secondary-title&gt;&lt;/titles&gt;&lt;periodical&gt;&lt;full-title&gt;American journal of public health&lt;/full-title&gt;&lt;/periodical&gt;&lt;pages&gt;e1-e12&lt;/pages&gt;&lt;volume&gt;107&lt;/volume&gt;&lt;number&gt;4&lt;/number&gt;&lt;dates&gt;&lt;year&gt;2017&lt;/year&gt;&lt;/dates&gt;&lt;isbn&gt;1541-0048&lt;/isbn&gt;&lt;urls&gt;&lt;/urls&gt;&lt;/record&gt;&lt;/Cite&gt;&lt;/EndNote&gt;</w:instrText>
      </w:r>
      <w:r>
        <w:fldChar w:fldCharType="separate"/>
      </w:r>
      <w:r>
        <w:rPr>
          <w:noProof/>
        </w:rPr>
        <w:t>(de Mestral et al., 2017)</w:t>
      </w:r>
      <w:r>
        <w:fldChar w:fldCharType="end"/>
      </w:r>
      <w:r>
        <w:t xml:space="preserve">. Pooled relative differences were estimated for various countries, with intake in Australian adults of low SES estimated to be 423 mg/day (352 – 493 mg/day) greater than their high SES counterparts. </w:t>
      </w:r>
    </w:p>
    <w:p w14:paraId="6C7DC5CE" w14:textId="587457C0" w:rsidR="00DF7E7F" w:rsidRDefault="00DF7E7F" w:rsidP="005D41BE">
      <w:pPr>
        <w:spacing w:line="276" w:lineRule="auto"/>
      </w:pPr>
      <w:r>
        <w:t xml:space="preserve">Evidence from studies in Australian children also suggests that those from a low SES background have higher sodium intakes compared with high SES children. Analysis of nationally representative data from the 2007 National Children’s Nutrition and Physical Activity Survey found that sodium intake in low SES children was 195 mg/day higher than high SES children; an average of 9% greater </w:t>
      </w:r>
      <w:r>
        <w:fldChar w:fldCharType="begin"/>
      </w:r>
      <w:r>
        <w:instrText xml:space="preserve"> ADDIN EN.CITE &lt;EndNote&gt;&lt;Cite&gt;&lt;Author&gt;Grimes&lt;/Author&gt;&lt;Year&gt;2013&lt;/Year&gt;&lt;RecNum&gt;4686&lt;/RecNum&gt;&lt;DisplayText&gt;(Grimes et al., 2013)&lt;/DisplayText&gt;&lt;record&gt;&lt;rec-number&gt;4686&lt;/rec-number&gt;&lt;foreign-keys&gt;&lt;key app="EN" db-id="wwsdv2wwp29fenerv0kx5tw9zxtx2fdrprx2" timestamp="1776130114"&gt;4686&lt;/key&gt;&lt;/foreign-keys&gt;&lt;ref-type name="Journal Article"&gt;17&lt;/ref-type&gt;&lt;contributors&gt;&lt;authors&gt;&lt;author&gt;Grimes, C. A.&lt;/author&gt;&lt;author&gt;Campbell, K. J.&lt;/author&gt;&lt;author&gt;Riddell, L. J.&lt;/author&gt;&lt;author&gt;Nowson, C. A.&lt;/author&gt;&lt;/authors&gt;&lt;/contributors&gt;&lt;auth-address&gt;Centre for Physical Activity and Nutrition Research, School of Exercise and Nutrition Sciences, Deakin University, Burwood, Victoria, Australia.&lt;/auth-address&gt;&lt;titles&gt;&lt;title&gt;Is socioeconomic status associated with dietary sodium intake in Australian children? A cross-sectional study&lt;/title&gt;&lt;secondary-title&gt;BMJ Open&lt;/secondary-title&gt;&lt;/titles&gt;&lt;periodical&gt;&lt;full-title&gt;BMJ Open&lt;/full-title&gt;&lt;/periodical&gt;&lt;volume&gt;3&lt;/volume&gt;&lt;number&gt;2&lt;/number&gt;&lt;edition&gt;20130208&lt;/edition&gt;&lt;dates&gt;&lt;year&gt;2013&lt;/year&gt;&lt;/dates&gt;&lt;isbn&gt;2044-6055 (Print)&amp;#xD;2044-6055&lt;/isbn&gt;&lt;accession-num&gt;23396559&lt;/accession-num&gt;&lt;urls&gt;&lt;/urls&gt;&lt;custom2&gt;PMC3585971&lt;/custom2&gt;&lt;electronic-resource-num&gt;10.1136/bmjopen-2012-002106&lt;/electronic-resource-num&gt;&lt;remote-database-provider&gt;NLM&lt;/remote-database-provider&gt;&lt;language&gt;eng&lt;/language&gt;&lt;/record&gt;&lt;/Cite&gt;&lt;/EndNote&gt;</w:instrText>
      </w:r>
      <w:r>
        <w:fldChar w:fldCharType="separate"/>
      </w:r>
      <w:r>
        <w:rPr>
          <w:noProof/>
        </w:rPr>
        <w:t>(Grimes et al., 2013)</w:t>
      </w:r>
      <w:r>
        <w:fldChar w:fldCharType="end"/>
      </w:r>
      <w:r>
        <w:t>. More recently, a</w:t>
      </w:r>
      <w:r w:rsidRPr="00DF7E7F">
        <w:rPr>
          <w:b/>
          <w:bCs/>
        </w:rPr>
        <w:t xml:space="preserve"> </w:t>
      </w:r>
      <w:r w:rsidRPr="00C1715A">
        <w:t xml:space="preserve">study in 666 children </w:t>
      </w:r>
      <w:r>
        <w:t xml:space="preserve">aged 4 to 12 years </w:t>
      </w:r>
      <w:r w:rsidRPr="00C1715A">
        <w:t xml:space="preserve">in Victoria </w:t>
      </w:r>
      <w:r>
        <w:t xml:space="preserve">also </w:t>
      </w:r>
      <w:r w:rsidRPr="00C1715A">
        <w:t xml:space="preserve">found greater </w:t>
      </w:r>
      <w:r w:rsidR="00E369A6">
        <w:t>24-hour</w:t>
      </w:r>
      <w:r w:rsidRPr="00C1715A">
        <w:t xml:space="preserve"> sodium excretion among</w:t>
      </w:r>
      <w:r w:rsidRPr="00DF7E7F">
        <w:rPr>
          <w:b/>
          <w:bCs/>
        </w:rPr>
        <w:t xml:space="preserve"> </w:t>
      </w:r>
      <w:r w:rsidRPr="00C90030">
        <w:t xml:space="preserve">children from low SES compared with high SES </w:t>
      </w:r>
      <w:r>
        <w:t xml:space="preserve">backgrounds </w:t>
      </w:r>
      <w:r w:rsidRPr="00C90030">
        <w:t>(</w:t>
      </w:r>
      <w:r w:rsidR="00FA1BC6">
        <w:t xml:space="preserve">equivalent to 230mg/day </w:t>
      </w:r>
      <w:r w:rsidRPr="00C90030">
        <w:t xml:space="preserve">(95% CI </w:t>
      </w:r>
      <w:r w:rsidR="00D217EF">
        <w:t xml:space="preserve">48 </w:t>
      </w:r>
      <w:r w:rsidRPr="00C90030">
        <w:t xml:space="preserve">to </w:t>
      </w:r>
      <w:r w:rsidR="00D217EF">
        <w:t>409</w:t>
      </w:r>
      <w:r w:rsidRPr="00C90030">
        <w:t>), p=0.04)</w:t>
      </w:r>
      <w:r>
        <w:fldChar w:fldCharType="begin">
          <w:fldData xml:space="preserve">PEVuZE5vdGU+PENpdGU+PEF1dGhvcj5HcmltZXM8L0F1dGhvcj48WWVhcj4yMDE3PC9ZZWFyPjxS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</w:fldData>
        </w:fldChar>
      </w:r>
      <w:r w:rsidR="00F61D64">
        <w:instrText xml:space="preserve"> ADDIN EN.CITE </w:instrText>
      </w:r>
      <w:r w:rsidR="00F61D64">
        <w:fldChar w:fldCharType="begin">
          <w:fldData xml:space="preserve">PEVuZE5vdGU+PENpdGU+PEF1dGhvcj5HcmltZXM8L0F1dGhvcj48WWVhcj4yMDE3PC9ZZWFyPjxS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</w:fldData>
        </w:fldChar>
      </w:r>
      <w:r w:rsidR="00F61D64">
        <w:instrText xml:space="preserve"> ADDIN EN.CITE.DATA </w:instrText>
      </w:r>
      <w:r w:rsidR="00F61D64">
        <w:fldChar w:fldCharType="end"/>
      </w:r>
      <w:r>
        <w:fldChar w:fldCharType="separate"/>
      </w:r>
      <w:r w:rsidR="00F61D64">
        <w:rPr>
          <w:noProof/>
        </w:rPr>
        <w:t>(Grimes, Riddell, et al., 2017)</w:t>
      </w:r>
      <w:r>
        <w:fldChar w:fldCharType="end"/>
      </w:r>
      <w:r>
        <w:t>.</w:t>
      </w:r>
    </w:p>
    <w:p w14:paraId="1C47A317" w14:textId="75BE90F9" w:rsidR="009D5935" w:rsidRDefault="00AA4677" w:rsidP="00E532F6">
      <w:pPr>
        <w:pStyle w:val="Heading3"/>
        <w:spacing w:line="240" w:lineRule="auto"/>
      </w:pPr>
      <w:bookmarkStart w:id="37" w:name="_Toc234960831"/>
      <w:r>
        <w:t>New Zealand</w:t>
      </w:r>
      <w:bookmarkEnd w:id="37"/>
    </w:p>
    <w:p w14:paraId="61044185" w14:textId="2767ADD9" w:rsidR="00AE08BA" w:rsidRDefault="00B76D25" w:rsidP="005D41BE">
      <w:pPr>
        <w:spacing w:line="276" w:lineRule="auto"/>
      </w:pPr>
      <w:r w:rsidRPr="00EC454B">
        <w:t xml:space="preserve">The most recent </w:t>
      </w:r>
      <w:r w:rsidR="00152D90" w:rsidRPr="00EC454B">
        <w:t xml:space="preserve">New Zealand Adult Nutrition Survey </w:t>
      </w:r>
      <w:r w:rsidR="00D431EA" w:rsidRPr="00EC454B">
        <w:t>(NZ ANS) was conducted in 2008/09</w:t>
      </w:r>
      <w:r w:rsidR="00AA195D" w:rsidRPr="00EC454B">
        <w:t xml:space="preserve">. Data on sodium intake was collected using </w:t>
      </w:r>
      <w:r w:rsidR="00C00B29" w:rsidRPr="00EC454B">
        <w:t xml:space="preserve">24-hour dietary recall and the New Zealand Food Composition Database. However, food composition data were deemed insufficiently reliable </w:t>
      </w:r>
      <w:r w:rsidR="00EC454B" w:rsidRPr="00EC454B">
        <w:t xml:space="preserve">for estimating sodium intake </w:t>
      </w:r>
      <w:r w:rsidR="00C00B29" w:rsidRPr="00EC454B">
        <w:t>and correspondin</w:t>
      </w:r>
      <w:r w:rsidR="00AB37D3">
        <w:t xml:space="preserve">g </w:t>
      </w:r>
      <w:r w:rsidR="00C00B29" w:rsidRPr="00EC454B">
        <w:t xml:space="preserve">data were not presented </w:t>
      </w:r>
      <w:r w:rsidR="007D4F36" w:rsidRPr="00EC454B">
        <w:fldChar w:fldCharType="begin"/>
      </w:r>
      <w:r w:rsidR="00EC454B" w:rsidRPr="00EC454B">
        <w:instrText xml:space="preserve"> ADDIN EN.CITE &lt;EndNote&gt;&lt;Cite ExcludeAuth="1"&gt;&lt;Author&gt;University of Otago and Ministry of Health&lt;/Author&gt;&lt;Year&gt;2011&lt;/Year&gt;&lt;RecNum&gt;4714&lt;/RecNum&gt;&lt;Prefix&gt;University of Otago &amp;amp; NZ MoH`, &lt;/Prefix&gt;&lt;DisplayText&gt;(University of Otago &amp;amp; NZ MoH, 2011)&lt;/DisplayText&gt;&lt;record&gt;&lt;rec-number&gt;4714&lt;/rec-number&gt;&lt;foreign-keys&gt;&lt;key app="EN" db-id="wwsdv2wwp29fenerv0kx5tw9zxtx2fdrprx2" timestamp="1777870764"&gt;4714&lt;/key&gt;&lt;/foreign-keys&gt;&lt;ref-type name="Government Document"&gt;46&lt;/ref-type&gt;&lt;contributors&gt;&lt;authors&gt;&lt;author&gt;University of Otago and Ministry of Health,&lt;/author&gt;&lt;/authors&gt;&lt;/contributors&gt;&lt;titles&gt;&lt;title&gt;A Focus on Nutrition: Key findings of the 2008/09 New Zealand Adult Nutrition Survey&lt;/title&gt;&lt;/titles&gt;&lt;dates&gt;&lt;year&gt;2011&lt;/year&gt;&lt;/dates&gt;&lt;pub-location&gt;Wellington&lt;/pub-location&gt;&lt;publisher&gt;Ministry of Health&lt;/publisher&gt;&lt;accession-num&gt;ISBN 978-0-478-37348-6&lt;/accession-num&gt;&lt;urls&gt;&lt;related-urls&gt;&lt;url&gt;https://www.health.govt.nz/system/files/2011-10/a-focus-on-nutrition-v2.pdf&lt;/url&gt;&lt;/related-urls&gt;&lt;/urls&gt;&lt;/record&gt;&lt;/Cite&gt;&lt;/EndNote&gt;</w:instrText>
      </w:r>
      <w:r w:rsidR="007D4F36" w:rsidRPr="00EC454B">
        <w:fldChar w:fldCharType="separate"/>
      </w:r>
      <w:r w:rsidR="00EC454B" w:rsidRPr="00EC454B">
        <w:rPr>
          <w:noProof/>
        </w:rPr>
        <w:t>(University of Otago &amp; NZ MoH, 2011)</w:t>
      </w:r>
      <w:r w:rsidR="007D4F36" w:rsidRPr="00EC454B">
        <w:fldChar w:fldCharType="end"/>
      </w:r>
      <w:r w:rsidR="00C00B29" w:rsidRPr="00EC454B">
        <w:t xml:space="preserve">. </w:t>
      </w:r>
      <w:r w:rsidR="00403A9D">
        <w:t xml:space="preserve">Subsequently, these data were published in an analysis comparing estimated intakes from spot urine and 24-hour dietary recall among a subsample of participants in the 2009/09 NZ ANS </w:t>
      </w:r>
      <w:r w:rsidR="00403A9D">
        <w:fldChar w:fldCharType="begin">
          <w:fldData xml:space="preserve">PEVuZE5vdGU+PENpdGU+PEF1dGhvcj5NY0xlYW48L0F1dGhvcj48WWVhcj4yMDE4PC9ZZWFyPjxS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</w:fldData>
        </w:fldChar>
      </w:r>
      <w:r w:rsidR="00403A9D">
        <w:instrText xml:space="preserve"> ADDIN EN.CITE </w:instrText>
      </w:r>
      <w:r w:rsidR="00403A9D">
        <w:fldChar w:fldCharType="begin">
          <w:fldData xml:space="preserve">PEVuZE5vdGU+PENpdGU+PEF1dGhvcj5NY0xlYW48L0F1dGhvcj48WWVhcj4yMDE4PC9ZZWFyPjxS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</w:fldData>
        </w:fldChar>
      </w:r>
      <w:r w:rsidR="00403A9D">
        <w:instrText xml:space="preserve"> ADDIN EN.CITE.DATA </w:instrText>
      </w:r>
      <w:r w:rsidR="00403A9D">
        <w:fldChar w:fldCharType="end"/>
      </w:r>
      <w:r w:rsidR="00403A9D">
        <w:fldChar w:fldCharType="separate"/>
      </w:r>
      <w:r w:rsidR="00403A9D">
        <w:rPr>
          <w:noProof/>
        </w:rPr>
        <w:t>(McLean, Williams, et al., 2018)</w:t>
      </w:r>
      <w:r w:rsidR="00403A9D">
        <w:fldChar w:fldCharType="end"/>
      </w:r>
      <w:r w:rsidR="00403A9D">
        <w:t>.</w:t>
      </w:r>
      <w:r w:rsidR="00AE08BA">
        <w:t xml:space="preserve"> However, as both these data collection methods have limitations </w:t>
      </w:r>
      <w:r w:rsidR="00DF427D">
        <w:t>and owing to the significant time elapsed since data collection, these data were not extracted.</w:t>
      </w:r>
    </w:p>
    <w:p w14:paraId="620197B3" w14:textId="51AC7B55" w:rsidR="006D60FF" w:rsidRDefault="00260687" w:rsidP="005D41BE">
      <w:pPr>
        <w:spacing w:line="276" w:lineRule="auto"/>
      </w:pPr>
      <w:r>
        <w:t>More recently, t</w:t>
      </w:r>
      <w:r w:rsidR="00EC454B">
        <w:t xml:space="preserve">he 2016 New Zealand Total Diet Study estimated </w:t>
      </w:r>
      <w:r w:rsidR="003E4A83">
        <w:t xml:space="preserve">a lower, mid and upper bound of </w:t>
      </w:r>
      <w:r w:rsidR="00EC454B">
        <w:t xml:space="preserve">intake </w:t>
      </w:r>
      <w:r w:rsidR="003E4A83">
        <w:t xml:space="preserve">based on </w:t>
      </w:r>
      <w:r w:rsidR="00EC454B">
        <w:t xml:space="preserve">simulated diets </w:t>
      </w:r>
      <w:r w:rsidR="003E4A83">
        <w:t>and food sampling data.</w:t>
      </w:r>
      <w:r w:rsidR="00EE3213">
        <w:t xml:space="preserve"> Estimated intakes were presented for several population groups aged from 1 years and over. However, the model did not account for discretionary salt use. </w:t>
      </w:r>
      <w:r w:rsidR="00AA6B9C">
        <w:t>Th</w:t>
      </w:r>
      <w:r w:rsidR="00F81213">
        <w:t xml:space="preserve">e modelled data are imprecise and </w:t>
      </w:r>
      <w:r w:rsidR="00AA6B9C">
        <w:t xml:space="preserve">may underestimate intakes </w:t>
      </w:r>
      <w:r w:rsidR="00F81213">
        <w:t xml:space="preserve">or the proportion of individuals with intakes exceeding recommendations, </w:t>
      </w:r>
      <w:r w:rsidR="0060337C">
        <w:t xml:space="preserve">due to exclusion of discretionary salt and reliance on modelled average diets. </w:t>
      </w:r>
    </w:p>
    <w:p w14:paraId="6D053439" w14:textId="77777777" w:rsidR="006D60FF" w:rsidRDefault="006D60FF" w:rsidP="006D60FF">
      <w:pPr>
        <w:pStyle w:val="Heading4"/>
        <w:spacing w:line="360" w:lineRule="auto"/>
      </w:pPr>
      <w:r>
        <w:t xml:space="preserve">Adults </w:t>
      </w:r>
    </w:p>
    <w:p w14:paraId="1DCE6D98" w14:textId="76C592F9" w:rsidR="00EC454B" w:rsidRDefault="00F7033F" w:rsidP="005D41BE">
      <w:pPr>
        <w:spacing w:line="276" w:lineRule="auto"/>
      </w:pPr>
      <w:r>
        <w:t xml:space="preserve">Data from the 2016 NZTDS are </w:t>
      </w:r>
      <w:r w:rsidR="00DD5D0F">
        <w:t>shown</w:t>
      </w:r>
      <w:r w:rsidR="00EC454B">
        <w:t xml:space="preserve"> at </w:t>
      </w:r>
      <w:r w:rsidR="00EC454B">
        <w:fldChar w:fldCharType="begin"/>
      </w:r>
      <w:r w:rsidR="00EC454B">
        <w:instrText xml:space="preserve"> REF _Ref228799375 \h </w:instrText>
      </w:r>
      <w:r w:rsidR="00EC454B">
        <w:fldChar w:fldCharType="separate"/>
      </w:r>
      <w:r w:rsidR="000C2E8C">
        <w:t xml:space="preserve">Table </w:t>
      </w:r>
      <w:r w:rsidR="000C2E8C">
        <w:rPr>
          <w:noProof/>
        </w:rPr>
        <w:t>7</w:t>
      </w:r>
      <w:r w:rsidR="00EC454B">
        <w:fldChar w:fldCharType="end"/>
      </w:r>
      <w:r w:rsidR="00EC454B">
        <w:t xml:space="preserve">. </w:t>
      </w:r>
      <w:r w:rsidR="001C3FC0">
        <w:t>Younger males 19 to 24 years had the h</w:t>
      </w:r>
      <w:r w:rsidR="00BF4BFC">
        <w:t>ighe</w:t>
      </w:r>
      <w:r w:rsidR="001C3FC0">
        <w:t>st</w:t>
      </w:r>
      <w:r w:rsidR="00BF4BFC">
        <w:t xml:space="preserve"> </w:t>
      </w:r>
      <w:r w:rsidR="001C3FC0">
        <w:t xml:space="preserve">mean daily </w:t>
      </w:r>
      <w:r w:rsidR="00BF4BFC">
        <w:t>intakes</w:t>
      </w:r>
      <w:r w:rsidR="001C3FC0">
        <w:t xml:space="preserve">, </w:t>
      </w:r>
      <w:r w:rsidR="001D5760">
        <w:t xml:space="preserve">and </w:t>
      </w:r>
      <w:r w:rsidR="001C3FC0">
        <w:t xml:space="preserve">females aged 25 years </w:t>
      </w:r>
      <w:r w:rsidR="001D5760">
        <w:t>the lowest.</w:t>
      </w:r>
      <w:r w:rsidR="00BF4BFC">
        <w:t xml:space="preserve"> </w:t>
      </w:r>
    </w:p>
    <w:p w14:paraId="4E6A4256" w14:textId="728F1555" w:rsidR="00A55ECB" w:rsidRDefault="00A55ECB" w:rsidP="00A55ECB">
      <w:pPr>
        <w:pStyle w:val="Caption"/>
        <w:keepNext/>
        <w:spacing w:after="80"/>
      </w:pPr>
      <w:bookmarkStart w:id="38" w:name="_Ref228799375"/>
      <w:r>
        <w:t xml:space="preserve">Table </w:t>
      </w:r>
      <w:r>
        <w:fldChar w:fldCharType="begin"/>
      </w:r>
      <w:r>
        <w:instrText>SEQ Table \* ARABIC</w:instrText>
      </w:r>
      <w:r>
        <w:fldChar w:fldCharType="separate"/>
      </w:r>
      <w:r w:rsidR="00B90577">
        <w:rPr>
          <w:noProof/>
        </w:rPr>
        <w:t>7</w:t>
      </w:r>
      <w:r>
        <w:fldChar w:fldCharType="end"/>
      </w:r>
      <w:bookmarkEnd w:id="38"/>
      <w:r>
        <w:t xml:space="preserve"> - Modelled sodium i</w:t>
      </w:r>
      <w:r w:rsidRPr="00A32511">
        <w:t>ntake</w:t>
      </w:r>
      <w:r>
        <w:t xml:space="preserve"> in adults based on New Zealand food sampling and simulated diets. </w:t>
      </w:r>
      <w:r w:rsidRPr="00A32511">
        <w:t xml:space="preserve">Source: </w:t>
      </w:r>
      <w:r>
        <w:t xml:space="preserve">2016 NZTDS </w:t>
      </w:r>
      <w:r>
        <w:fldChar w:fldCharType="begin"/>
      </w:r>
      <w:r>
        <w:instrText xml:space="preserve"> ADDIN EN.CITE &lt;EndNote&gt;&lt;Cite&gt;&lt;Author&gt;New Zealand Food Safety&lt;/Author&gt;&lt;Year&gt;2018&lt;/Year&gt;&lt;RecNum&gt;4709&lt;/RecNum&gt;&lt;DisplayText&gt;(New Zealand Food Safety, 2018)&lt;/DisplayText&gt;&lt;record&gt;&lt;rec-number&gt;4709&lt;/rec-number&gt;&lt;foreign-keys&gt;&lt;key app="EN" db-id="wwsdv2wwp29fenerv0kx5tw9zxtx2fdrprx2" timestamp="1777866999"&gt;4709&lt;/key&gt;&lt;/foreign-keys&gt;&lt;ref-type name="Government Document"&gt;46&lt;/ref-type&gt;&lt;contributors&gt;&lt;authors&gt;&lt;author&gt;New Zealand Food Safety,&lt;/author&gt;&lt;/authors&gt;&lt;secondary-authors&gt;&lt;author&gt;Ministry for Primary Industries&lt;/author&gt;&lt;/secondary-authors&gt;&lt;/contributors&gt;&lt;titles&gt;&lt;title&gt;New Zealand Total Diet Study 2016&lt;/title&gt;&lt;/titles&gt;&lt;dates&gt;&lt;year&gt;2018&lt;/year&gt;&lt;/dates&gt;&lt;urls&gt;&lt;related-urls&gt;&lt;url&gt;https://www.mpi.govt.nz/dmsdocument/43663-2016-NZ-Total-Diet-Study-without-Appendices-report-&lt;/url&gt;&lt;/related-urls&gt;&lt;/urls&gt;&lt;access-date&gt;04/05/2026&lt;/access-date&gt;&lt;/record&gt;&lt;/Cite&gt;&lt;/EndNote&gt;</w:instrText>
      </w:r>
      <w:r>
        <w:fldChar w:fldCharType="separate"/>
      </w:r>
      <w:r>
        <w:rPr>
          <w:noProof/>
        </w:rPr>
        <w:t>(New Zealand Food Safety, 2018)</w:t>
      </w:r>
      <w:r>
        <w:fldChar w:fldCharType="end"/>
      </w:r>
    </w:p>
    <w:tbl>
      <w:tblPr>
        <w:tblStyle w:val="TableGrid"/>
        <w:tblW w:w="10065" w:type="dxa"/>
        <w:tblInd w:w="-289" w:type="dxa"/>
        <w:tblLook w:val="04A0" w:firstRow="1" w:lastRow="0" w:firstColumn="1" w:lastColumn="0" w:noHBand="0" w:noVBand="1"/>
      </w:tblPr>
      <w:tblGrid>
        <w:gridCol w:w="2836"/>
        <w:gridCol w:w="1276"/>
        <w:gridCol w:w="1615"/>
        <w:gridCol w:w="1446"/>
        <w:gridCol w:w="1446"/>
        <w:gridCol w:w="1446"/>
      </w:tblGrid>
      <w:tr w:rsidR="00A55ECB" w:rsidRPr="00B103C8" w14:paraId="262D4F2F" w14:textId="77777777" w:rsidTr="007759F1">
        <w:tc>
          <w:tcPr>
            <w:tcW w:w="2836" w:type="dxa"/>
            <w:shd w:val="clear" w:color="auto" w:fill="156082" w:themeFill="accent1"/>
            <w:vAlign w:val="center"/>
          </w:tcPr>
          <w:p w14:paraId="5D7FB86E" w14:textId="7C0880C9" w:rsidR="00A55ECB" w:rsidRDefault="00A55ECB">
            <w:pPr>
              <w:rPr>
                <w:b/>
                <w:bCs/>
                <w:color w:val="FFFFFF" w:themeColor="background1"/>
                <w:kern w:val="2"/>
                <w:sz w:val="20"/>
                <w:szCs w:val="20"/>
                <w14:ligatures w14:val="standardContextual"/>
              </w:rPr>
            </w:pPr>
            <w:r w:rsidRPr="00B103C8">
              <w:rPr>
                <w:b/>
                <w:bCs/>
                <w:color w:val="FFFFFF" w:themeColor="background1"/>
                <w:kern w:val="2"/>
                <w:sz w:val="20"/>
                <w:szCs w:val="20"/>
                <w14:ligatures w14:val="standardContextual"/>
              </w:rPr>
              <w:t>Measure</w:t>
            </w:r>
          </w:p>
          <w:p w14:paraId="07D32FFA" w14:textId="77777777" w:rsidR="00A55ECB" w:rsidRPr="00B103C8" w:rsidRDefault="00A55ECB">
            <w:pPr>
              <w:rPr>
                <w:b/>
                <w:bCs/>
                <w:color w:val="FFFFFF" w:themeColor="background1"/>
                <w:kern w:val="2"/>
                <w:sz w:val="20"/>
                <w:szCs w:val="20"/>
                <w14:ligatures w14:val="standardContextual"/>
              </w:rPr>
            </w:pPr>
          </w:p>
        </w:tc>
        <w:tc>
          <w:tcPr>
            <w:tcW w:w="1276" w:type="dxa"/>
            <w:shd w:val="clear" w:color="auto" w:fill="156082" w:themeFill="accent1"/>
            <w:vAlign w:val="center"/>
          </w:tcPr>
          <w:p w14:paraId="4BE43F65" w14:textId="77777777" w:rsidR="00A55ECB" w:rsidRDefault="00A55ECB">
            <w:pPr>
              <w:jc w:val="center"/>
              <w:rPr>
                <w:b/>
                <w:bCs/>
                <w:color w:val="FFFFFF" w:themeColor="background1"/>
                <w:kern w:val="2"/>
                <w:sz w:val="20"/>
                <w:szCs w:val="20"/>
                <w14:ligatures w14:val="standardContextual"/>
              </w:rPr>
            </w:pPr>
            <w:r w:rsidRPr="00B103C8">
              <w:rPr>
                <w:b/>
                <w:bCs/>
                <w:color w:val="FFFFFF" w:themeColor="background1"/>
                <w:kern w:val="2"/>
                <w:sz w:val="20"/>
                <w:szCs w:val="20"/>
                <w14:ligatures w14:val="standardContextual"/>
              </w:rPr>
              <w:t>Adult females</w:t>
            </w:r>
            <w:r>
              <w:rPr>
                <w:b/>
                <w:bCs/>
                <w:color w:val="FFFFFF" w:themeColor="background1"/>
                <w:kern w:val="2"/>
                <w:sz w:val="20"/>
                <w:szCs w:val="20"/>
                <w14:ligatures w14:val="standardContextual"/>
              </w:rPr>
              <w:t xml:space="preserve"> </w:t>
            </w:r>
          </w:p>
          <w:p w14:paraId="0E60DAAA" w14:textId="77777777" w:rsidR="00A55ECB" w:rsidRPr="00B103C8" w:rsidRDefault="00A55ECB">
            <w:pPr>
              <w:jc w:val="center"/>
              <w:rPr>
                <w:b/>
                <w:bCs/>
                <w:color w:val="FFFFFF" w:themeColor="background1"/>
                <w:kern w:val="2"/>
                <w:sz w:val="20"/>
                <w:szCs w:val="20"/>
                <w14:ligatures w14:val="standardContextual"/>
              </w:rPr>
            </w:pPr>
            <w:r>
              <w:rPr>
                <w:b/>
                <w:bCs/>
                <w:color w:val="FFFFFF" w:themeColor="background1"/>
                <w:kern w:val="2"/>
                <w:sz w:val="20"/>
                <w:szCs w:val="20"/>
                <w14:ligatures w14:val="standardContextual"/>
              </w:rPr>
              <w:t>25 yr +</w:t>
            </w:r>
          </w:p>
        </w:tc>
        <w:tc>
          <w:tcPr>
            <w:tcW w:w="1615" w:type="dxa"/>
            <w:shd w:val="clear" w:color="auto" w:fill="156082" w:themeFill="accent1"/>
            <w:vAlign w:val="center"/>
          </w:tcPr>
          <w:p w14:paraId="34B15E7C" w14:textId="77777777" w:rsidR="00A55ECB" w:rsidRDefault="00A55ECB">
            <w:pPr>
              <w:jc w:val="center"/>
              <w:rPr>
                <w:b/>
                <w:bCs/>
                <w:color w:val="FFFFFF" w:themeColor="background1"/>
                <w:kern w:val="2"/>
                <w:sz w:val="20"/>
                <w:szCs w:val="20"/>
                <w14:ligatures w14:val="standardContextual"/>
              </w:rPr>
            </w:pPr>
            <w:r w:rsidRPr="00B103C8">
              <w:rPr>
                <w:b/>
                <w:bCs/>
                <w:color w:val="FFFFFF" w:themeColor="background1"/>
                <w:kern w:val="2"/>
                <w:sz w:val="20"/>
                <w:szCs w:val="20"/>
                <w14:ligatures w14:val="standardContextual"/>
              </w:rPr>
              <w:t>Adult females of Pacific Island ethnicity</w:t>
            </w:r>
            <w:r>
              <w:rPr>
                <w:b/>
                <w:bCs/>
                <w:color w:val="FFFFFF" w:themeColor="background1"/>
                <w:kern w:val="2"/>
                <w:sz w:val="20"/>
                <w:szCs w:val="20"/>
                <w14:ligatures w14:val="standardContextual"/>
              </w:rPr>
              <w:t xml:space="preserve"> </w:t>
            </w:r>
          </w:p>
          <w:p w14:paraId="138293C4" w14:textId="77777777" w:rsidR="00A55ECB" w:rsidRPr="00B103C8" w:rsidRDefault="00A55ECB">
            <w:pPr>
              <w:jc w:val="center"/>
              <w:rPr>
                <w:b/>
                <w:bCs/>
                <w:color w:val="FFFFFF" w:themeColor="background1"/>
                <w:kern w:val="2"/>
                <w:sz w:val="20"/>
                <w:szCs w:val="20"/>
                <w14:ligatures w14:val="standardContextual"/>
              </w:rPr>
            </w:pPr>
            <w:r>
              <w:rPr>
                <w:b/>
                <w:bCs/>
                <w:color w:val="FFFFFF" w:themeColor="background1"/>
                <w:kern w:val="2"/>
                <w:sz w:val="20"/>
                <w:szCs w:val="20"/>
                <w14:ligatures w14:val="standardContextual"/>
              </w:rPr>
              <w:t>25 yr +</w:t>
            </w:r>
          </w:p>
        </w:tc>
        <w:tc>
          <w:tcPr>
            <w:tcW w:w="1446" w:type="dxa"/>
            <w:shd w:val="clear" w:color="auto" w:fill="156082" w:themeFill="accent1"/>
            <w:vAlign w:val="center"/>
          </w:tcPr>
          <w:p w14:paraId="136B7C14" w14:textId="77777777" w:rsidR="00A55ECB" w:rsidRDefault="00A55ECB">
            <w:pPr>
              <w:jc w:val="center"/>
              <w:rPr>
                <w:b/>
                <w:bCs/>
                <w:color w:val="FFFFFF" w:themeColor="background1"/>
                <w:kern w:val="2"/>
                <w:sz w:val="20"/>
                <w:szCs w:val="20"/>
                <w14:ligatures w14:val="standardContextual"/>
              </w:rPr>
            </w:pPr>
            <w:r w:rsidRPr="00B103C8">
              <w:rPr>
                <w:b/>
                <w:bCs/>
                <w:color w:val="FFFFFF" w:themeColor="background1"/>
                <w:kern w:val="2"/>
                <w:sz w:val="20"/>
                <w:szCs w:val="20"/>
                <w14:ligatures w14:val="standardContextual"/>
              </w:rPr>
              <w:t>Adult males</w:t>
            </w:r>
          </w:p>
          <w:p w14:paraId="1D83D5BF" w14:textId="77777777" w:rsidR="00A55ECB" w:rsidRPr="00B103C8" w:rsidRDefault="00A55ECB">
            <w:pPr>
              <w:jc w:val="center"/>
              <w:rPr>
                <w:b/>
                <w:bCs/>
                <w:color w:val="FFFFFF" w:themeColor="background1"/>
                <w:kern w:val="2"/>
                <w:sz w:val="20"/>
                <w:szCs w:val="20"/>
                <w14:ligatures w14:val="standardContextual"/>
              </w:rPr>
            </w:pPr>
            <w:r>
              <w:rPr>
                <w:b/>
                <w:bCs/>
                <w:color w:val="FFFFFF" w:themeColor="background1"/>
                <w:kern w:val="2"/>
                <w:sz w:val="20"/>
                <w:szCs w:val="20"/>
                <w14:ligatures w14:val="standardContextual"/>
              </w:rPr>
              <w:t>25 yr +</w:t>
            </w:r>
          </w:p>
        </w:tc>
        <w:tc>
          <w:tcPr>
            <w:tcW w:w="1446" w:type="dxa"/>
            <w:shd w:val="clear" w:color="auto" w:fill="156082" w:themeFill="accent1"/>
            <w:vAlign w:val="center"/>
          </w:tcPr>
          <w:p w14:paraId="65ABC8FE" w14:textId="77777777" w:rsidR="00A55ECB" w:rsidRDefault="00A55ECB">
            <w:pPr>
              <w:jc w:val="center"/>
              <w:rPr>
                <w:b/>
                <w:bCs/>
                <w:color w:val="FFFFFF" w:themeColor="background1"/>
                <w:kern w:val="2"/>
                <w:sz w:val="20"/>
                <w:szCs w:val="20"/>
                <w14:ligatures w14:val="standardContextual"/>
              </w:rPr>
            </w:pPr>
            <w:r w:rsidRPr="00B103C8">
              <w:rPr>
                <w:b/>
                <w:bCs/>
                <w:color w:val="FFFFFF" w:themeColor="background1"/>
                <w:kern w:val="2"/>
                <w:sz w:val="20"/>
                <w:szCs w:val="20"/>
                <w14:ligatures w14:val="standardContextual"/>
              </w:rPr>
              <w:t>Adult males of Pacific Island ethnicity</w:t>
            </w:r>
          </w:p>
          <w:p w14:paraId="0A4A927E" w14:textId="77777777" w:rsidR="00A55ECB" w:rsidRPr="00B103C8" w:rsidRDefault="00A55ECB">
            <w:pPr>
              <w:jc w:val="center"/>
              <w:rPr>
                <w:b/>
                <w:bCs/>
                <w:color w:val="FFFFFF" w:themeColor="background1"/>
                <w:kern w:val="2"/>
                <w:sz w:val="20"/>
                <w:szCs w:val="20"/>
                <w14:ligatures w14:val="standardContextual"/>
              </w:rPr>
            </w:pPr>
            <w:r>
              <w:rPr>
                <w:b/>
                <w:bCs/>
                <w:color w:val="FFFFFF" w:themeColor="background1"/>
                <w:kern w:val="2"/>
                <w:sz w:val="20"/>
                <w:szCs w:val="20"/>
                <w14:ligatures w14:val="standardContextual"/>
              </w:rPr>
              <w:t>25 yr +</w:t>
            </w:r>
          </w:p>
        </w:tc>
        <w:tc>
          <w:tcPr>
            <w:tcW w:w="1446" w:type="dxa"/>
            <w:shd w:val="clear" w:color="auto" w:fill="156082" w:themeFill="accent1"/>
            <w:vAlign w:val="center"/>
          </w:tcPr>
          <w:p w14:paraId="69E2938F" w14:textId="77777777" w:rsidR="00A55ECB" w:rsidRDefault="00A55ECB">
            <w:pPr>
              <w:jc w:val="center"/>
              <w:rPr>
                <w:b/>
                <w:bCs/>
                <w:color w:val="FFFFFF" w:themeColor="background1"/>
                <w:kern w:val="2"/>
                <w:sz w:val="20"/>
                <w:szCs w:val="20"/>
                <w14:ligatures w14:val="standardContextual"/>
              </w:rPr>
            </w:pPr>
            <w:r w:rsidRPr="00B103C8">
              <w:rPr>
                <w:b/>
                <w:bCs/>
                <w:color w:val="FFFFFF" w:themeColor="background1"/>
                <w:kern w:val="2"/>
                <w:sz w:val="20"/>
                <w:szCs w:val="20"/>
                <w14:ligatures w14:val="standardContextual"/>
              </w:rPr>
              <w:t>Young adult males</w:t>
            </w:r>
          </w:p>
          <w:p w14:paraId="3443C019" w14:textId="77777777" w:rsidR="00A55ECB" w:rsidRPr="00B103C8" w:rsidRDefault="00A55ECB">
            <w:pPr>
              <w:jc w:val="center"/>
              <w:rPr>
                <w:b/>
                <w:bCs/>
                <w:color w:val="FFFFFF" w:themeColor="background1"/>
                <w:kern w:val="2"/>
                <w:sz w:val="20"/>
                <w:szCs w:val="20"/>
                <w14:ligatures w14:val="standardContextual"/>
              </w:rPr>
            </w:pPr>
            <w:r>
              <w:rPr>
                <w:b/>
                <w:bCs/>
                <w:color w:val="FFFFFF" w:themeColor="background1"/>
                <w:kern w:val="2"/>
                <w:sz w:val="20"/>
                <w:szCs w:val="20"/>
                <w14:ligatures w14:val="standardContextual"/>
              </w:rPr>
              <w:t>19-24 yr</w:t>
            </w:r>
          </w:p>
        </w:tc>
      </w:tr>
      <w:tr w:rsidR="00A55ECB" w:rsidRPr="00B103C8" w14:paraId="1E237CC4" w14:textId="77777777" w:rsidTr="007759F1">
        <w:tc>
          <w:tcPr>
            <w:tcW w:w="2836" w:type="dxa"/>
            <w:vAlign w:val="center"/>
          </w:tcPr>
          <w:p w14:paraId="33437838" w14:textId="77777777" w:rsidR="00A55ECB" w:rsidRPr="00B103C8" w:rsidRDefault="00A55ECB">
            <w:pPr>
              <w:rPr>
                <w:sz w:val="20"/>
                <w:szCs w:val="20"/>
              </w:rPr>
            </w:pPr>
            <w:r w:rsidRPr="00B103C8">
              <w:rPr>
                <w:sz w:val="20"/>
                <w:szCs w:val="20"/>
              </w:rPr>
              <w:lastRenderedPageBreak/>
              <w:t>Daily intake</w:t>
            </w:r>
            <w:r>
              <w:rPr>
                <w:sz w:val="20"/>
                <w:szCs w:val="20"/>
              </w:rPr>
              <w:t xml:space="preserve"> - </w:t>
            </w:r>
            <w:r w:rsidRPr="00B103C8">
              <w:rPr>
                <w:sz w:val="20"/>
                <w:szCs w:val="20"/>
              </w:rPr>
              <w:t>mid bound</w:t>
            </w:r>
            <w:r>
              <w:rPr>
                <w:sz w:val="20"/>
                <w:szCs w:val="20"/>
              </w:rPr>
              <w:t xml:space="preserve"> (mg/day</w:t>
            </w:r>
            <w:r w:rsidRPr="00B103C8">
              <w:rPr>
                <w:sz w:val="20"/>
                <w:szCs w:val="20"/>
              </w:rPr>
              <w:t>)</w:t>
            </w:r>
          </w:p>
        </w:tc>
        <w:tc>
          <w:tcPr>
            <w:tcW w:w="1276" w:type="dxa"/>
            <w:vAlign w:val="center"/>
          </w:tcPr>
          <w:p w14:paraId="3E67D463" w14:textId="77777777" w:rsidR="00A55ECB" w:rsidRPr="00B103C8" w:rsidRDefault="00A55ECB">
            <w:pPr>
              <w:jc w:val="center"/>
              <w:rPr>
                <w:sz w:val="20"/>
                <w:szCs w:val="20"/>
              </w:rPr>
            </w:pPr>
            <w:r w:rsidRPr="00B103C8">
              <w:rPr>
                <w:sz w:val="20"/>
                <w:szCs w:val="20"/>
              </w:rPr>
              <w:t>2,068</w:t>
            </w:r>
          </w:p>
        </w:tc>
        <w:tc>
          <w:tcPr>
            <w:tcW w:w="1615" w:type="dxa"/>
            <w:vAlign w:val="center"/>
          </w:tcPr>
          <w:p w14:paraId="304B9DDA" w14:textId="77777777" w:rsidR="00A55ECB" w:rsidRPr="00B103C8" w:rsidRDefault="00A55ECB">
            <w:pPr>
              <w:jc w:val="center"/>
              <w:rPr>
                <w:sz w:val="20"/>
                <w:szCs w:val="20"/>
              </w:rPr>
            </w:pPr>
            <w:r w:rsidRPr="00B103C8">
              <w:rPr>
                <w:sz w:val="20"/>
                <w:szCs w:val="20"/>
              </w:rPr>
              <w:t>2,385</w:t>
            </w:r>
          </w:p>
        </w:tc>
        <w:tc>
          <w:tcPr>
            <w:tcW w:w="1446" w:type="dxa"/>
            <w:vAlign w:val="center"/>
          </w:tcPr>
          <w:p w14:paraId="5FF37D66" w14:textId="77777777" w:rsidR="00A55ECB" w:rsidRPr="00B103C8" w:rsidRDefault="00A55ECB">
            <w:pPr>
              <w:jc w:val="center"/>
              <w:rPr>
                <w:sz w:val="20"/>
                <w:szCs w:val="20"/>
              </w:rPr>
            </w:pPr>
            <w:r w:rsidRPr="00B103C8">
              <w:rPr>
                <w:sz w:val="20"/>
                <w:szCs w:val="20"/>
              </w:rPr>
              <w:t>2,899</w:t>
            </w:r>
          </w:p>
        </w:tc>
        <w:tc>
          <w:tcPr>
            <w:tcW w:w="1446" w:type="dxa"/>
            <w:vAlign w:val="center"/>
          </w:tcPr>
          <w:p w14:paraId="1B1E9DA7" w14:textId="77777777" w:rsidR="00A55ECB" w:rsidRPr="00B103C8" w:rsidRDefault="00A55ECB">
            <w:pPr>
              <w:jc w:val="center"/>
              <w:rPr>
                <w:sz w:val="20"/>
                <w:szCs w:val="20"/>
              </w:rPr>
            </w:pPr>
            <w:r w:rsidRPr="00B103C8">
              <w:rPr>
                <w:sz w:val="20"/>
                <w:szCs w:val="20"/>
              </w:rPr>
              <w:t>3,039</w:t>
            </w:r>
          </w:p>
        </w:tc>
        <w:tc>
          <w:tcPr>
            <w:tcW w:w="1446" w:type="dxa"/>
            <w:vAlign w:val="center"/>
          </w:tcPr>
          <w:p w14:paraId="0092E338" w14:textId="77777777" w:rsidR="00A55ECB" w:rsidRPr="00B103C8" w:rsidRDefault="00A55ECB">
            <w:pPr>
              <w:jc w:val="center"/>
              <w:rPr>
                <w:sz w:val="20"/>
                <w:szCs w:val="20"/>
              </w:rPr>
            </w:pPr>
            <w:r w:rsidRPr="00B103C8">
              <w:rPr>
                <w:sz w:val="20"/>
                <w:szCs w:val="20"/>
              </w:rPr>
              <w:t>3,470</w:t>
            </w:r>
          </w:p>
        </w:tc>
      </w:tr>
      <w:tr w:rsidR="00A55ECB" w:rsidRPr="00B103C8" w14:paraId="132C9A9F" w14:textId="77777777" w:rsidTr="007759F1">
        <w:tc>
          <w:tcPr>
            <w:tcW w:w="2836" w:type="dxa"/>
            <w:vAlign w:val="center"/>
          </w:tcPr>
          <w:p w14:paraId="52761F21" w14:textId="77777777" w:rsidR="00A55ECB" w:rsidRPr="00B103C8" w:rsidRDefault="00A55ECB">
            <w:pPr>
              <w:rPr>
                <w:sz w:val="20"/>
                <w:szCs w:val="20"/>
              </w:rPr>
            </w:pPr>
            <w:r w:rsidRPr="00B103C8">
              <w:rPr>
                <w:sz w:val="20"/>
                <w:szCs w:val="20"/>
              </w:rPr>
              <w:t>% of AI consumed daily</w:t>
            </w:r>
          </w:p>
        </w:tc>
        <w:tc>
          <w:tcPr>
            <w:tcW w:w="1276" w:type="dxa"/>
            <w:vAlign w:val="center"/>
          </w:tcPr>
          <w:p w14:paraId="1895159C" w14:textId="77777777" w:rsidR="00A55ECB" w:rsidRPr="00B103C8" w:rsidRDefault="00A55ECB">
            <w:pPr>
              <w:jc w:val="center"/>
              <w:rPr>
                <w:sz w:val="20"/>
                <w:szCs w:val="20"/>
              </w:rPr>
            </w:pPr>
            <w:r w:rsidRPr="00B103C8">
              <w:rPr>
                <w:sz w:val="20"/>
                <w:szCs w:val="20"/>
              </w:rPr>
              <w:t>225-450%</w:t>
            </w:r>
          </w:p>
        </w:tc>
        <w:tc>
          <w:tcPr>
            <w:tcW w:w="1615" w:type="dxa"/>
            <w:vAlign w:val="center"/>
          </w:tcPr>
          <w:p w14:paraId="2A6AD0F3" w14:textId="77777777" w:rsidR="00A55ECB" w:rsidRPr="00B103C8" w:rsidRDefault="00A55ECB">
            <w:pPr>
              <w:jc w:val="center"/>
              <w:rPr>
                <w:sz w:val="20"/>
                <w:szCs w:val="20"/>
              </w:rPr>
            </w:pPr>
            <w:r w:rsidRPr="00B103C8">
              <w:rPr>
                <w:sz w:val="20"/>
                <w:szCs w:val="20"/>
              </w:rPr>
              <w:t>259-518%</w:t>
            </w:r>
          </w:p>
        </w:tc>
        <w:tc>
          <w:tcPr>
            <w:tcW w:w="1446" w:type="dxa"/>
            <w:vAlign w:val="center"/>
          </w:tcPr>
          <w:p w14:paraId="5EDEB47F" w14:textId="77777777" w:rsidR="00A55ECB" w:rsidRPr="00B103C8" w:rsidRDefault="00A55ECB">
            <w:pPr>
              <w:jc w:val="center"/>
              <w:rPr>
                <w:sz w:val="20"/>
                <w:szCs w:val="20"/>
              </w:rPr>
            </w:pPr>
            <w:r w:rsidRPr="00B103C8">
              <w:rPr>
                <w:sz w:val="20"/>
                <w:szCs w:val="20"/>
              </w:rPr>
              <w:t>315-630%</w:t>
            </w:r>
          </w:p>
        </w:tc>
        <w:tc>
          <w:tcPr>
            <w:tcW w:w="1446" w:type="dxa"/>
            <w:vAlign w:val="center"/>
          </w:tcPr>
          <w:p w14:paraId="20BF4B26" w14:textId="77777777" w:rsidR="00A55ECB" w:rsidRPr="00B103C8" w:rsidRDefault="00A55ECB">
            <w:pPr>
              <w:jc w:val="center"/>
              <w:rPr>
                <w:sz w:val="20"/>
                <w:szCs w:val="20"/>
              </w:rPr>
            </w:pPr>
            <w:r w:rsidRPr="00B103C8">
              <w:rPr>
                <w:sz w:val="20"/>
                <w:szCs w:val="20"/>
              </w:rPr>
              <w:t>330-661%</w:t>
            </w:r>
          </w:p>
        </w:tc>
        <w:tc>
          <w:tcPr>
            <w:tcW w:w="1446" w:type="dxa"/>
            <w:vAlign w:val="center"/>
          </w:tcPr>
          <w:p w14:paraId="65B2B091" w14:textId="77777777" w:rsidR="00A55ECB" w:rsidRPr="00B103C8" w:rsidRDefault="00A55ECB">
            <w:pPr>
              <w:jc w:val="center"/>
              <w:rPr>
                <w:sz w:val="20"/>
                <w:szCs w:val="20"/>
              </w:rPr>
            </w:pPr>
            <w:r w:rsidRPr="00B103C8">
              <w:rPr>
                <w:sz w:val="20"/>
                <w:szCs w:val="20"/>
              </w:rPr>
              <w:t>377-754%</w:t>
            </w:r>
          </w:p>
        </w:tc>
      </w:tr>
      <w:tr w:rsidR="00A55ECB" w:rsidRPr="00B103C8" w14:paraId="0E8C0C8E" w14:textId="77777777" w:rsidTr="007759F1">
        <w:tc>
          <w:tcPr>
            <w:tcW w:w="2836" w:type="dxa"/>
            <w:vAlign w:val="center"/>
          </w:tcPr>
          <w:p w14:paraId="3134877A" w14:textId="77777777" w:rsidR="00A55ECB" w:rsidRPr="00B103C8" w:rsidRDefault="00A55ECB">
            <w:pPr>
              <w:rPr>
                <w:sz w:val="20"/>
                <w:szCs w:val="20"/>
              </w:rPr>
            </w:pPr>
            <w:r w:rsidRPr="00B103C8">
              <w:rPr>
                <w:sz w:val="20"/>
                <w:szCs w:val="20"/>
              </w:rPr>
              <w:t>% of SDT (2017) consumed</w:t>
            </w:r>
          </w:p>
        </w:tc>
        <w:tc>
          <w:tcPr>
            <w:tcW w:w="1276" w:type="dxa"/>
            <w:vAlign w:val="center"/>
          </w:tcPr>
          <w:p w14:paraId="473E1243" w14:textId="77777777" w:rsidR="00A55ECB" w:rsidRPr="00B103C8" w:rsidRDefault="00A55ECB">
            <w:pPr>
              <w:jc w:val="center"/>
              <w:rPr>
                <w:sz w:val="20"/>
                <w:szCs w:val="20"/>
              </w:rPr>
            </w:pPr>
            <w:r w:rsidRPr="00B103C8">
              <w:rPr>
                <w:sz w:val="20"/>
                <w:szCs w:val="20"/>
              </w:rPr>
              <w:t>103%</w:t>
            </w:r>
          </w:p>
        </w:tc>
        <w:tc>
          <w:tcPr>
            <w:tcW w:w="1615" w:type="dxa"/>
            <w:vAlign w:val="center"/>
          </w:tcPr>
          <w:p w14:paraId="334F5DFF" w14:textId="77777777" w:rsidR="00A55ECB" w:rsidRPr="00B103C8" w:rsidRDefault="00A55ECB">
            <w:pPr>
              <w:jc w:val="center"/>
              <w:rPr>
                <w:sz w:val="20"/>
                <w:szCs w:val="20"/>
              </w:rPr>
            </w:pPr>
            <w:r w:rsidRPr="00B103C8">
              <w:rPr>
                <w:sz w:val="20"/>
                <w:szCs w:val="20"/>
              </w:rPr>
              <w:t>119%</w:t>
            </w:r>
          </w:p>
        </w:tc>
        <w:tc>
          <w:tcPr>
            <w:tcW w:w="1446" w:type="dxa"/>
            <w:vAlign w:val="center"/>
          </w:tcPr>
          <w:p w14:paraId="06D5C852" w14:textId="77777777" w:rsidR="00A55ECB" w:rsidRPr="00B103C8" w:rsidRDefault="00A55ECB">
            <w:pPr>
              <w:jc w:val="center"/>
              <w:rPr>
                <w:sz w:val="20"/>
                <w:szCs w:val="20"/>
              </w:rPr>
            </w:pPr>
            <w:r w:rsidRPr="00B103C8">
              <w:rPr>
                <w:sz w:val="20"/>
                <w:szCs w:val="20"/>
              </w:rPr>
              <w:t>145%</w:t>
            </w:r>
          </w:p>
        </w:tc>
        <w:tc>
          <w:tcPr>
            <w:tcW w:w="1446" w:type="dxa"/>
            <w:vAlign w:val="center"/>
          </w:tcPr>
          <w:p w14:paraId="5272AC9B" w14:textId="77777777" w:rsidR="00A55ECB" w:rsidRPr="00B103C8" w:rsidRDefault="00A55ECB">
            <w:pPr>
              <w:jc w:val="center"/>
              <w:rPr>
                <w:sz w:val="20"/>
                <w:szCs w:val="20"/>
              </w:rPr>
            </w:pPr>
            <w:r w:rsidRPr="00B103C8">
              <w:rPr>
                <w:sz w:val="20"/>
                <w:szCs w:val="20"/>
              </w:rPr>
              <w:t>152%</w:t>
            </w:r>
          </w:p>
        </w:tc>
        <w:tc>
          <w:tcPr>
            <w:tcW w:w="1446" w:type="dxa"/>
            <w:vAlign w:val="center"/>
          </w:tcPr>
          <w:p w14:paraId="1454A6B4" w14:textId="77777777" w:rsidR="00A55ECB" w:rsidRPr="00B103C8" w:rsidRDefault="00A55ECB">
            <w:pPr>
              <w:jc w:val="center"/>
              <w:rPr>
                <w:sz w:val="20"/>
                <w:szCs w:val="20"/>
              </w:rPr>
            </w:pPr>
            <w:r w:rsidRPr="00B103C8">
              <w:rPr>
                <w:sz w:val="20"/>
                <w:szCs w:val="20"/>
              </w:rPr>
              <w:t>174%</w:t>
            </w:r>
          </w:p>
        </w:tc>
      </w:tr>
      <w:tr w:rsidR="00A55ECB" w:rsidRPr="00B103C8" w14:paraId="6D49AD77" w14:textId="77777777" w:rsidTr="007759F1">
        <w:tc>
          <w:tcPr>
            <w:tcW w:w="2836" w:type="dxa"/>
            <w:vAlign w:val="center"/>
          </w:tcPr>
          <w:p w14:paraId="2DCA49CD" w14:textId="77777777" w:rsidR="00A55ECB" w:rsidRPr="00B103C8" w:rsidRDefault="00A55ECB">
            <w:pPr>
              <w:rPr>
                <w:sz w:val="20"/>
                <w:szCs w:val="20"/>
              </w:rPr>
            </w:pPr>
            <w:r w:rsidRPr="00B103C8">
              <w:rPr>
                <w:sz w:val="20"/>
                <w:szCs w:val="20"/>
              </w:rPr>
              <w:t>% of UL (pre-2017) consumed</w:t>
            </w:r>
          </w:p>
        </w:tc>
        <w:tc>
          <w:tcPr>
            <w:tcW w:w="1276" w:type="dxa"/>
            <w:vAlign w:val="center"/>
          </w:tcPr>
          <w:p w14:paraId="447E0960" w14:textId="77777777" w:rsidR="00A55ECB" w:rsidRPr="00B103C8" w:rsidRDefault="00A55ECB">
            <w:pPr>
              <w:jc w:val="center"/>
              <w:rPr>
                <w:sz w:val="20"/>
                <w:szCs w:val="20"/>
              </w:rPr>
            </w:pPr>
            <w:r w:rsidRPr="00B103C8">
              <w:rPr>
                <w:sz w:val="20"/>
                <w:szCs w:val="20"/>
              </w:rPr>
              <w:t>90%</w:t>
            </w:r>
          </w:p>
        </w:tc>
        <w:tc>
          <w:tcPr>
            <w:tcW w:w="1615" w:type="dxa"/>
            <w:vAlign w:val="center"/>
          </w:tcPr>
          <w:p w14:paraId="323A81CA" w14:textId="77777777" w:rsidR="00A55ECB" w:rsidRPr="00B103C8" w:rsidRDefault="00A55ECB">
            <w:pPr>
              <w:jc w:val="center"/>
              <w:rPr>
                <w:sz w:val="20"/>
                <w:szCs w:val="20"/>
              </w:rPr>
            </w:pPr>
            <w:r w:rsidRPr="00B103C8">
              <w:rPr>
                <w:sz w:val="20"/>
                <w:szCs w:val="20"/>
              </w:rPr>
              <w:t>104%</w:t>
            </w:r>
          </w:p>
        </w:tc>
        <w:tc>
          <w:tcPr>
            <w:tcW w:w="1446" w:type="dxa"/>
            <w:vAlign w:val="center"/>
          </w:tcPr>
          <w:p w14:paraId="0991FB07" w14:textId="77777777" w:rsidR="00A55ECB" w:rsidRPr="00B103C8" w:rsidRDefault="00A55ECB">
            <w:pPr>
              <w:jc w:val="center"/>
              <w:rPr>
                <w:sz w:val="20"/>
                <w:szCs w:val="20"/>
              </w:rPr>
            </w:pPr>
            <w:r w:rsidRPr="00B103C8">
              <w:rPr>
                <w:sz w:val="20"/>
                <w:szCs w:val="20"/>
              </w:rPr>
              <w:t>126%</w:t>
            </w:r>
          </w:p>
        </w:tc>
        <w:tc>
          <w:tcPr>
            <w:tcW w:w="1446" w:type="dxa"/>
            <w:vAlign w:val="center"/>
          </w:tcPr>
          <w:p w14:paraId="4057EA73" w14:textId="77777777" w:rsidR="00A55ECB" w:rsidRPr="00B103C8" w:rsidRDefault="00A55ECB">
            <w:pPr>
              <w:jc w:val="center"/>
              <w:rPr>
                <w:sz w:val="20"/>
                <w:szCs w:val="20"/>
              </w:rPr>
            </w:pPr>
            <w:r w:rsidRPr="00B103C8">
              <w:rPr>
                <w:sz w:val="20"/>
                <w:szCs w:val="20"/>
              </w:rPr>
              <w:t>132%</w:t>
            </w:r>
          </w:p>
        </w:tc>
        <w:tc>
          <w:tcPr>
            <w:tcW w:w="1446" w:type="dxa"/>
            <w:vAlign w:val="center"/>
          </w:tcPr>
          <w:p w14:paraId="07CA0C62" w14:textId="77777777" w:rsidR="00A55ECB" w:rsidRPr="00B103C8" w:rsidRDefault="00A55ECB">
            <w:pPr>
              <w:jc w:val="center"/>
              <w:rPr>
                <w:sz w:val="20"/>
                <w:szCs w:val="20"/>
              </w:rPr>
            </w:pPr>
            <w:r w:rsidRPr="00B103C8">
              <w:rPr>
                <w:sz w:val="20"/>
                <w:szCs w:val="20"/>
              </w:rPr>
              <w:t>151%</w:t>
            </w:r>
          </w:p>
        </w:tc>
      </w:tr>
    </w:tbl>
    <w:p w14:paraId="2A8B1034" w14:textId="77777777" w:rsidR="00A55ECB" w:rsidRDefault="00A55ECB" w:rsidP="005D41BE">
      <w:pPr>
        <w:spacing w:line="276" w:lineRule="auto"/>
      </w:pPr>
    </w:p>
    <w:p w14:paraId="38EFD08C" w14:textId="31C7B639" w:rsidR="00BB120E" w:rsidRPr="005970D4" w:rsidRDefault="00CD3EFA" w:rsidP="00991CF8">
      <w:r>
        <w:t xml:space="preserve">In the absence of national data, </w:t>
      </w:r>
      <w:r w:rsidR="00D14416">
        <w:t xml:space="preserve">studies </w:t>
      </w:r>
      <w:r w:rsidR="006B595D">
        <w:t xml:space="preserve">reporting 24-hour urinary sodium measures </w:t>
      </w:r>
      <w:r w:rsidR="00D14416">
        <w:t>among a convenience sample of New Zealand adults may be informative</w:t>
      </w:r>
      <w:r w:rsidR="00DD5D0F">
        <w:t xml:space="preserve">. </w:t>
      </w:r>
      <w:r w:rsidR="00D55939">
        <w:t xml:space="preserve">One 2011 study in 98 New Zealand adults reported mean urinary sodium of </w:t>
      </w:r>
      <w:r w:rsidR="007C7DC4">
        <w:t>3,459</w:t>
      </w:r>
      <w:r w:rsidR="00D55939">
        <w:t> </w:t>
      </w:r>
      <w:r w:rsidR="007C7DC4">
        <w:t xml:space="preserve">mg/day </w:t>
      </w:r>
      <w:r w:rsidR="001C7337">
        <w:fldChar w:fldCharType="begin"/>
      </w:r>
      <w:r w:rsidR="001C7337">
        <w:instrText xml:space="preserve"> ADDIN EN.CITE &lt;EndNote&gt;&lt;Cite&gt;&lt;Author&gt;McLean&lt;/Author&gt;&lt;Year&gt;2014&lt;/Year&gt;&lt;RecNum&gt;4691&lt;/RecNum&gt;&lt;DisplayText&gt;(McLean et al., 2014)&lt;/DisplayText&gt;&lt;record&gt;&lt;rec-number&gt;4691&lt;/rec-number&gt;&lt;foreign-keys&gt;&lt;key app="EN" db-id="wwsdv2wwp29fenerv0kx5tw9zxtx2fdrprx2" timestamp="1776133311"&gt;4691&lt;/key&gt;&lt;/foreign-keys&gt;&lt;ref-type name="Journal Article"&gt;17&lt;/ref-type&gt;&lt;contributors&gt;&lt;authors&gt;&lt;author&gt;McLean, R.&lt;/author&gt;&lt;author&gt;Williams, S.&lt;/author&gt;&lt;author&gt;Mann, J.&lt;/author&gt;&lt;/authors&gt;&lt;/contributors&gt;&lt;titles&gt;&lt;title&gt;Monitoring population sodium intake using spot urine samples: validation in a New Zealand population&lt;/title&gt;&lt;secondary-title&gt;Journal of Human Hypertension&lt;/secondary-title&gt;&lt;/titles&gt;&lt;periodical&gt;&lt;full-title&gt;Journal of human hypertension&lt;/full-title&gt;&lt;/periodical&gt;&lt;pages&gt;657-662&lt;/pages&gt;&lt;volume&gt;28&lt;/volume&gt;&lt;number&gt;11&lt;/number&gt;&lt;dates&gt;&lt;year&gt;2014&lt;/year&gt;&lt;pub-dates&gt;&lt;date&gt;2014/11/01&lt;/date&gt;&lt;/pub-dates&gt;&lt;/dates&gt;&lt;isbn&gt;1476-5527&lt;/isbn&gt;&lt;urls&gt;&lt;related-urls&gt;&lt;url&gt;https://doi.org/10.1038/jhh.2014.10&lt;/url&gt;&lt;/related-urls&gt;&lt;/urls&gt;&lt;electronic-resource-num&gt;10.1038/jhh.2014.10&lt;/electronic-resource-num&gt;&lt;/record&gt;&lt;/Cite&gt;&lt;/EndNote&gt;</w:instrText>
      </w:r>
      <w:r w:rsidR="001C7337">
        <w:fldChar w:fldCharType="separate"/>
      </w:r>
      <w:r w:rsidR="001C7337">
        <w:rPr>
          <w:noProof/>
        </w:rPr>
        <w:t>(McLean et al., 2014)</w:t>
      </w:r>
      <w:r w:rsidR="001C7337">
        <w:fldChar w:fldCharType="end"/>
      </w:r>
      <w:r w:rsidR="00D55939">
        <w:t xml:space="preserve">. Similarly, in 2012 a study in a sample of 299 adults aged 18 to 64 years reported mean urinary sodium of </w:t>
      </w:r>
      <w:r w:rsidR="007C32B6" w:rsidRPr="005970D4">
        <w:t>3,386 mg/day (</w:t>
      </w:r>
      <w:r w:rsidR="001C7337">
        <w:t>N=299</w:t>
      </w:r>
      <w:r w:rsidR="007C32B6" w:rsidRPr="005970D4">
        <w:t>)</w:t>
      </w:r>
      <w:r w:rsidR="007B5647">
        <w:t xml:space="preserve">, with 77% of participant with intakes above 2,300 mg/day </w:t>
      </w:r>
      <w:r w:rsidR="003B438D">
        <w:fldChar w:fldCharType="begin">
          <w:fldData xml:space="preserve">PEVuZE5vdGU+PENpdGU+PEF1dGhvcj5NY0xlYW48L0F1dGhvcj48WWVhcj4yMDE1PC9ZZWFyPjxS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</w:fldData>
        </w:fldChar>
      </w:r>
      <w:r w:rsidR="003B438D">
        <w:instrText xml:space="preserve"> ADDIN EN.CITE </w:instrText>
      </w:r>
      <w:r w:rsidR="003B438D">
        <w:fldChar w:fldCharType="begin">
          <w:fldData xml:space="preserve">PEVuZE5vdGU+PENpdGU+PEF1dGhvcj5NY0xlYW48L0F1dGhvcj48WWVhcj4yMDE1PC9ZZWFyPjxS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</w:fldData>
        </w:fldChar>
      </w:r>
      <w:r w:rsidR="003B438D">
        <w:instrText xml:space="preserve"> ADDIN EN.CITE.DATA </w:instrText>
      </w:r>
      <w:r w:rsidR="003B438D">
        <w:fldChar w:fldCharType="end"/>
      </w:r>
      <w:r w:rsidR="003B438D">
        <w:fldChar w:fldCharType="separate"/>
      </w:r>
      <w:r w:rsidR="003B438D">
        <w:rPr>
          <w:noProof/>
        </w:rPr>
        <w:t>(McLean et al., 2015)</w:t>
      </w:r>
      <w:r w:rsidR="003B438D">
        <w:fldChar w:fldCharType="end"/>
      </w:r>
      <w:r w:rsidR="005970D4">
        <w:t>.</w:t>
      </w:r>
      <w:r w:rsidR="00E37F1D">
        <w:t xml:space="preserve"> </w:t>
      </w:r>
      <w:r w:rsidR="0003414F">
        <w:t xml:space="preserve">More recently, </w:t>
      </w:r>
      <w:r w:rsidR="0078005C">
        <w:t>a study conducted in</w:t>
      </w:r>
      <w:r w:rsidR="00306276">
        <w:t xml:space="preserve"> 109 adults</w:t>
      </w:r>
      <w:r w:rsidR="008073F3">
        <w:t xml:space="preserve"> aged 18 to 40 years </w:t>
      </w:r>
      <w:r w:rsidR="00306276">
        <w:t>from Dunedin in</w:t>
      </w:r>
      <w:r w:rsidR="0078005C">
        <w:t xml:space="preserve"> </w:t>
      </w:r>
      <w:r w:rsidR="0003414F" w:rsidRPr="0003414F">
        <w:t xml:space="preserve">2020-21 </w:t>
      </w:r>
      <w:r w:rsidR="00306276">
        <w:t xml:space="preserve">measured median urinary sodium at </w:t>
      </w:r>
      <w:r w:rsidR="0003414F" w:rsidRPr="0003414F">
        <w:t>3,222 mg/day</w:t>
      </w:r>
      <w:r w:rsidR="00306276">
        <w:t xml:space="preserve"> </w:t>
      </w:r>
      <w:r w:rsidR="00306276">
        <w:fldChar w:fldCharType="begin"/>
      </w:r>
      <w:r w:rsidR="00306276">
        <w:instrText xml:space="preserve"> ADDIN EN.CITE &lt;EndNote&gt;&lt;Cite&gt;&lt;Author&gt;Wang&lt;/Author&gt;&lt;Year&gt;2023&lt;/Year&gt;&lt;RecNum&gt;4693&lt;/RecNum&gt;&lt;DisplayText&gt;(Wang et al., 2023)&lt;/DisplayText&gt;&lt;record&gt;&lt;rec-number&gt;4693&lt;/rec-number&gt;&lt;foreign-keys&gt;&lt;key app="EN" db-id="wwsdv2wwp29fenerv0kx5tw9zxtx2fdrprx2" timestamp="1776134212"&gt;4693&lt;/key&gt;&lt;/foreign-keys&gt;&lt;ref-type name="Journal Article"&gt;17&lt;/ref-type&gt;&lt;contributors&gt;&lt;authors&gt;&lt;author&gt;Wang,Nan Xin&lt;/author&gt;&lt;author&gt;McLean,Rachael M.&lt;/author&gt;&lt;author&gt;Cameron,Claire&lt;/author&gt;&lt;author&gt;Skeaff,Sheila A.&lt;/author&gt;&lt;/authors&gt;&lt;/contributors&gt;&lt;titles&gt;&lt;title&gt;The quantification of sodium intake from discretionary salt intake in New Zealand using the lithium-tagged salt method&lt;/title&gt;&lt;secondary-title&gt;Frontiers in Nutrition&lt;/secondary-title&gt;&lt;short-title&gt;Discretionary salt in New Zealand&lt;/short-title&gt;&lt;/titles&gt;&lt;periodical&gt;&lt;full-title&gt;Frontiers in nutrition&lt;/full-title&gt;&lt;/periodical&gt;&lt;volume&gt;Volume 9 - 2022&lt;/volume&gt;&lt;keywords&gt;&lt;keyword&gt;Sodium,salt,Discretionary salt,New Zealand,24-hour urine,lithium-tagged salt&lt;/keyword&gt;&lt;/keywords&gt;&lt;dates&gt;&lt;year&gt;2023&lt;/year&gt;&lt;pub-dates&gt;&lt;date&gt;2023-January-19&lt;/date&gt;&lt;/pub-dates&gt;&lt;/dates&gt;&lt;isbn&gt;2296-861X&lt;/isbn&gt;&lt;work-type&gt;Original Research&lt;/work-type&gt;&lt;urls&gt;&lt;related-urls&gt;&lt;url&gt;https://www.frontiersin.org/journals/nutrition/articles/10.3389/fnut.2022.1065710&lt;/url&gt;&lt;/related-urls&gt;&lt;/urls&gt;&lt;electronic-resource-num&gt;10.3389/fnut.2022.1065710&lt;/electronic-resource-num&gt;&lt;language&gt;English&lt;/language&gt;&lt;/record&gt;&lt;/Cite&gt;&lt;/EndNote&gt;</w:instrText>
      </w:r>
      <w:r w:rsidR="00306276">
        <w:fldChar w:fldCharType="separate"/>
      </w:r>
      <w:r w:rsidR="00306276">
        <w:rPr>
          <w:noProof/>
        </w:rPr>
        <w:t>(Wang et al., 2023)</w:t>
      </w:r>
      <w:r w:rsidR="00306276">
        <w:fldChar w:fldCharType="end"/>
      </w:r>
      <w:r w:rsidR="000D6FD0">
        <w:t>. A</w:t>
      </w:r>
      <w:r w:rsidR="00E37F1D">
        <w:t xml:space="preserve">lthough not from a nationally representative sample, these findings suggest that the 2016 NZTDS </w:t>
      </w:r>
      <w:r w:rsidR="008A0CA4">
        <w:t xml:space="preserve">data </w:t>
      </w:r>
      <w:r w:rsidR="00E37F1D">
        <w:t xml:space="preserve">may </w:t>
      </w:r>
      <w:r w:rsidR="008A0CA4">
        <w:t>under-estimate intake</w:t>
      </w:r>
      <w:r w:rsidR="00E37F1D">
        <w:t>.</w:t>
      </w:r>
    </w:p>
    <w:p w14:paraId="06EA4FD8" w14:textId="77777777" w:rsidR="003C585A" w:rsidRPr="000331EA" w:rsidRDefault="003C585A" w:rsidP="003C585A">
      <w:pPr>
        <w:pStyle w:val="Heading4"/>
        <w:spacing w:line="360" w:lineRule="auto"/>
      </w:pPr>
      <w:r>
        <w:t>Pregnancy and lactation</w:t>
      </w:r>
    </w:p>
    <w:p w14:paraId="6605B6A2" w14:textId="3650AFCC" w:rsidR="003C585A" w:rsidRDefault="007E7202" w:rsidP="005D41BE">
      <w:pPr>
        <w:spacing w:line="276" w:lineRule="auto"/>
        <w:rPr>
          <w:highlight w:val="lightGray"/>
        </w:rPr>
      </w:pPr>
      <w:r w:rsidRPr="00614EA4">
        <w:t xml:space="preserve">No data were identified in pregnant or lactating </w:t>
      </w:r>
      <w:r>
        <w:t>New Zealand</w:t>
      </w:r>
      <w:r w:rsidRPr="00614EA4">
        <w:t xml:space="preserve"> populations.</w:t>
      </w:r>
    </w:p>
    <w:p w14:paraId="043C424B" w14:textId="77777777" w:rsidR="003C585A" w:rsidRPr="000331EA" w:rsidRDefault="003C585A" w:rsidP="003C585A">
      <w:pPr>
        <w:pStyle w:val="Heading4"/>
        <w:spacing w:line="360" w:lineRule="auto"/>
      </w:pPr>
      <w:r>
        <w:t>Children and adolescents</w:t>
      </w:r>
    </w:p>
    <w:p w14:paraId="5CDFCD32" w14:textId="56A80D88" w:rsidR="00017C2F" w:rsidRDefault="009E1524" w:rsidP="005D41BE">
      <w:pPr>
        <w:spacing w:line="276" w:lineRule="auto"/>
        <w:rPr>
          <w:highlight w:val="yellow"/>
        </w:rPr>
      </w:pPr>
      <w:r w:rsidRPr="008D51B3">
        <w:t xml:space="preserve">The 2016 </w:t>
      </w:r>
      <w:r w:rsidR="0031315D" w:rsidRPr="008D51B3">
        <w:t>NZ TDS modelled intakes for</w:t>
      </w:r>
      <w:r w:rsidR="00B761E5">
        <w:t xml:space="preserve"> children aged 1 to 3 years, </w:t>
      </w:r>
      <w:r w:rsidR="0031315D" w:rsidRPr="008D51B3">
        <w:t>5</w:t>
      </w:r>
      <w:r w:rsidRPr="008D51B3">
        <w:t xml:space="preserve"> to </w:t>
      </w:r>
      <w:r w:rsidR="0031315D" w:rsidRPr="008D51B3">
        <w:t>6 year</w:t>
      </w:r>
      <w:r w:rsidR="00B761E5">
        <w:t>s,</w:t>
      </w:r>
      <w:r w:rsidR="0031315D" w:rsidRPr="008D51B3">
        <w:t xml:space="preserve"> and 11</w:t>
      </w:r>
      <w:r w:rsidRPr="008D51B3">
        <w:t xml:space="preserve"> to </w:t>
      </w:r>
      <w:r w:rsidR="0031315D" w:rsidRPr="008D51B3">
        <w:t>14 year</w:t>
      </w:r>
      <w:r w:rsidR="00B761E5">
        <w:t>s</w:t>
      </w:r>
      <w:r w:rsidR="008D51B3" w:rsidRPr="008D51B3">
        <w:t xml:space="preserve">, as shown in </w:t>
      </w:r>
      <w:r w:rsidR="008D51B3" w:rsidRPr="008D51B3">
        <w:fldChar w:fldCharType="begin"/>
      </w:r>
      <w:r w:rsidR="008D51B3" w:rsidRPr="008D51B3">
        <w:instrText xml:space="preserve"> REF _Ref230876422 \h </w:instrText>
      </w:r>
      <w:r w:rsidR="008D51B3">
        <w:instrText xml:space="preserve"> \* MERGEFORMAT </w:instrText>
      </w:r>
      <w:r w:rsidR="008D51B3" w:rsidRPr="008D51B3">
        <w:fldChar w:fldCharType="separate"/>
      </w:r>
      <w:r w:rsidR="000C2E8C">
        <w:t xml:space="preserve">Table </w:t>
      </w:r>
      <w:r w:rsidR="000C2E8C">
        <w:rPr>
          <w:noProof/>
        </w:rPr>
        <w:t>8</w:t>
      </w:r>
      <w:r w:rsidR="008D51B3" w:rsidRPr="008D51B3">
        <w:fldChar w:fldCharType="end"/>
      </w:r>
      <w:r w:rsidR="000C7322" w:rsidRPr="008D51B3">
        <w:t>. Although</w:t>
      </w:r>
      <w:r w:rsidR="000C7322" w:rsidRPr="0036796D">
        <w:t xml:space="preserve"> </w:t>
      </w:r>
      <w:r w:rsidR="008D51B3">
        <w:t xml:space="preserve">these </w:t>
      </w:r>
      <w:r w:rsidR="000C7322" w:rsidRPr="0036796D">
        <w:t xml:space="preserve">estimates are based on simulated diets and food composition sampling, they </w:t>
      </w:r>
      <w:r w:rsidR="008A322D" w:rsidRPr="0036796D">
        <w:t xml:space="preserve">align well with </w:t>
      </w:r>
      <w:r w:rsidR="00F12649">
        <w:t xml:space="preserve">the limited </w:t>
      </w:r>
      <w:r w:rsidR="008A322D" w:rsidRPr="0036796D">
        <w:t>available data</w:t>
      </w:r>
      <w:r w:rsidR="0036796D">
        <w:t xml:space="preserve"> from 24-hour urine sampling</w:t>
      </w:r>
      <w:r w:rsidR="008A322D" w:rsidRPr="0036796D">
        <w:t xml:space="preserve">. </w:t>
      </w:r>
      <w:r w:rsidR="0031315D" w:rsidRPr="0036796D">
        <w:t>A</w:t>
      </w:r>
      <w:r w:rsidR="0031315D" w:rsidRPr="0071787C">
        <w:t xml:space="preserve"> </w:t>
      </w:r>
      <w:r w:rsidR="00A530AE" w:rsidRPr="0071787C">
        <w:t xml:space="preserve">2022 study </w:t>
      </w:r>
      <w:r w:rsidR="00570FD0" w:rsidRPr="0071787C">
        <w:t>in school children aged</w:t>
      </w:r>
      <w:r w:rsidR="000C2E8C">
        <w:t> </w:t>
      </w:r>
      <w:r w:rsidR="00570FD0" w:rsidRPr="0071787C">
        <w:t xml:space="preserve">8 to 13 years reported that mean (SD) </w:t>
      </w:r>
      <w:r w:rsidR="008721E3" w:rsidRPr="0071787C">
        <w:t xml:space="preserve">24-hour sodium excretion </w:t>
      </w:r>
      <w:r w:rsidR="00570FD0" w:rsidRPr="0071787C">
        <w:t xml:space="preserve">was </w:t>
      </w:r>
      <w:r w:rsidR="008721E3" w:rsidRPr="0071787C">
        <w:t>2,420 (1,025)</w:t>
      </w:r>
      <w:r w:rsidR="007A1E60" w:rsidRPr="0071787C">
        <w:t xml:space="preserve"> </w:t>
      </w:r>
      <w:r w:rsidR="00780C34" w:rsidRPr="0071787C">
        <w:fldChar w:fldCharType="begin">
          <w:fldData xml:space="preserve">PEVuZE5vdGU+PENpdGU+PEF1dGhvcj5FeWxlczwvQXV0aG9yPjxZZWFyPjIwMjU8L1llYXI+PFJl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</w:fldData>
        </w:fldChar>
      </w:r>
      <w:r w:rsidR="00780C34" w:rsidRPr="0071787C">
        <w:instrText xml:space="preserve"> ADDIN EN.CITE </w:instrText>
      </w:r>
      <w:r w:rsidR="00780C34" w:rsidRPr="0071787C">
        <w:fldChar w:fldCharType="begin">
          <w:fldData xml:space="preserve">PEVuZE5vdGU+PENpdGU+PEF1dGhvcj5FeWxlczwvQXV0aG9yPjxZZWFyPjIwMjU8L1llYXI+PFJl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</w:fldData>
        </w:fldChar>
      </w:r>
      <w:r w:rsidR="00780C34" w:rsidRPr="0071787C">
        <w:instrText xml:space="preserve"> ADDIN EN.CITE.DATA </w:instrText>
      </w:r>
      <w:r w:rsidR="00780C34" w:rsidRPr="0071787C">
        <w:fldChar w:fldCharType="end"/>
      </w:r>
      <w:r w:rsidR="00780C34" w:rsidRPr="0071787C">
        <w:fldChar w:fldCharType="separate"/>
      </w:r>
      <w:r w:rsidR="00780C34" w:rsidRPr="0071787C">
        <w:rPr>
          <w:noProof/>
        </w:rPr>
        <w:t>(Eyles et al., 2025)</w:t>
      </w:r>
      <w:r w:rsidR="00780C34" w:rsidRPr="0071787C">
        <w:fldChar w:fldCharType="end"/>
      </w:r>
      <w:r w:rsidR="00223603">
        <w:t>. Approximately one third of children (</w:t>
      </w:r>
      <w:r w:rsidR="002A5C1E">
        <w:t xml:space="preserve">N=19; </w:t>
      </w:r>
      <w:r w:rsidR="00223603" w:rsidRPr="00223603">
        <w:t>32%</w:t>
      </w:r>
      <w:r w:rsidR="00223603">
        <w:t>)</w:t>
      </w:r>
      <w:r w:rsidR="00223603" w:rsidRPr="00223603">
        <w:t xml:space="preserve"> </w:t>
      </w:r>
      <w:r w:rsidR="002A5C1E">
        <w:t xml:space="preserve">had intakes </w:t>
      </w:r>
      <w:r w:rsidR="00525266">
        <w:t xml:space="preserve">which met </w:t>
      </w:r>
      <w:r w:rsidR="002A5C1E">
        <w:t xml:space="preserve">the WHO recommendation of </w:t>
      </w:r>
      <w:r w:rsidR="00525266">
        <w:t xml:space="preserve">less than </w:t>
      </w:r>
      <w:r w:rsidR="00223603" w:rsidRPr="00223603">
        <w:t>2000 mg/day</w:t>
      </w:r>
      <w:r w:rsidR="00F81213">
        <w:t xml:space="preserve">, although the true number </w:t>
      </w:r>
      <w:r w:rsidR="009B4D21">
        <w:t xml:space="preserve">who </w:t>
      </w:r>
      <w:r w:rsidR="00CB5DC4">
        <w:t xml:space="preserve">met </w:t>
      </w:r>
      <w:r w:rsidR="009B4D21">
        <w:t xml:space="preserve">the recommendation </w:t>
      </w:r>
      <w:r w:rsidR="00F81213">
        <w:t>may be higher given the potential for underestimation in th</w:t>
      </w:r>
      <w:r w:rsidR="00CB5DC4">
        <w:t>is study</w:t>
      </w:r>
      <w:r w:rsidR="00F81213">
        <w:t>.</w:t>
      </w:r>
    </w:p>
    <w:p w14:paraId="3F6A95DC" w14:textId="564D9616" w:rsidR="00AE647B" w:rsidRDefault="00AE647B" w:rsidP="00DD5D3C">
      <w:pPr>
        <w:pStyle w:val="Caption"/>
        <w:keepNext/>
        <w:spacing w:after="80"/>
      </w:pPr>
      <w:bookmarkStart w:id="39" w:name="_Ref230876422"/>
      <w:r>
        <w:t xml:space="preserve">Table </w:t>
      </w:r>
      <w:r>
        <w:fldChar w:fldCharType="begin"/>
      </w:r>
      <w:r>
        <w:instrText>SEQ Table \* ARABIC</w:instrText>
      </w:r>
      <w:r>
        <w:fldChar w:fldCharType="separate"/>
      </w:r>
      <w:r w:rsidR="00B90577">
        <w:rPr>
          <w:noProof/>
        </w:rPr>
        <w:t>8</w:t>
      </w:r>
      <w:r>
        <w:fldChar w:fldCharType="end"/>
      </w:r>
      <w:bookmarkEnd w:id="39"/>
      <w:r>
        <w:t xml:space="preserve"> -</w:t>
      </w:r>
      <w:r w:rsidR="005D1189" w:rsidRPr="005D1189">
        <w:t xml:space="preserve"> </w:t>
      </w:r>
      <w:r w:rsidR="005D1189">
        <w:t>Modelled sodium i</w:t>
      </w:r>
      <w:r w:rsidR="005D1189" w:rsidRPr="00A32511">
        <w:t>ntake</w:t>
      </w:r>
      <w:r w:rsidR="005D1189">
        <w:t xml:space="preserve"> in children and adolescents based on New Zealand food sampling and simulated diets. </w:t>
      </w:r>
      <w:r w:rsidR="005D1189" w:rsidRPr="00A32511">
        <w:t xml:space="preserve">Source: </w:t>
      </w:r>
      <w:r w:rsidR="005D1189">
        <w:t xml:space="preserve">2016 NZTDS </w:t>
      </w:r>
      <w:r w:rsidR="005D1189">
        <w:fldChar w:fldCharType="begin"/>
      </w:r>
      <w:r w:rsidR="008662AE">
        <w:instrText xml:space="preserve"> ADDIN EN.CITE &lt;EndNote&gt;&lt;Cite&gt;&lt;Author&gt;New Zealand Food Safety&lt;/Author&gt;&lt;Year&gt;2018&lt;/Year&gt;&lt;RecNum&gt;4709&lt;/RecNum&gt;&lt;DisplayText&gt;(New Zealand Food Safety, 2018)&lt;/DisplayText&gt;&lt;record&gt;&lt;rec-number&gt;4709&lt;/rec-number&gt;&lt;foreign-keys&gt;&lt;key app="EN" db-id="wwsdv2wwp29fenerv0kx5tw9zxtx2fdrprx2" timestamp="1777866999"&gt;4709&lt;/key&gt;&lt;/foreign-keys&gt;&lt;ref-type name="Government Document"&gt;46&lt;/ref-type&gt;&lt;contributors&gt;&lt;authors&gt;&lt;author&gt;New Zealand Food Safety,&lt;/author&gt;&lt;/authors&gt;&lt;secondary-authors&gt;&lt;author&gt;Ministry for Primary Industries&lt;/author&gt;&lt;/secondary-authors&gt;&lt;/contributors&gt;&lt;titles&gt;&lt;title&gt;New Zealand Total Diet Study 2016&lt;/title&gt;&lt;/titles&gt;&lt;dates&gt;&lt;year&gt;2018&lt;/year&gt;&lt;/dates&gt;&lt;urls&gt;&lt;related-urls&gt;&lt;url&gt;https://www.mpi.govt.nz/dmsdocument/43663-2016-NZ-Total-Diet-Study-without-Appendices-report-&lt;/url&gt;&lt;/related-urls&gt;&lt;/urls&gt;&lt;access-date&gt;04/05/2026&lt;/access-date&gt;&lt;/record&gt;&lt;/Cite&gt;&lt;/EndNote&gt;</w:instrText>
      </w:r>
      <w:r w:rsidR="005D1189">
        <w:fldChar w:fldCharType="separate"/>
      </w:r>
      <w:r w:rsidR="005D1189">
        <w:rPr>
          <w:noProof/>
        </w:rPr>
        <w:t>(New Zealand Food Safety, 2018)</w:t>
      </w:r>
      <w:r w:rsidR="005D1189">
        <w:fldChar w:fldCharType="end"/>
      </w:r>
    </w:p>
    <w:tbl>
      <w:tblPr>
        <w:tblStyle w:val="TableGrid"/>
        <w:tblW w:w="8330" w:type="dxa"/>
        <w:tblLook w:val="04A0" w:firstRow="1" w:lastRow="0" w:firstColumn="1" w:lastColumn="0" w:noHBand="0" w:noVBand="1"/>
      </w:tblPr>
      <w:tblGrid>
        <w:gridCol w:w="2547"/>
        <w:gridCol w:w="1559"/>
        <w:gridCol w:w="1559"/>
        <w:gridCol w:w="1276"/>
        <w:gridCol w:w="1389"/>
      </w:tblGrid>
      <w:tr w:rsidR="00017C2F" w:rsidRPr="00B103C8" w14:paraId="7160E910" w14:textId="77777777" w:rsidTr="000840EF">
        <w:tc>
          <w:tcPr>
            <w:tcW w:w="2547" w:type="dxa"/>
            <w:shd w:val="clear" w:color="auto" w:fill="156082" w:themeFill="accent1"/>
            <w:vAlign w:val="center"/>
          </w:tcPr>
          <w:p w14:paraId="4B6A5160" w14:textId="77777777" w:rsidR="00017C2F" w:rsidRPr="00B103C8" w:rsidRDefault="00017C2F" w:rsidP="00C54CCC">
            <w:pPr>
              <w:keepNext/>
              <w:rPr>
                <w:b/>
                <w:bCs/>
                <w:color w:val="FFFFFF" w:themeColor="background1"/>
                <w:kern w:val="2"/>
                <w:sz w:val="20"/>
                <w:szCs w:val="20"/>
                <w14:ligatures w14:val="standardContextual"/>
              </w:rPr>
            </w:pPr>
            <w:r w:rsidRPr="00B103C8">
              <w:rPr>
                <w:b/>
                <w:bCs/>
                <w:color w:val="FFFFFF" w:themeColor="background1"/>
                <w:kern w:val="2"/>
                <w:sz w:val="20"/>
                <w:szCs w:val="20"/>
                <w14:ligatures w14:val="standardContextual"/>
              </w:rPr>
              <w:t>Measure</w:t>
            </w:r>
          </w:p>
        </w:tc>
        <w:tc>
          <w:tcPr>
            <w:tcW w:w="1559" w:type="dxa"/>
            <w:shd w:val="clear" w:color="auto" w:fill="156082" w:themeFill="accent1"/>
            <w:vAlign w:val="center"/>
          </w:tcPr>
          <w:p w14:paraId="48C0A465" w14:textId="5256C42D" w:rsidR="00017C2F" w:rsidRPr="00B103C8" w:rsidRDefault="00143685" w:rsidP="00C54CCC">
            <w:pPr>
              <w:keepNext/>
              <w:rPr>
                <w:b/>
                <w:bCs/>
                <w:color w:val="FFFFFF" w:themeColor="background1"/>
                <w:kern w:val="2"/>
                <w:sz w:val="20"/>
                <w:szCs w:val="20"/>
                <w14:ligatures w14:val="standardContextual"/>
              </w:rPr>
            </w:pPr>
            <w:r>
              <w:rPr>
                <w:b/>
                <w:bCs/>
                <w:color w:val="FFFFFF" w:themeColor="background1"/>
                <w:kern w:val="2"/>
                <w:sz w:val="20"/>
                <w:szCs w:val="20"/>
                <w14:ligatures w14:val="standardContextual"/>
              </w:rPr>
              <w:t>Boys 11-14 yr</w:t>
            </w:r>
          </w:p>
        </w:tc>
        <w:tc>
          <w:tcPr>
            <w:tcW w:w="1559" w:type="dxa"/>
            <w:shd w:val="clear" w:color="auto" w:fill="156082" w:themeFill="accent1"/>
            <w:vAlign w:val="center"/>
          </w:tcPr>
          <w:p w14:paraId="216F8C56" w14:textId="6AC54B0B" w:rsidR="00017C2F" w:rsidRPr="00B103C8" w:rsidRDefault="00143685" w:rsidP="00C54CCC">
            <w:pPr>
              <w:keepNext/>
              <w:jc w:val="center"/>
              <w:rPr>
                <w:b/>
                <w:bCs/>
                <w:color w:val="FFFFFF" w:themeColor="background1"/>
                <w:kern w:val="2"/>
                <w:sz w:val="20"/>
                <w:szCs w:val="20"/>
                <w14:ligatures w14:val="standardContextual"/>
              </w:rPr>
            </w:pPr>
            <w:r>
              <w:rPr>
                <w:b/>
                <w:bCs/>
                <w:color w:val="FFFFFF" w:themeColor="background1"/>
                <w:kern w:val="2"/>
                <w:sz w:val="20"/>
                <w:szCs w:val="20"/>
                <w14:ligatures w14:val="standardContextual"/>
              </w:rPr>
              <w:t>G</w:t>
            </w:r>
            <w:r w:rsidR="00017C2F">
              <w:rPr>
                <w:b/>
                <w:bCs/>
                <w:color w:val="FFFFFF" w:themeColor="background1"/>
                <w:kern w:val="2"/>
                <w:sz w:val="20"/>
                <w:szCs w:val="20"/>
                <w14:ligatures w14:val="standardContextual"/>
              </w:rPr>
              <w:t>irls</w:t>
            </w:r>
            <w:r>
              <w:rPr>
                <w:b/>
                <w:bCs/>
                <w:color w:val="FFFFFF" w:themeColor="background1"/>
                <w:kern w:val="2"/>
                <w:sz w:val="20"/>
                <w:szCs w:val="20"/>
                <w14:ligatures w14:val="standardContextual"/>
              </w:rPr>
              <w:t xml:space="preserve"> 11-14 yr</w:t>
            </w:r>
          </w:p>
        </w:tc>
        <w:tc>
          <w:tcPr>
            <w:tcW w:w="1276" w:type="dxa"/>
            <w:shd w:val="clear" w:color="auto" w:fill="156082" w:themeFill="accent1"/>
            <w:vAlign w:val="center"/>
          </w:tcPr>
          <w:p w14:paraId="4F678A52" w14:textId="49790C76" w:rsidR="00017C2F" w:rsidRPr="00B103C8" w:rsidRDefault="001F4061" w:rsidP="00C54CCC">
            <w:pPr>
              <w:keepNext/>
              <w:jc w:val="center"/>
              <w:rPr>
                <w:b/>
                <w:bCs/>
                <w:color w:val="FFFFFF" w:themeColor="background1"/>
                <w:kern w:val="2"/>
                <w:sz w:val="20"/>
                <w:szCs w:val="20"/>
                <w14:ligatures w14:val="standardContextual"/>
              </w:rPr>
            </w:pPr>
            <w:r>
              <w:rPr>
                <w:b/>
                <w:bCs/>
                <w:color w:val="FFFFFF" w:themeColor="background1"/>
                <w:kern w:val="2"/>
                <w:sz w:val="20"/>
                <w:szCs w:val="20"/>
                <w14:ligatures w14:val="standardContextual"/>
              </w:rPr>
              <w:t>5-6 yr olds</w:t>
            </w:r>
          </w:p>
        </w:tc>
        <w:tc>
          <w:tcPr>
            <w:tcW w:w="1389" w:type="dxa"/>
            <w:shd w:val="clear" w:color="auto" w:fill="156082" w:themeFill="accent1"/>
            <w:vAlign w:val="center"/>
          </w:tcPr>
          <w:p w14:paraId="523245C7" w14:textId="7C53C80E" w:rsidR="00017C2F" w:rsidRPr="00B103C8" w:rsidRDefault="001F4061" w:rsidP="00C54CCC">
            <w:pPr>
              <w:keepNext/>
              <w:jc w:val="center"/>
              <w:rPr>
                <w:b/>
                <w:bCs/>
                <w:color w:val="FFFFFF" w:themeColor="background1"/>
                <w:kern w:val="2"/>
                <w:sz w:val="20"/>
                <w:szCs w:val="20"/>
                <w14:ligatures w14:val="standardContextual"/>
              </w:rPr>
            </w:pPr>
            <w:r>
              <w:rPr>
                <w:b/>
                <w:bCs/>
                <w:color w:val="FFFFFF" w:themeColor="background1"/>
                <w:kern w:val="2"/>
                <w:sz w:val="20"/>
                <w:szCs w:val="20"/>
                <w14:ligatures w14:val="standardContextual"/>
              </w:rPr>
              <w:t>1-3 yr olds</w:t>
            </w:r>
          </w:p>
        </w:tc>
      </w:tr>
      <w:tr w:rsidR="00017C2F" w:rsidRPr="00B103C8" w14:paraId="44DF884D" w14:textId="77777777" w:rsidTr="000840EF">
        <w:tc>
          <w:tcPr>
            <w:tcW w:w="2547" w:type="dxa"/>
            <w:vAlign w:val="center"/>
          </w:tcPr>
          <w:p w14:paraId="2DDA003A" w14:textId="77777777" w:rsidR="00017C2F" w:rsidRPr="00B103C8" w:rsidRDefault="00017C2F">
            <w:pPr>
              <w:rPr>
                <w:sz w:val="20"/>
                <w:szCs w:val="20"/>
              </w:rPr>
            </w:pPr>
            <w:r w:rsidRPr="00B103C8">
              <w:rPr>
                <w:sz w:val="20"/>
                <w:szCs w:val="20"/>
              </w:rPr>
              <w:t>Daily intake</w:t>
            </w:r>
            <w:r>
              <w:rPr>
                <w:sz w:val="20"/>
                <w:szCs w:val="20"/>
              </w:rPr>
              <w:t xml:space="preserve"> - </w:t>
            </w:r>
            <w:r w:rsidRPr="00B103C8">
              <w:rPr>
                <w:sz w:val="20"/>
                <w:szCs w:val="20"/>
              </w:rPr>
              <w:t>mid bound</w:t>
            </w:r>
            <w:r>
              <w:rPr>
                <w:sz w:val="20"/>
                <w:szCs w:val="20"/>
              </w:rPr>
              <w:t xml:space="preserve"> (mg/day</w:t>
            </w:r>
            <w:r w:rsidRPr="00B103C8">
              <w:rPr>
                <w:sz w:val="20"/>
                <w:szCs w:val="20"/>
              </w:rPr>
              <w:t>)</w:t>
            </w:r>
          </w:p>
        </w:tc>
        <w:tc>
          <w:tcPr>
            <w:tcW w:w="1559" w:type="dxa"/>
            <w:vAlign w:val="center"/>
          </w:tcPr>
          <w:p w14:paraId="1F477CD3" w14:textId="018F3F97" w:rsidR="00017C2F" w:rsidRPr="00B103C8" w:rsidRDefault="00295330">
            <w:pPr>
              <w:jc w:val="center"/>
              <w:rPr>
                <w:sz w:val="20"/>
                <w:szCs w:val="20"/>
              </w:rPr>
            </w:pPr>
            <w:r>
              <w:rPr>
                <w:sz w:val="20"/>
                <w:szCs w:val="20"/>
              </w:rPr>
              <w:t>2,877</w:t>
            </w:r>
          </w:p>
        </w:tc>
        <w:tc>
          <w:tcPr>
            <w:tcW w:w="1559" w:type="dxa"/>
            <w:vAlign w:val="center"/>
          </w:tcPr>
          <w:p w14:paraId="148C76A2" w14:textId="15FC08D0" w:rsidR="00017C2F" w:rsidRPr="00B103C8" w:rsidRDefault="00295330">
            <w:pPr>
              <w:jc w:val="center"/>
              <w:rPr>
                <w:sz w:val="20"/>
                <w:szCs w:val="20"/>
              </w:rPr>
            </w:pPr>
            <w:r>
              <w:rPr>
                <w:sz w:val="20"/>
                <w:szCs w:val="20"/>
              </w:rPr>
              <w:t>2,419</w:t>
            </w:r>
          </w:p>
        </w:tc>
        <w:tc>
          <w:tcPr>
            <w:tcW w:w="1276" w:type="dxa"/>
            <w:vAlign w:val="center"/>
          </w:tcPr>
          <w:p w14:paraId="6BAFDF5E" w14:textId="0F8E2FA5" w:rsidR="00017C2F" w:rsidRPr="00B103C8" w:rsidRDefault="00295330">
            <w:pPr>
              <w:jc w:val="center"/>
              <w:rPr>
                <w:sz w:val="20"/>
                <w:szCs w:val="20"/>
              </w:rPr>
            </w:pPr>
            <w:r>
              <w:rPr>
                <w:sz w:val="20"/>
                <w:szCs w:val="20"/>
              </w:rPr>
              <w:t>1,920</w:t>
            </w:r>
          </w:p>
        </w:tc>
        <w:tc>
          <w:tcPr>
            <w:tcW w:w="1389" w:type="dxa"/>
            <w:vAlign w:val="center"/>
          </w:tcPr>
          <w:p w14:paraId="55191408" w14:textId="30C34342" w:rsidR="00017C2F" w:rsidRPr="00B103C8" w:rsidRDefault="00295330">
            <w:pPr>
              <w:jc w:val="center"/>
              <w:rPr>
                <w:sz w:val="20"/>
                <w:szCs w:val="20"/>
              </w:rPr>
            </w:pPr>
            <w:r>
              <w:rPr>
                <w:sz w:val="20"/>
                <w:szCs w:val="20"/>
              </w:rPr>
              <w:t>1,361</w:t>
            </w:r>
          </w:p>
        </w:tc>
      </w:tr>
      <w:tr w:rsidR="00017C2F" w:rsidRPr="00B103C8" w14:paraId="54D56FDE" w14:textId="77777777" w:rsidTr="000840EF">
        <w:tc>
          <w:tcPr>
            <w:tcW w:w="2547" w:type="dxa"/>
            <w:vAlign w:val="center"/>
          </w:tcPr>
          <w:p w14:paraId="4E7CCBF6" w14:textId="77777777" w:rsidR="00017C2F" w:rsidRPr="00B103C8" w:rsidRDefault="00017C2F">
            <w:pPr>
              <w:rPr>
                <w:sz w:val="20"/>
                <w:szCs w:val="20"/>
              </w:rPr>
            </w:pPr>
            <w:r w:rsidRPr="00B103C8">
              <w:rPr>
                <w:sz w:val="20"/>
                <w:szCs w:val="20"/>
              </w:rPr>
              <w:t>% of AI consumed daily</w:t>
            </w:r>
          </w:p>
        </w:tc>
        <w:tc>
          <w:tcPr>
            <w:tcW w:w="1559" w:type="dxa"/>
            <w:vAlign w:val="center"/>
          </w:tcPr>
          <w:p w14:paraId="24A97BFA" w14:textId="5875D019" w:rsidR="00017C2F" w:rsidRPr="00B103C8" w:rsidRDefault="00F32B4C">
            <w:pPr>
              <w:jc w:val="center"/>
              <w:rPr>
                <w:sz w:val="20"/>
                <w:szCs w:val="20"/>
              </w:rPr>
            </w:pPr>
            <w:r>
              <w:rPr>
                <w:sz w:val="20"/>
                <w:szCs w:val="20"/>
              </w:rPr>
              <w:t>360-719%</w:t>
            </w:r>
          </w:p>
        </w:tc>
        <w:tc>
          <w:tcPr>
            <w:tcW w:w="1559" w:type="dxa"/>
            <w:vAlign w:val="center"/>
          </w:tcPr>
          <w:p w14:paraId="1505F6F8" w14:textId="182509B1" w:rsidR="00017C2F" w:rsidRPr="00B103C8" w:rsidRDefault="00F32B4C">
            <w:pPr>
              <w:jc w:val="center"/>
              <w:rPr>
                <w:sz w:val="20"/>
                <w:szCs w:val="20"/>
              </w:rPr>
            </w:pPr>
            <w:r>
              <w:rPr>
                <w:sz w:val="20"/>
                <w:szCs w:val="20"/>
              </w:rPr>
              <w:t>302-603%</w:t>
            </w:r>
          </w:p>
        </w:tc>
        <w:tc>
          <w:tcPr>
            <w:tcW w:w="1276" w:type="dxa"/>
            <w:vAlign w:val="center"/>
          </w:tcPr>
          <w:p w14:paraId="20E05712" w14:textId="4ACCE9CE" w:rsidR="00017C2F" w:rsidRPr="00B103C8" w:rsidRDefault="00F32B4C">
            <w:pPr>
              <w:jc w:val="center"/>
              <w:rPr>
                <w:sz w:val="20"/>
                <w:szCs w:val="20"/>
              </w:rPr>
            </w:pPr>
            <w:r>
              <w:rPr>
                <w:sz w:val="20"/>
                <w:szCs w:val="20"/>
              </w:rPr>
              <w:t>320-640%</w:t>
            </w:r>
          </w:p>
        </w:tc>
        <w:tc>
          <w:tcPr>
            <w:tcW w:w="1389" w:type="dxa"/>
            <w:vAlign w:val="center"/>
          </w:tcPr>
          <w:p w14:paraId="5979123F" w14:textId="4FFD23E8" w:rsidR="00017C2F" w:rsidRPr="00B103C8" w:rsidRDefault="00F32B4C">
            <w:pPr>
              <w:jc w:val="center"/>
              <w:rPr>
                <w:sz w:val="20"/>
                <w:szCs w:val="20"/>
              </w:rPr>
            </w:pPr>
            <w:r>
              <w:rPr>
                <w:sz w:val="20"/>
                <w:szCs w:val="20"/>
              </w:rPr>
              <w:t>340-681%</w:t>
            </w:r>
          </w:p>
        </w:tc>
      </w:tr>
      <w:tr w:rsidR="00017C2F" w:rsidRPr="00B103C8" w14:paraId="5CCEFF42" w14:textId="77777777" w:rsidTr="000840EF">
        <w:tc>
          <w:tcPr>
            <w:tcW w:w="2547" w:type="dxa"/>
            <w:vAlign w:val="center"/>
          </w:tcPr>
          <w:p w14:paraId="19BD78E4" w14:textId="57406BA4" w:rsidR="00017C2F" w:rsidRPr="00B103C8" w:rsidRDefault="00017C2F">
            <w:pPr>
              <w:rPr>
                <w:sz w:val="20"/>
                <w:szCs w:val="20"/>
              </w:rPr>
            </w:pPr>
            <w:r w:rsidRPr="00B103C8">
              <w:rPr>
                <w:sz w:val="20"/>
                <w:szCs w:val="20"/>
              </w:rPr>
              <w:t>% of UL consumed</w:t>
            </w:r>
          </w:p>
        </w:tc>
        <w:tc>
          <w:tcPr>
            <w:tcW w:w="1559" w:type="dxa"/>
            <w:vAlign w:val="center"/>
          </w:tcPr>
          <w:p w14:paraId="14D393E7" w14:textId="274E0FB7" w:rsidR="00017C2F" w:rsidRPr="00B103C8" w:rsidRDefault="00AE647B">
            <w:pPr>
              <w:jc w:val="center"/>
              <w:rPr>
                <w:sz w:val="20"/>
                <w:szCs w:val="20"/>
              </w:rPr>
            </w:pPr>
            <w:r>
              <w:rPr>
                <w:sz w:val="20"/>
                <w:szCs w:val="20"/>
              </w:rPr>
              <w:t>144%</w:t>
            </w:r>
          </w:p>
        </w:tc>
        <w:tc>
          <w:tcPr>
            <w:tcW w:w="1559" w:type="dxa"/>
            <w:vAlign w:val="center"/>
          </w:tcPr>
          <w:p w14:paraId="13DDCCED" w14:textId="4987E7F4" w:rsidR="00017C2F" w:rsidRPr="00B103C8" w:rsidRDefault="00AE647B">
            <w:pPr>
              <w:jc w:val="center"/>
              <w:rPr>
                <w:sz w:val="20"/>
                <w:szCs w:val="20"/>
              </w:rPr>
            </w:pPr>
            <w:r>
              <w:rPr>
                <w:sz w:val="20"/>
                <w:szCs w:val="20"/>
              </w:rPr>
              <w:t>121%</w:t>
            </w:r>
          </w:p>
        </w:tc>
        <w:tc>
          <w:tcPr>
            <w:tcW w:w="1276" w:type="dxa"/>
            <w:vAlign w:val="center"/>
          </w:tcPr>
          <w:p w14:paraId="3F0B68EE" w14:textId="21501FED" w:rsidR="00017C2F" w:rsidRPr="00B103C8" w:rsidRDefault="00AE647B">
            <w:pPr>
              <w:jc w:val="center"/>
              <w:rPr>
                <w:sz w:val="20"/>
                <w:szCs w:val="20"/>
              </w:rPr>
            </w:pPr>
            <w:r>
              <w:rPr>
                <w:sz w:val="20"/>
                <w:szCs w:val="20"/>
              </w:rPr>
              <w:t>137%</w:t>
            </w:r>
          </w:p>
        </w:tc>
        <w:tc>
          <w:tcPr>
            <w:tcW w:w="1389" w:type="dxa"/>
            <w:vAlign w:val="center"/>
          </w:tcPr>
          <w:p w14:paraId="33C53B38" w14:textId="7D37FEFE" w:rsidR="00017C2F" w:rsidRPr="00B103C8" w:rsidRDefault="00AE647B">
            <w:pPr>
              <w:jc w:val="center"/>
              <w:rPr>
                <w:sz w:val="20"/>
                <w:szCs w:val="20"/>
              </w:rPr>
            </w:pPr>
            <w:r>
              <w:rPr>
                <w:sz w:val="20"/>
                <w:szCs w:val="20"/>
              </w:rPr>
              <w:t>136%</w:t>
            </w:r>
          </w:p>
        </w:tc>
      </w:tr>
    </w:tbl>
    <w:p w14:paraId="2C476E97" w14:textId="77777777" w:rsidR="00017C2F" w:rsidRPr="00017C2F" w:rsidRDefault="00017C2F" w:rsidP="00017C2F">
      <w:pPr>
        <w:rPr>
          <w:highlight w:val="yellow"/>
        </w:rPr>
      </w:pPr>
    </w:p>
    <w:p w14:paraId="0BAD4D9A" w14:textId="251891C3" w:rsidR="003C585A" w:rsidRDefault="003C585A" w:rsidP="003C585A">
      <w:pPr>
        <w:pStyle w:val="Heading4"/>
        <w:spacing w:line="360" w:lineRule="auto"/>
      </w:pPr>
      <w:r>
        <w:t xml:space="preserve">Māori </w:t>
      </w:r>
      <w:r w:rsidR="00262900">
        <w:t xml:space="preserve">or </w:t>
      </w:r>
      <w:r w:rsidR="00946937">
        <w:t>Pasifika</w:t>
      </w:r>
      <w:r>
        <w:t xml:space="preserve"> populations</w:t>
      </w:r>
    </w:p>
    <w:p w14:paraId="50B911BC" w14:textId="4A8F4945" w:rsidR="002C24BB" w:rsidRDefault="00F864BA" w:rsidP="00312684">
      <w:r>
        <w:t xml:space="preserve">No studies or national data were identified that reported on sodium intakes from </w:t>
      </w:r>
      <w:r w:rsidR="000F6F3C">
        <w:t>dietary</w:t>
      </w:r>
      <w:r>
        <w:t xml:space="preserve"> assessment or urinary sodium</w:t>
      </w:r>
      <w:r w:rsidR="000F6F3C">
        <w:t xml:space="preserve"> among Māori populations</w:t>
      </w:r>
      <w:r>
        <w:t xml:space="preserve">. </w:t>
      </w:r>
      <w:r w:rsidR="00186B34">
        <w:t xml:space="preserve">Although several studies </w:t>
      </w:r>
      <w:r>
        <w:t xml:space="preserve">were identified that </w:t>
      </w:r>
      <w:r w:rsidR="006C0E9C">
        <w:t xml:space="preserve">reported on sodium intake and </w:t>
      </w:r>
      <w:r w:rsidR="00186B34">
        <w:t xml:space="preserve">included </w:t>
      </w:r>
      <w:r w:rsidR="00C264BC">
        <w:t>Māori</w:t>
      </w:r>
      <w:r w:rsidR="00186B34">
        <w:t xml:space="preserve"> participants, </w:t>
      </w:r>
      <w:r w:rsidR="006C0E9C">
        <w:t xml:space="preserve">samples included insufficient </w:t>
      </w:r>
      <w:r w:rsidR="004114CC">
        <w:t>participant</w:t>
      </w:r>
      <w:r w:rsidR="000F6F3C">
        <w:t xml:space="preserve"> numbers</w:t>
      </w:r>
      <w:r w:rsidR="006C0E9C">
        <w:t xml:space="preserve"> </w:t>
      </w:r>
      <w:r>
        <w:t xml:space="preserve">to report data </w:t>
      </w:r>
      <w:r w:rsidR="000F6F3C">
        <w:t xml:space="preserve">by ethnicity </w:t>
      </w:r>
      <w:r w:rsidR="006C0E9C">
        <w:fldChar w:fldCharType="begin">
          <w:fldData xml:space="preserve">PEVuZE5vdGU+PENpdGU+PEF1dGhvcj5FeWxlczwvQXV0aG9yPjxZZWFyPjIwMjM8L1llYXI+PFJl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</w:fldData>
        </w:fldChar>
      </w:r>
      <w:r w:rsidR="002B74FC">
        <w:instrText xml:space="preserve"> ADDIN EN.CITE </w:instrText>
      </w:r>
      <w:r w:rsidR="002B74FC">
        <w:fldChar w:fldCharType="begin">
          <w:fldData xml:space="preserve">PEVuZE5vdGU+PENpdGU+PEF1dGhvcj5FeWxlczwvQXV0aG9yPjxZZWFyPjIwMjM8L1llYXI+PFJl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</w:fldData>
        </w:fldChar>
      </w:r>
      <w:r w:rsidR="002B74FC">
        <w:instrText xml:space="preserve"> ADDIN EN.CITE.DATA </w:instrText>
      </w:r>
      <w:r w:rsidR="002B74FC">
        <w:fldChar w:fldCharType="end"/>
      </w:r>
      <w:r w:rsidR="006C0E9C">
        <w:fldChar w:fldCharType="separate"/>
      </w:r>
      <w:r w:rsidR="002B74FC">
        <w:rPr>
          <w:noProof/>
        </w:rPr>
        <w:t>(Eyles et al., 2023; Eyles et al., 2025; McLean et al., 2015)</w:t>
      </w:r>
      <w:r w:rsidR="006C0E9C">
        <w:fldChar w:fldCharType="end"/>
      </w:r>
      <w:r w:rsidR="000F6F3C">
        <w:t>.</w:t>
      </w:r>
      <w:r w:rsidR="00B353EE">
        <w:t xml:space="preserve"> </w:t>
      </w:r>
      <w:r w:rsidR="0074619B">
        <w:t>S</w:t>
      </w:r>
      <w:r w:rsidR="00906746">
        <w:t xml:space="preserve">tudies </w:t>
      </w:r>
      <w:r w:rsidR="00312684">
        <w:t xml:space="preserve">examining sources of dietary sodium across different </w:t>
      </w:r>
      <w:r w:rsidR="0074619B">
        <w:t xml:space="preserve">New Zealand </w:t>
      </w:r>
      <w:r w:rsidR="00312684">
        <w:t xml:space="preserve">populations </w:t>
      </w:r>
      <w:r w:rsidR="00906746">
        <w:t xml:space="preserve">suggest </w:t>
      </w:r>
      <w:r w:rsidR="00312684">
        <w:t xml:space="preserve">that </w:t>
      </w:r>
      <w:r w:rsidR="00C264BC">
        <w:t>Māori</w:t>
      </w:r>
      <w:r w:rsidR="00906746">
        <w:t xml:space="preserve"> groups may consume </w:t>
      </w:r>
      <w:r w:rsidR="002C24BB">
        <w:t xml:space="preserve">greater amounts of bread </w:t>
      </w:r>
      <w:r w:rsidR="00906746">
        <w:t>compared with other groups</w:t>
      </w:r>
      <w:r w:rsidR="00C264BC">
        <w:t xml:space="preserve"> and consequently intakes among </w:t>
      </w:r>
      <w:r w:rsidR="004114CC">
        <w:t>Māori</w:t>
      </w:r>
      <w:r w:rsidR="00C264BC">
        <w:t xml:space="preserve"> may be higher than those of the general New Zealand population </w:t>
      </w:r>
      <w:r w:rsidR="004114CC">
        <w:fldChar w:fldCharType="begin">
          <w:fldData xml:space="preserve">PEVuZE5vdGU+PENpdGU+PEF1dGhvcj5FeWxlczwvQXV0aG9yPjxZZWFyPjIwMjI8L1llYXI+PFJl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=
</w:fldData>
        </w:fldChar>
      </w:r>
      <w:r w:rsidR="004114CC">
        <w:instrText xml:space="preserve"> ADDIN EN.CITE </w:instrText>
      </w:r>
      <w:r w:rsidR="004114CC">
        <w:fldChar w:fldCharType="begin">
          <w:fldData xml:space="preserve">PEVuZE5vdGU+PENpdGU+PEF1dGhvcj5FeWxlczwvQXV0aG9yPjxZZWFyPjIwMjI8L1llYXI+PFJl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=
</w:fldData>
        </w:fldChar>
      </w:r>
      <w:r w:rsidR="004114CC">
        <w:instrText xml:space="preserve"> ADDIN EN.CITE.DATA </w:instrText>
      </w:r>
      <w:r w:rsidR="004114CC">
        <w:fldChar w:fldCharType="end"/>
      </w:r>
      <w:r w:rsidR="004114CC">
        <w:fldChar w:fldCharType="separate"/>
      </w:r>
      <w:r w:rsidR="004114CC">
        <w:rPr>
          <w:noProof/>
        </w:rPr>
        <w:t>(H. C. Eyles &amp; C. L. Cleghorn, 2022; Metcalf et al., 2008)</w:t>
      </w:r>
      <w:r w:rsidR="004114CC">
        <w:fldChar w:fldCharType="end"/>
      </w:r>
      <w:r w:rsidR="004114CC">
        <w:t>.</w:t>
      </w:r>
    </w:p>
    <w:p w14:paraId="3CDBAE8B" w14:textId="5DB0C330" w:rsidR="007B4B62" w:rsidRPr="003C585A" w:rsidRDefault="00F02C15" w:rsidP="003C585A">
      <w:r>
        <w:lastRenderedPageBreak/>
        <w:t>T</w:t>
      </w:r>
      <w:r w:rsidR="00CA1FDE">
        <w:t xml:space="preserve">he 2016 NZTDS modelled intake data for Pacific people residing in New Zealand, with results shown in </w:t>
      </w:r>
      <w:r w:rsidR="00CA1FDE">
        <w:fldChar w:fldCharType="begin"/>
      </w:r>
      <w:r w:rsidR="00CA1FDE">
        <w:instrText xml:space="preserve"> REF _Ref228799375 \h </w:instrText>
      </w:r>
      <w:r w:rsidR="00CA1FDE">
        <w:fldChar w:fldCharType="separate"/>
      </w:r>
      <w:r w:rsidR="00074E84">
        <w:t xml:space="preserve">Table </w:t>
      </w:r>
      <w:r w:rsidR="00074E84">
        <w:rPr>
          <w:noProof/>
        </w:rPr>
        <w:t>7</w:t>
      </w:r>
      <w:r w:rsidR="00CA1FDE">
        <w:fldChar w:fldCharType="end"/>
      </w:r>
      <w:r w:rsidR="0038083A">
        <w:t>.</w:t>
      </w:r>
      <w:r>
        <w:t xml:space="preserve"> Intakes for </w:t>
      </w:r>
      <w:r w:rsidR="00BE7754">
        <w:t xml:space="preserve">adults of </w:t>
      </w:r>
      <w:r w:rsidR="0074619B">
        <w:t>Pacific Island</w:t>
      </w:r>
      <w:r>
        <w:t xml:space="preserve"> </w:t>
      </w:r>
      <w:r w:rsidR="00BE7754">
        <w:t xml:space="preserve">ethnicity were higher than intakes for comparable aged adults among the general New Zealand population. </w:t>
      </w:r>
    </w:p>
    <w:p w14:paraId="41CA4401" w14:textId="066D50AD" w:rsidR="00643D97" w:rsidRPr="00C44EA6" w:rsidRDefault="00643D97" w:rsidP="00C44EA6">
      <w:pPr>
        <w:pStyle w:val="Heading2"/>
        <w:tabs>
          <w:tab w:val="left" w:pos="5546"/>
        </w:tabs>
        <w:rPr>
          <w:b/>
          <w:bCs/>
        </w:rPr>
      </w:pPr>
      <w:bookmarkStart w:id="40" w:name="_Ref228784254"/>
      <w:bookmarkStart w:id="41" w:name="_Toc234960832"/>
      <w:r w:rsidRPr="00C44EA6">
        <w:rPr>
          <w:b/>
          <w:bCs/>
        </w:rPr>
        <w:t xml:space="preserve">Sodium content </w:t>
      </w:r>
      <w:r w:rsidR="00C41A8C" w:rsidRPr="00C44EA6">
        <w:rPr>
          <w:b/>
          <w:bCs/>
        </w:rPr>
        <w:t xml:space="preserve">of </w:t>
      </w:r>
      <w:r w:rsidR="00A11CFA" w:rsidRPr="00C44EA6">
        <w:rPr>
          <w:b/>
          <w:bCs/>
        </w:rPr>
        <w:t>diet</w:t>
      </w:r>
      <w:r w:rsidR="00C41A8C" w:rsidRPr="00C44EA6">
        <w:rPr>
          <w:b/>
          <w:bCs/>
        </w:rPr>
        <w:t>s</w:t>
      </w:r>
      <w:r w:rsidR="00A11CFA" w:rsidRPr="00C44EA6">
        <w:rPr>
          <w:b/>
          <w:bCs/>
        </w:rPr>
        <w:t xml:space="preserve"> and </w:t>
      </w:r>
      <w:r w:rsidRPr="00C44EA6">
        <w:rPr>
          <w:b/>
          <w:bCs/>
        </w:rPr>
        <w:t>food supply</w:t>
      </w:r>
      <w:bookmarkEnd w:id="40"/>
      <w:bookmarkEnd w:id="41"/>
    </w:p>
    <w:p w14:paraId="5946C65E" w14:textId="6C22168F" w:rsidR="00A11CFA" w:rsidRDefault="00A11CFA" w:rsidP="00E532F6">
      <w:pPr>
        <w:pStyle w:val="Heading3"/>
        <w:spacing w:line="240" w:lineRule="auto"/>
      </w:pPr>
      <w:bookmarkStart w:id="42" w:name="_Toc234960833"/>
      <w:r>
        <w:t>Diets</w:t>
      </w:r>
      <w:bookmarkEnd w:id="42"/>
    </w:p>
    <w:p w14:paraId="70B87299" w14:textId="41493711" w:rsidR="00990862" w:rsidRDefault="007A5212" w:rsidP="005D41BE">
      <w:pPr>
        <w:spacing w:line="276" w:lineRule="auto"/>
      </w:pPr>
      <w:r>
        <w:t>It has previously been estimated that 80% of Australians’ dietary sodium comes from processed foods</w:t>
      </w:r>
      <w:r w:rsidR="00457BC5">
        <w:rPr>
          <w:rStyle w:val="FootnoteReference"/>
        </w:rPr>
        <w:footnoteReference w:id="2"/>
      </w:r>
      <w:r>
        <w:t xml:space="preserve">, with </w:t>
      </w:r>
      <w:r w:rsidR="00990862">
        <w:t xml:space="preserve">up to </w:t>
      </w:r>
      <w:r>
        <w:t xml:space="preserve">20% coming from salt used in cooking or added at the table </w:t>
      </w:r>
      <w:r>
        <w:fldChar w:fldCharType="begin"/>
      </w:r>
      <w:r>
        <w:instrText xml:space="preserve"> ADDIN EN.CITE &lt;EndNote&gt;&lt;Cite&gt;&lt;Author&gt;Boorman&lt;/Author&gt;&lt;Year&gt;2008&lt;/Year&gt;&lt;RecNum&gt;4624&lt;/RecNum&gt;&lt;DisplayText&gt;(Boorman, 2008; FSANZ, 2015)&lt;/DisplayText&gt;&lt;record&gt;&lt;rec-number&gt;4624&lt;/rec-number&gt;&lt;foreign-keys&gt;&lt;key app="EN" db-id="wwsdv2wwp29fenerv0kx5tw9zxtx2fdrprx2" timestamp="1774922789"&gt;4624&lt;/key&gt;&lt;/foreign-keys&gt;&lt;ref-type name="Government Document"&gt;46&lt;/ref-type&gt;&lt;contributors&gt;&lt;authors&gt;&lt;author&gt;Boorman, J., Cunningham, J., Mackerras, D.&lt;/author&gt;&lt;/authors&gt;&lt;secondary-authors&gt;&lt;author&gt;Food Standards Australia New Zealand, FSANZ&lt;/author&gt;&lt;/secondary-authors&gt;&lt;/contributors&gt;&lt;titles&gt;&lt;title&gt;Salt Intake from Processed Food and Discretionary Use in Australia&lt;/title&gt;&lt;/titles&gt;&lt;dates&gt;&lt;year&gt;2008&lt;/year&gt;&lt;/dates&gt;&lt;pub-location&gt;ACT, Australia&lt;/pub-location&gt;&lt;publisher&gt;FSANZ&lt;/publisher&gt;&lt;urls&gt;&lt;related-urls&gt;&lt;url&gt;https://www.foodstandards.gov.au/sites/default/files/consumer/nutrition/salthowmuch/Documents/Salt_Intake_5.pdf&lt;/url&gt;&lt;/related-urls&gt;&lt;/urls&gt;&lt;access-date&gt;31/03/2026&lt;/access-date&gt;&lt;/record&gt;&lt;/Cite&gt;&lt;Cite ExcludeAuth="1"&gt;&lt;Author&gt;Food Standards Australia New Zealand&lt;/Author&gt;&lt;Year&gt;2015&lt;/Year&gt;&lt;RecNum&gt;4623&lt;/RecNum&gt;&lt;Prefix&gt;FSANZ`, &lt;/Prefix&gt;&lt;record&gt;&lt;rec-number&gt;4623&lt;/rec-number&gt;&lt;foreign-keys&gt;&lt;key app="EN" db-id="wwsdv2wwp29fenerv0kx5tw9zxtx2fdrprx2" timestamp="1774922688"&gt;4623&lt;/key&gt;&lt;/foreign-keys&gt;&lt;ref-type name="Web Page"&gt;12&lt;/ref-type&gt;&lt;contributors&gt;&lt;authors&gt;&lt;author&gt;Food Standards Australia New Zealand, FSANZ&lt;/author&gt;&lt;/authors&gt;&lt;/contributors&gt;&lt;titles&gt;&lt;title&gt;How much sodium do Australians eat?&lt;/title&gt;&lt;/titles&gt;&lt;volume&gt;2026&lt;/volume&gt;&lt;number&gt;31/03/2026&lt;/number&gt;&lt;dates&gt;&lt;year&gt;2015&lt;/year&gt;&lt;pub-dates&gt;&lt;date&gt;26/11/2025&lt;/date&gt;&lt;/pub-dates&gt;&lt;/dates&gt;&lt;publisher&gt;FSANZ&lt;/publisher&gt;&lt;urls&gt;&lt;related-urls&gt;&lt;url&gt;https://www.foodstandards.gov.au/consumer/nutrition/sodium-salt/salthowmuch&lt;/url&gt;&lt;/related-urls&gt;&lt;/urls&gt;&lt;/record&gt;&lt;/Cite&gt;&lt;/EndNote&gt;</w:instrText>
      </w:r>
      <w:r>
        <w:fldChar w:fldCharType="separate"/>
      </w:r>
      <w:r>
        <w:rPr>
          <w:noProof/>
        </w:rPr>
        <w:t>(Boorman, 2008; FSANZ, 2015)</w:t>
      </w:r>
      <w:r>
        <w:fldChar w:fldCharType="end"/>
      </w:r>
      <w:r w:rsidRPr="00776D7C">
        <w:t>.</w:t>
      </w:r>
      <w:r w:rsidR="00157435">
        <w:t xml:space="preserve"> </w:t>
      </w:r>
    </w:p>
    <w:p w14:paraId="690578F2" w14:textId="6ADF4181" w:rsidR="00C92E75" w:rsidRDefault="00C92E75" w:rsidP="005D41BE">
      <w:pPr>
        <w:spacing w:line="276" w:lineRule="auto"/>
      </w:pPr>
      <w:r>
        <w:rPr>
          <w:lang w:val="en-NZ"/>
        </w:rPr>
        <w:t xml:space="preserve">Data from the 2023-24 </w:t>
      </w:r>
      <w:r w:rsidR="00F205C9">
        <w:rPr>
          <w:lang w:val="en-NZ"/>
        </w:rPr>
        <w:t>NNPAS</w:t>
      </w:r>
      <w:r>
        <w:rPr>
          <w:lang w:val="en-NZ"/>
        </w:rPr>
        <w:t xml:space="preserve"> </w:t>
      </w:r>
      <w:r>
        <w:t xml:space="preserve">suggests that </w:t>
      </w:r>
      <w:r w:rsidR="00F205C9">
        <w:t xml:space="preserve">the main dietary contributors of sodium are </w:t>
      </w:r>
      <w:r>
        <w:t>cereal-based mixed dishes (2</w:t>
      </w:r>
      <w:r w:rsidR="00373E99">
        <w:t>5</w:t>
      </w:r>
      <w:r>
        <w:t>%), bread and bread rolls (7%), processed meat (5%), poultry-based mixed dishes (5%) and pastries (4%)</w:t>
      </w:r>
      <w:r w:rsidR="008F492C">
        <w:t xml:space="preserve">. </w:t>
      </w:r>
      <w:r w:rsidR="00F205C9">
        <w:t>These findings are consistent with other studies</w:t>
      </w:r>
      <w:r w:rsidR="00C84FCA">
        <w:t xml:space="preserve"> </w:t>
      </w:r>
      <w:r w:rsidR="00A754D2">
        <w:t>among</w:t>
      </w:r>
      <w:r w:rsidR="00C84FCA">
        <w:t xml:space="preserve"> Australian </w:t>
      </w:r>
      <w:r w:rsidR="00A754D2">
        <w:t xml:space="preserve">adults </w:t>
      </w:r>
      <w:r w:rsidR="00CF751C">
        <w:fldChar w:fldCharType="begin">
          <w:fldData xml:space="preserve">PEVuZE5vdGU+PENpdGU+PEF1dGhvcj5Ob3dzb248L0F1dGhvcj48WWVhcj4yMDE4PC9ZZWFyPjxS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==
</w:fldData>
        </w:fldChar>
      </w:r>
      <w:r w:rsidR="003E1807">
        <w:instrText xml:space="preserve"> ADDIN EN.CITE </w:instrText>
      </w:r>
      <w:r w:rsidR="003E1807">
        <w:fldChar w:fldCharType="begin">
          <w:fldData xml:space="preserve">PEVuZE5vdGU+PENpdGU+PEF1dGhvcj5Ob3dzb248L0F1dGhvcj48WWVhcj4yMDE4PC9ZZWFyPjxS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==
</w:fldData>
        </w:fldChar>
      </w:r>
      <w:r w:rsidR="003E1807">
        <w:instrText xml:space="preserve"> ADDIN EN.CITE.DATA </w:instrText>
      </w:r>
      <w:r w:rsidR="003E1807">
        <w:fldChar w:fldCharType="end"/>
      </w:r>
      <w:r w:rsidR="00CF751C">
        <w:fldChar w:fldCharType="separate"/>
      </w:r>
      <w:r w:rsidR="003E1807">
        <w:rPr>
          <w:noProof/>
        </w:rPr>
        <w:t>(Bolton et al., 2020; Nowson et al., 2018)</w:t>
      </w:r>
      <w:r w:rsidR="00CF751C">
        <w:fldChar w:fldCharType="end"/>
      </w:r>
      <w:r w:rsidR="00CF751C">
        <w:t>,</w:t>
      </w:r>
      <w:r w:rsidR="00802299">
        <w:t xml:space="preserve"> children</w:t>
      </w:r>
      <w:r w:rsidR="002B5878">
        <w:t xml:space="preserve"> </w:t>
      </w:r>
      <w:r w:rsidR="002B5878">
        <w:fldChar w:fldCharType="begin">
          <w:fldData xml:space="preserve">PEVuZE5vdGU+PENpdGU+PEF1dGhvcj5HcmltZXM8L0F1dGhvcj48WWVhcj4yMDE3PC9ZZWFyPjxS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</w:fldData>
        </w:fldChar>
      </w:r>
      <w:r w:rsidR="00F61D64">
        <w:instrText xml:space="preserve"> ADDIN EN.CITE </w:instrText>
      </w:r>
      <w:r w:rsidR="00F61D64">
        <w:fldChar w:fldCharType="begin">
          <w:fldData xml:space="preserve">PEVuZE5vdGU+PENpdGU+PEF1dGhvcj5HcmltZXM8L0F1dGhvcj48WWVhcj4yMDE3PC9ZZWFyPjxS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</w:fldData>
        </w:fldChar>
      </w:r>
      <w:r w:rsidR="00F61D64">
        <w:instrText xml:space="preserve"> ADDIN EN.CITE.DATA </w:instrText>
      </w:r>
      <w:r w:rsidR="00F61D64">
        <w:fldChar w:fldCharType="end"/>
      </w:r>
      <w:r w:rsidR="002B5878">
        <w:fldChar w:fldCharType="separate"/>
      </w:r>
      <w:r w:rsidR="00F61D64">
        <w:rPr>
          <w:noProof/>
        </w:rPr>
        <w:t>(Grimes, Riddell, et al., 2017; O'Halloran et al., 2016)</w:t>
      </w:r>
      <w:r w:rsidR="002B5878">
        <w:fldChar w:fldCharType="end"/>
      </w:r>
      <w:r w:rsidR="00802299">
        <w:t xml:space="preserve">, and </w:t>
      </w:r>
      <w:r w:rsidR="002B5878">
        <w:t xml:space="preserve">from </w:t>
      </w:r>
      <w:r w:rsidR="000034A1">
        <w:t xml:space="preserve">remote Indigenous communities </w:t>
      </w:r>
      <w:r w:rsidR="000034A1">
        <w:fldChar w:fldCharType="begin">
          <w:fldData xml:space="preserve">PEVuZE5vdGU+PENpdGU+PEF1dGhvcj5NY01haG9uPC9BdXRob3I+PFllYXI+MjAxNTwvWWVhcj48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</w:fldData>
        </w:fldChar>
      </w:r>
      <w:r w:rsidR="000034A1">
        <w:instrText xml:space="preserve"> ADDIN EN.CITE </w:instrText>
      </w:r>
      <w:r w:rsidR="000034A1">
        <w:fldChar w:fldCharType="begin">
          <w:fldData xml:space="preserve">PEVuZE5vdGU+PENpdGU+PEF1dGhvcj5NY01haG9uPC9BdXRob3I+PFllYXI+MjAxNTwvWWVhcj48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</w:fldData>
        </w:fldChar>
      </w:r>
      <w:r w:rsidR="000034A1">
        <w:instrText xml:space="preserve"> ADDIN EN.CITE.DATA </w:instrText>
      </w:r>
      <w:r w:rsidR="000034A1">
        <w:fldChar w:fldCharType="end"/>
      </w:r>
      <w:r w:rsidR="000034A1">
        <w:fldChar w:fldCharType="separate"/>
      </w:r>
      <w:r w:rsidR="000034A1">
        <w:rPr>
          <w:noProof/>
        </w:rPr>
        <w:t>(McMahon et al., 2015)</w:t>
      </w:r>
      <w:r w:rsidR="000034A1">
        <w:fldChar w:fldCharType="end"/>
      </w:r>
      <w:r w:rsidR="00F205C9">
        <w:t xml:space="preserve">. </w:t>
      </w:r>
    </w:p>
    <w:p w14:paraId="4D8675A1" w14:textId="49D17AC5" w:rsidR="00990862" w:rsidRDefault="00990862" w:rsidP="005D41BE">
      <w:pPr>
        <w:spacing w:line="276" w:lineRule="auto"/>
      </w:pPr>
      <w:r>
        <w:t xml:space="preserve">Both NNPAS and NATSINPAS data suggest that discretionary salt use is prevalent in Australia, with around three quarters of those aged 2 years and over (78% of Australians; 73% of Indigenous population) adding salt during cooking or food preparation, and around half adding salt at the table (45% of Australians; 60% of Indigenous population) </w:t>
      </w:r>
      <w:r>
        <w:fldChar w:fldCharType="begin"/>
      </w:r>
      <w:r w:rsidR="00A82E0B">
        <w:instrText xml:space="preserve"> ADDIN EN.CITE &lt;EndNote&gt;&lt;Cite ExcludeAuth="1"&gt;&lt;Author&gt;Australian Bureau of Statistics&lt;/Author&gt;&lt;Year&gt;2023&lt;/Year&gt;&lt;RecNum&gt;4625&lt;/RecNum&gt;&lt;Prefix&gt;ABS`, &lt;/Prefix&gt;&lt;DisplayText&gt;(ABS, 2023a; ABS, 2023b)&lt;/DisplayText&gt;&lt;record&gt;&lt;rec-number&gt;4625&lt;/rec-number&gt;&lt;foreign-keys&gt;&lt;key app="EN" db-id="wwsdv2wwp29fenerv0kx5tw9zxtx2fdrprx2" timestamp="1774922973"&gt;4625&lt;/key&gt;&lt;/foreign-keys&gt;&lt;ref-type name="Dataset"&gt;59&lt;/ref-type&gt;&lt;contributors&gt;&lt;authors&gt;&lt;author&gt;Australian Bureau of Statistics,&lt;/author&gt;&lt;/authors&gt;&lt;secondary-authors&gt;&lt;author&gt;Australian Bureau of Statistics,&lt;/author&gt;&lt;/secondary-authors&gt;&lt;/contributors&gt;&lt;titles&gt;&lt;title&gt; National Nutrition and Physical Activity Survey: Food and nutrients&lt;/title&gt;&lt;/titles&gt;&lt;section&gt;05/09/2025&lt;/section&gt;&lt;dates&gt;&lt;year&gt;2023&lt;/year&gt;&lt;/dates&gt;&lt;urls&gt;&lt;related-urls&gt;&lt;url&gt;https://www.abs.gov.au/statistics/health/food-and-nutrition/food-and-nutrients/2023&lt;/url&gt;&lt;/related-urls&gt;&lt;/urls&gt;&lt;access-date&gt;31/03/2026&lt;/access-date&gt;&lt;/record&gt;&lt;/Cite&gt;&lt;Cite ExcludeAuth="1"&gt;&lt;Author&gt;Australian Bureau of Statistics&lt;/Author&gt;&lt;Year&gt;2023&lt;/Year&gt;&lt;RecNum&gt;4715&lt;/RecNum&gt;&lt;Prefix&gt;ABS`, &lt;/Prefix&gt;&lt;record&gt;&lt;rec-number&gt;4715&lt;/rec-number&gt;&lt;foreign-keys&gt;&lt;key app="EN" db-id="wwsdv2wwp29fenerv0kx5tw9zxtx2fdrprx2" timestamp="1777938266"&gt;4715&lt;/key&gt;&lt;/foreign-keys&gt;&lt;ref-type name="Dataset"&gt;59&lt;/ref-type&gt;&lt;contributors&gt;&lt;authors&gt;&lt;author&gt;Australian Bureau of Statistics,&lt;/author&gt;&lt;/authors&gt;&lt;secondary-authors&gt;&lt;author&gt;Australian Bureau of Statistics,&lt;/author&gt;&lt;/secondary-authors&gt;&lt;/contributors&gt;&lt;titles&gt;&lt;title&gt;National Aboriginal and Torres Strait Islander Nutrition and Physical Activity Survey: Food and Nutrients, 2023&lt;/title&gt;&lt;/titles&gt;&lt;section&gt;03/10/2025&lt;/section&gt;&lt;dates&gt;&lt;year&gt;2023&lt;/year&gt;&lt;pub-dates&gt;&lt;date&gt;2023&lt;/date&gt;&lt;/pub-dates&gt;&lt;/dates&gt;&lt;pub-location&gt;Canberra, ACT&lt;/pub-location&gt;&lt;urls&gt;&lt;related-urls&gt;&lt;url&gt;https://www.abs.gov.au/statistics/people/aboriginal-and-torres-strait-islander-peoples/national-aboriginal-and-torres-strait-islander-nutrition-and-physical-activity-survey/latest-release#about-the-survey&lt;/url&gt;&lt;/related-urls&gt;&lt;/urls&gt;&lt;/record&gt;&lt;/Cite&gt;&lt;/EndNote&gt;</w:instrText>
      </w:r>
      <w:r>
        <w:fldChar w:fldCharType="separate"/>
      </w:r>
      <w:r w:rsidR="00A82E0B">
        <w:rPr>
          <w:noProof/>
        </w:rPr>
        <w:t>(ABS, 2023a; ABS, 2023b)</w:t>
      </w:r>
      <w:r>
        <w:fldChar w:fldCharType="end"/>
      </w:r>
      <w:r>
        <w:t xml:space="preserve">. </w:t>
      </w:r>
    </w:p>
    <w:p w14:paraId="73E9181C" w14:textId="13F76018" w:rsidR="00B65B1F" w:rsidRDefault="00B65B1F" w:rsidP="005D41BE">
      <w:pPr>
        <w:spacing w:line="276" w:lineRule="auto"/>
      </w:pPr>
      <w:r>
        <w:t>Discretionary</w:t>
      </w:r>
      <w:r w:rsidR="00CA10E1">
        <w:t xml:space="preserve"> foods</w:t>
      </w:r>
      <w:r w:rsidR="008F4936">
        <w:rPr>
          <w:rStyle w:val="FootnoteReference"/>
        </w:rPr>
        <w:footnoteReference w:id="3"/>
      </w:r>
      <w:r w:rsidR="00CA10E1">
        <w:t xml:space="preserve"> </w:t>
      </w:r>
      <w:r w:rsidR="00A754D2">
        <w:t xml:space="preserve">present </w:t>
      </w:r>
      <w:r w:rsidR="00CA10E1">
        <w:t>significant sources of dietary sodium</w:t>
      </w:r>
      <w:r w:rsidR="0040055B">
        <w:t xml:space="preserve">. Among a 2016-17 sample of </w:t>
      </w:r>
      <w:r w:rsidR="00C568AE">
        <w:t>142</w:t>
      </w:r>
      <w:r w:rsidR="0040055B">
        <w:t xml:space="preserve"> Victorian adults</w:t>
      </w:r>
      <w:r>
        <w:t xml:space="preserve">, </w:t>
      </w:r>
      <w:r w:rsidR="0040055B">
        <w:t xml:space="preserve">discretionary foods accounted for </w:t>
      </w:r>
      <w:r w:rsidR="00671A82">
        <w:t xml:space="preserve">38% of dietary sodium </w:t>
      </w:r>
      <w:r w:rsidR="003635D0">
        <w:fldChar w:fldCharType="begin">
          <w:fldData xml:space="preserve">PEVuZE5vdGU+PENpdGU+PEF1dGhvcj5Cb2x0b248L0F1dGhvcj48WWVhcj4yMDIwPC9ZZWFyPjxS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</w:fldData>
        </w:fldChar>
      </w:r>
      <w:r w:rsidR="008662AE">
        <w:instrText xml:space="preserve"> ADDIN EN.CITE </w:instrText>
      </w:r>
      <w:r w:rsidR="008662AE">
        <w:fldChar w:fldCharType="begin">
          <w:fldData xml:space="preserve">PEVuZE5vdGU+PENpdGU+PEF1dGhvcj5Cb2x0b248L0F1dGhvcj48WWVhcj4yMDIwPC9ZZWFyPjxS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</w:fldData>
        </w:fldChar>
      </w:r>
      <w:r w:rsidR="008662AE">
        <w:instrText xml:space="preserve"> ADDIN EN.CITE.DATA </w:instrText>
      </w:r>
      <w:r w:rsidR="008662AE">
        <w:fldChar w:fldCharType="end"/>
      </w:r>
      <w:r w:rsidR="003635D0">
        <w:fldChar w:fldCharType="separate"/>
      </w:r>
      <w:r w:rsidR="003635D0">
        <w:rPr>
          <w:noProof/>
        </w:rPr>
        <w:t>(Bolton et al., 2020)</w:t>
      </w:r>
      <w:r w:rsidR="003635D0">
        <w:fldChar w:fldCharType="end"/>
      </w:r>
      <w:r w:rsidR="003635D0">
        <w:t xml:space="preserve">. </w:t>
      </w:r>
      <w:r w:rsidR="00A754D2">
        <w:t>Similar</w:t>
      </w:r>
      <w:r w:rsidR="00D061F4">
        <w:t>ly</w:t>
      </w:r>
      <w:r w:rsidR="008E620A">
        <w:t xml:space="preserve">, </w:t>
      </w:r>
      <w:r w:rsidR="00703EEB">
        <w:t xml:space="preserve">a study in </w:t>
      </w:r>
      <w:r w:rsidR="00813376">
        <w:t>666</w:t>
      </w:r>
      <w:r>
        <w:t xml:space="preserve"> Australian children aged </w:t>
      </w:r>
      <w:r w:rsidR="00813376">
        <w:t>4</w:t>
      </w:r>
      <w:r>
        <w:t>-12years</w:t>
      </w:r>
      <w:r w:rsidR="00703EEB">
        <w:t xml:space="preserve"> found that</w:t>
      </w:r>
      <w:r>
        <w:t xml:space="preserve"> 4</w:t>
      </w:r>
      <w:r w:rsidR="00373E99">
        <w:t>5</w:t>
      </w:r>
      <w:r>
        <w:t xml:space="preserve">% </w:t>
      </w:r>
      <w:r w:rsidR="00703EEB">
        <w:t xml:space="preserve">of dietary sodium came </w:t>
      </w:r>
      <w:r>
        <w:t xml:space="preserve">from discretionary </w:t>
      </w:r>
      <w:r w:rsidR="005B0622">
        <w:t>foods</w:t>
      </w:r>
      <w:r w:rsidR="00703EEB">
        <w:t xml:space="preserve">, and 55% from core foods </w:t>
      </w:r>
      <w:r>
        <w:fldChar w:fldCharType="begin">
          <w:fldData xml:space="preserve">PEVuZE5vdGU+PENpdGU+PEF1dGhvcj5HcmltZXM8L0F1dGhvcj48WWVhcj4yMDE3PC9ZZWFyPjxS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</w:fldData>
        </w:fldChar>
      </w:r>
      <w:r w:rsidR="00F61D64">
        <w:instrText xml:space="preserve"> ADDIN EN.CITE </w:instrText>
      </w:r>
      <w:r w:rsidR="00F61D64">
        <w:fldChar w:fldCharType="begin">
          <w:fldData xml:space="preserve">PEVuZE5vdGU+PENpdGU+PEF1dGhvcj5HcmltZXM8L0F1dGhvcj48WWVhcj4yMDE3PC9ZZWFyPjxS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</w:fldData>
        </w:fldChar>
      </w:r>
      <w:r w:rsidR="00F61D64">
        <w:instrText xml:space="preserve"> ADDIN EN.CITE.DATA </w:instrText>
      </w:r>
      <w:r w:rsidR="00F61D64">
        <w:fldChar w:fldCharType="end"/>
      </w:r>
      <w:r>
        <w:fldChar w:fldCharType="separate"/>
      </w:r>
      <w:r w:rsidR="00F61D64">
        <w:rPr>
          <w:noProof/>
        </w:rPr>
        <w:t>(Grimes, Riddell, et al., 2017)</w:t>
      </w:r>
      <w:r>
        <w:fldChar w:fldCharType="end"/>
      </w:r>
      <w:r w:rsidR="007136C6">
        <w:t>.</w:t>
      </w:r>
      <w:r w:rsidR="003552C9">
        <w:t xml:space="preserve"> </w:t>
      </w:r>
      <w:r w:rsidR="00D061F4">
        <w:t>Finally, a</w:t>
      </w:r>
      <w:r w:rsidR="00703EEB">
        <w:t xml:space="preserve">mong a sample of 251 </w:t>
      </w:r>
      <w:r w:rsidR="00D055E5">
        <w:t>Victorian</w:t>
      </w:r>
      <w:r w:rsidR="00703EEB">
        <w:t xml:space="preserve"> children</w:t>
      </w:r>
      <w:r w:rsidR="00D055E5">
        <w:t xml:space="preserve"> aged around 3.5 years</w:t>
      </w:r>
      <w:r w:rsidR="00703EEB">
        <w:t xml:space="preserve">, </w:t>
      </w:r>
      <w:r w:rsidR="00D061F4">
        <w:t>discretionary foods contributed 35% of daily sodium intake</w:t>
      </w:r>
      <w:r w:rsidR="000E68B0">
        <w:t>, compared with 65% from</w:t>
      </w:r>
      <w:r w:rsidR="00D061F4">
        <w:t xml:space="preserve"> core foods</w:t>
      </w:r>
      <w:r w:rsidR="000E68B0">
        <w:fldChar w:fldCharType="begin"/>
      </w:r>
      <w:r w:rsidR="000E68B0">
        <w:instrText xml:space="preserve"> ADDIN EN.CITE &lt;EndNote&gt;&lt;Cite&gt;&lt;Author&gt;O&amp;apos;Halloran&lt;/Author&gt;&lt;Year&gt;2016&lt;/Year&gt;&lt;RecNum&gt;4716&lt;/RecNum&gt;&lt;DisplayText&gt;(O&amp;apos;Halloran et al., 2016)&lt;/DisplayText&gt;&lt;record&gt;&lt;rec-number&gt;4716&lt;/rec-number&gt;&lt;foreign-keys&gt;&lt;key app="EN" db-id="wwsdv2wwp29fenerv0kx5tw9zxtx2fdrprx2" timestamp="1777958314"&gt;4716&lt;/key&gt;&lt;/foreign-keys&gt;&lt;ref-type name="Journal Article"&gt;17&lt;/ref-type&gt;&lt;contributors&gt;&lt;authors&gt;&lt;author&gt;O&amp;apos;Halloran, S. A.&lt;/author&gt;&lt;author&gt;Grimes, C. A.&lt;/author&gt;&lt;author&gt;Lacy, K. E.&lt;/author&gt;&lt;author&gt;Nowson, C. A.&lt;/author&gt;&lt;author&gt;Campbell, K. J.&lt;/author&gt;&lt;/authors&gt;&lt;/contributors&gt;&lt;auth-address&gt;Centre for Physical Activity and Nutrition Research, School of Exercise and Nutrition Sciences, Deakin University, Burwood, Victoria, Australia.&lt;/auth-address&gt;&lt;titles&gt;&lt;title&gt;Dietary sources and sodium intake in a sample of Australian preschool children&lt;/title&gt;&lt;secondary-title&gt;BMJ Open&lt;/secondary-title&gt;&lt;/titles&gt;&lt;periodical&gt;&lt;full-title&gt;BMJ Open&lt;/full-title&gt;&lt;/periodical&gt;&lt;pages&gt;e008698&lt;/pages&gt;&lt;volume&gt;6&lt;/volume&gt;&lt;number&gt;2&lt;/number&gt;&lt;edition&gt;20160204&lt;/edition&gt;&lt;keywords&gt;&lt;keyword&gt;Australia&lt;/keyword&gt;&lt;keyword&gt;Child, Preschool&lt;/keyword&gt;&lt;keyword&gt;Cross-Sectional Studies&lt;/keyword&gt;&lt;keyword&gt;Dairy Products&lt;/keyword&gt;&lt;keyword&gt;Edible Grain&lt;/keyword&gt;&lt;keyword&gt;*Feeding Behavior&lt;/keyword&gt;&lt;keyword&gt;Follow-Up Studies&lt;/keyword&gt;&lt;keyword&gt;Humans&lt;/keyword&gt;&lt;keyword&gt;Meat&lt;/keyword&gt;&lt;keyword&gt;Recommended Dietary Allowances&lt;/keyword&gt;&lt;keyword&gt;Sodium, Dietary/*administration &amp;amp; dosage&lt;/keyword&gt;&lt;keyword&gt;Epidemiology&lt;/keyword&gt;&lt;keyword&gt;Nutrition &amp;amp; dietetics&lt;/keyword&gt;&lt;keyword&gt;Public health&lt;/keyword&gt;&lt;/keywords&gt;&lt;dates&gt;&lt;year&gt;2016&lt;/year&gt;&lt;pub-dates&gt;&lt;date&gt;Feb 4&lt;/date&gt;&lt;/pub-dates&gt;&lt;/dates&gt;&lt;isbn&gt;2044-6055&lt;/isbn&gt;&lt;accession-num&gt;26846894&lt;/accession-num&gt;&lt;urls&gt;&lt;/urls&gt;&lt;custom2&gt;PMC4746469&lt;/custom2&gt;&lt;electronic-resource-num&gt;10.1136/bmjopen-2015-008698&lt;/electronic-resource-num&gt;&lt;remote-database-provider&gt;NLM&lt;/remote-database-provider&gt;&lt;language&gt;eng&lt;/language&gt;&lt;/record&gt;&lt;/Cite&gt;&lt;/EndNote&gt;</w:instrText>
      </w:r>
      <w:r w:rsidR="000E68B0">
        <w:fldChar w:fldCharType="separate"/>
      </w:r>
      <w:r w:rsidR="000E68B0">
        <w:rPr>
          <w:noProof/>
        </w:rPr>
        <w:t>(O'Halloran et al., 2016)</w:t>
      </w:r>
      <w:r w:rsidR="000E68B0">
        <w:fldChar w:fldCharType="end"/>
      </w:r>
      <w:r w:rsidR="000E68B0">
        <w:t>.</w:t>
      </w:r>
    </w:p>
    <w:p w14:paraId="20E43049" w14:textId="26B31D94" w:rsidR="00CA10E1" w:rsidRDefault="00090D68" w:rsidP="005D41BE">
      <w:pPr>
        <w:spacing w:line="276" w:lineRule="auto"/>
      </w:pPr>
      <w:r>
        <w:t xml:space="preserve">Recent </w:t>
      </w:r>
      <w:r w:rsidR="00F869BF">
        <w:t xml:space="preserve">evidence </w:t>
      </w:r>
      <w:r>
        <w:t xml:space="preserve">from New Zealand </w:t>
      </w:r>
      <w:r w:rsidR="00F869BF">
        <w:t xml:space="preserve">is </w:t>
      </w:r>
      <w:r>
        <w:t>sparse</w:t>
      </w:r>
      <w:r w:rsidR="00F869BF">
        <w:t xml:space="preserve">, although data </w:t>
      </w:r>
      <w:r w:rsidR="00B51609">
        <w:t xml:space="preserve">from the 2008/09 NZ Adult Nutrition Survey </w:t>
      </w:r>
      <w:r w:rsidR="00F869BF">
        <w:t xml:space="preserve">suggests </w:t>
      </w:r>
      <w:r w:rsidR="00D23FD7">
        <w:t xml:space="preserve">dietary </w:t>
      </w:r>
      <w:r w:rsidR="00E34E1F">
        <w:t xml:space="preserve">sodium </w:t>
      </w:r>
      <w:r w:rsidR="00B51609">
        <w:t xml:space="preserve">sources </w:t>
      </w:r>
      <w:r w:rsidR="00F869BF">
        <w:t>mirror those of Australia, with bread</w:t>
      </w:r>
      <w:r w:rsidR="002A669B">
        <w:t xml:space="preserve"> (18.2%)</w:t>
      </w:r>
      <w:r w:rsidR="00F869BF">
        <w:t>, bread-based dishes</w:t>
      </w:r>
      <w:r w:rsidR="002A669B">
        <w:t xml:space="preserve"> (10.9%)</w:t>
      </w:r>
      <w:r w:rsidR="00F869BF">
        <w:t>, grains and pasta</w:t>
      </w:r>
      <w:r w:rsidR="002A669B">
        <w:t xml:space="preserve"> (6.6%)</w:t>
      </w:r>
      <w:r w:rsidR="00F869BF">
        <w:t xml:space="preserve">, </w:t>
      </w:r>
      <w:r w:rsidR="001512A3">
        <w:t xml:space="preserve">pork (6.5%) and </w:t>
      </w:r>
      <w:r w:rsidR="002A669B">
        <w:t xml:space="preserve">processed meats </w:t>
      </w:r>
      <w:r w:rsidR="001512A3">
        <w:t xml:space="preserve">(5.2%) identified as </w:t>
      </w:r>
      <w:r w:rsidR="002A669B">
        <w:t xml:space="preserve">the predominant </w:t>
      </w:r>
      <w:r w:rsidR="00A511C0">
        <w:t>contributors</w:t>
      </w:r>
      <w:r w:rsidR="002C2330">
        <w:t xml:space="preserve"> </w:t>
      </w:r>
      <w:r w:rsidR="002832C3">
        <w:fldChar w:fldCharType="begin"/>
      </w:r>
      <w:r w:rsidR="004114CC">
        <w:instrText xml:space="preserve"> ADDIN EN.CITE &lt;EndNote&gt;&lt;Cite&gt;&lt;Author&gt;Eyles&lt;/Author&gt;&lt;Year&gt;2022&lt;/Year&gt;&lt;RecNum&gt;4703&lt;/RecNum&gt;&lt;DisplayText&gt;(Helen C. Eyles &amp;amp; Christine L. Cleghorn, 2022)&lt;/DisplayText&gt;&lt;record&gt;&lt;rec-number&gt;4703&lt;/rec-number&gt;&lt;foreign-keys&gt;&lt;key app="EN" db-id="wwsdv2wwp29fenerv0kx5tw9zxtx2fdrprx2" timestamp="1777866999"&gt;4703&lt;/key&gt;&lt;/foreign-keys&gt;&lt;ref-type name="Journal Article"&gt;17&lt;/ref-type&gt;&lt;contributors&gt;&lt;authors&gt;&lt;author&gt;Eyles, Helen C.&lt;/author&gt;&lt;author&gt;Cleghorn, Christine L.&lt;/author&gt;&lt;/authors&gt;&lt;/contributors&gt;&lt;titles&gt;&lt;title&gt;Dietary sources of sodium across the diverse New Zealand adult population&lt;/title&gt;&lt;secondary-title&gt;Preventive Medicine Reports&lt;/secondary-title&gt;&lt;/titles&gt;&lt;periodical&gt;&lt;full-title&gt;Preventive Medicine Reports&lt;/full-title&gt;&lt;/periodical&gt;&lt;pages&gt;101927&lt;/pages&gt;&lt;volume&gt;29&lt;/volume&gt;&lt;keywords&gt;&lt;keyword&gt;Sodium chloride&lt;/keyword&gt;&lt;keyword&gt;Salt&lt;/keyword&gt;&lt;keyword&gt;Food sources&lt;/keyword&gt;&lt;keyword&gt;Adult&lt;/keyword&gt;&lt;keyword&gt;New Zealand&lt;/keyword&gt;&lt;/keywords&gt;&lt;dates&gt;&lt;year&gt;2022&lt;/year&gt;&lt;pub-dates&gt;&lt;date&gt;2022/10/01/&lt;/date&gt;&lt;/pub-dates&gt;&lt;/dates&gt;&lt;isbn&gt;2211-3355&lt;/isbn&gt;&lt;urls&gt;&lt;related-urls&gt;&lt;url&gt;https://www.sciencedirect.com/science/article/pii/S2211335522002340&lt;/url&gt;&lt;/related-urls&gt;&lt;/urls&gt;&lt;electronic-resource-num&gt;https://doi.org/10.1016/j.pmedr.2022.101927&lt;/electronic-resource-num&gt;&lt;/record&gt;&lt;/Cite&gt;&lt;/EndNote&gt;</w:instrText>
      </w:r>
      <w:r w:rsidR="002832C3">
        <w:fldChar w:fldCharType="separate"/>
      </w:r>
      <w:r w:rsidR="004114CC">
        <w:rPr>
          <w:noProof/>
        </w:rPr>
        <w:t>(Helen C. Eyles &amp; Christine L. Cleghorn, 2022)</w:t>
      </w:r>
      <w:r w:rsidR="002832C3">
        <w:fldChar w:fldCharType="end"/>
      </w:r>
      <w:r w:rsidR="00D34EB4">
        <w:t xml:space="preserve">. Similar to Australia, data suggests </w:t>
      </w:r>
      <w:r w:rsidR="00D34EB4" w:rsidRPr="001E11AF">
        <w:t xml:space="preserve">that discretionary salt – added during food preparation or at the table – accounts for 10-20% of total dietary sodium </w:t>
      </w:r>
      <w:r w:rsidR="00D34EB4" w:rsidRPr="001E11AF">
        <w:fldChar w:fldCharType="begin"/>
      </w:r>
      <w:r w:rsidR="00D34EB4" w:rsidRPr="001E11AF">
        <w:instrText xml:space="preserve"> ADDIN EN.CITE &lt;EndNote&gt;&lt;Cite&gt;&lt;Author&gt;Wang&lt;/Author&gt;&lt;Year&gt;2023&lt;/Year&gt;&lt;RecNum&gt;4693&lt;/RecNum&gt;&lt;DisplayText&gt;(Wang et al., 2023)&lt;/DisplayText&gt;&lt;record&gt;&lt;rec-number&gt;4693&lt;/rec-number&gt;&lt;foreign-keys&gt;&lt;key app="EN" db-id="wwsdv2wwp29fenerv0kx5tw9zxtx2fdrprx2" timestamp="1776134212"&gt;4693&lt;/key&gt;&lt;/foreign-keys&gt;&lt;ref-type name="Journal Article"&gt;17&lt;/ref-type&gt;&lt;contributors&gt;&lt;authors&gt;&lt;author&gt;Wang,Nan Xin&lt;/author&gt;&lt;author&gt;McLean,Rachael M.&lt;/author&gt;&lt;author&gt;Cameron,Claire&lt;/author&gt;&lt;author&gt;Skeaff,Sheila A.&lt;/author&gt;&lt;/authors&gt;&lt;/contributors&gt;&lt;titles&gt;&lt;title&gt;The quantification of sodium intake from discretionary salt intake in New Zealand using the lithium-tagged salt method&lt;/title&gt;&lt;secondary-title&gt;Frontiers in Nutrition&lt;/secondary-title&gt;&lt;short-title&gt;Discretionary salt in New Zealand&lt;/short-title&gt;&lt;/titles&gt;&lt;periodical&gt;&lt;full-title&gt;Frontiers in nutrition&lt;/full-title&gt;&lt;/periodical&gt;&lt;volume&gt;Volume 9 - 2022&lt;/volume&gt;&lt;keywords&gt;&lt;keyword&gt;Sodium,salt,Discretionary salt,New Zealand,24-hour urine,lithium-tagged salt&lt;/keyword&gt;&lt;/keywords&gt;&lt;dates&gt;&lt;year&gt;2023&lt;/year&gt;&lt;pub-dates&gt;&lt;date&gt;2023-January-19&lt;/date&gt;&lt;/pub-dates&gt;&lt;/dates&gt;&lt;isbn&gt;2296-861X&lt;/isbn&gt;&lt;work-type&gt;Original Research&lt;/work-type&gt;&lt;urls&gt;&lt;related-urls&gt;&lt;url&gt;https://www.frontiersin.org/journals/nutrition/articles/10.3389/fnut.2022.1065710&lt;/url&gt;&lt;/related-urls&gt;&lt;/urls&gt;&lt;electronic-resource-num&gt;10.3389/fnut.2022.1065710&lt;/electronic-resource-num&gt;&lt;language&gt;English&lt;/language&gt;&lt;/record&gt;&lt;/Cite&gt;&lt;/EndNote&gt;</w:instrText>
      </w:r>
      <w:r w:rsidR="00D34EB4" w:rsidRPr="001E11AF">
        <w:fldChar w:fldCharType="separate"/>
      </w:r>
      <w:r w:rsidR="00D34EB4" w:rsidRPr="001E11AF">
        <w:t>(Wang et al., 2023)</w:t>
      </w:r>
      <w:r w:rsidR="00D34EB4" w:rsidRPr="001E11AF">
        <w:fldChar w:fldCharType="end"/>
      </w:r>
      <w:r w:rsidR="002772C6">
        <w:t>.</w:t>
      </w:r>
    </w:p>
    <w:p w14:paraId="6B9D4560" w14:textId="1E8894D6" w:rsidR="00B875DC" w:rsidRDefault="00A11CFA" w:rsidP="001E08FB">
      <w:pPr>
        <w:pStyle w:val="Heading3"/>
        <w:spacing w:line="240" w:lineRule="auto"/>
        <w:rPr>
          <w:lang w:val="en-NZ"/>
        </w:rPr>
      </w:pPr>
      <w:bookmarkStart w:id="43" w:name="_Toc234960834"/>
      <w:r>
        <w:lastRenderedPageBreak/>
        <w:t>Food supply</w:t>
      </w:r>
      <w:bookmarkEnd w:id="43"/>
      <w:r w:rsidR="004F37BD">
        <w:t xml:space="preserve"> </w:t>
      </w:r>
    </w:p>
    <w:p w14:paraId="2A9DF89E" w14:textId="0C10ACE6" w:rsidR="0007166F" w:rsidRDefault="00A11CFA" w:rsidP="005D41BE">
      <w:pPr>
        <w:spacing w:line="276" w:lineRule="auto"/>
      </w:pPr>
      <w:r>
        <w:rPr>
          <w:lang w:val="en-NZ"/>
        </w:rPr>
        <w:t xml:space="preserve">A 2019 analysis of sodium in the Australian food supply by Food Standards Australia New Zealand (FSANZ) found that potato crisps, processed meat and meat products, cheese and pizza were highest in sodium, along with sauces, spreads and condiments </w:t>
      </w:r>
      <w:r>
        <w:rPr>
          <w:lang w:val="en-NZ"/>
        </w:rPr>
        <w:fldChar w:fldCharType="begin"/>
      </w:r>
      <w:r>
        <w:rPr>
          <w:lang w:val="en-NZ"/>
        </w:rPr>
        <w:instrText xml:space="preserve"> ADDIN EN.CITE &lt;EndNote&gt;&lt;Cite ExcludeAuth="1"&gt;&lt;Author&gt;Food Standards Australia New Zealand&lt;/Author&gt;&lt;Year&gt;2019&lt;/Year&gt;&lt;RecNum&gt;4622&lt;/RecNum&gt;&lt;Prefix&gt;FSANZ`, &lt;/Prefix&gt;&lt;DisplayText&gt;(FSANZ, 2019)&lt;/DisplayText&gt;&lt;record&gt;&lt;rec-number&gt;4622&lt;/rec-number&gt;&lt;foreign-keys&gt;&lt;key app="EN" db-id="wwsdv2wwp29fenerv0kx5tw9zxtx2fdrprx2" timestamp="1774922510"&gt;4622&lt;/key&gt;&lt;/foreign-keys&gt;&lt;ref-type name="Web Page"&gt;12&lt;/ref-type&gt;&lt;contributors&gt;&lt;authors&gt;&lt;author&gt;Food Standards Australia New Zealand, FSANZ&lt;/author&gt;&lt;/authors&gt;&lt;/contributors&gt;&lt;titles&gt;&lt;title&gt;How much sodium is in Australian foods?&lt;/title&gt;&lt;/titles&gt;&lt;volume&gt;2026&lt;/volume&gt;&lt;number&gt;31/03/2026&lt;/number&gt;&lt;dates&gt;&lt;year&gt;2019&lt;/year&gt;&lt;pub-dates&gt;&lt;date&gt;26/11/2025&lt;/date&gt;&lt;/pub-dates&gt;&lt;/dates&gt;&lt;publisher&gt;FSANZ&lt;/publisher&gt;&lt;urls&gt;&lt;related-urls&gt;&lt;url&gt;https://www.foodstandards.gov.au/consumer/nutrition/sodium-salt/sodiumhowmuch&lt;/url&gt;&lt;/related-urls&gt;&lt;/urls&gt;&lt;/record&gt;&lt;/Cite&gt;&lt;/EndNote&gt;</w:instrText>
      </w:r>
      <w:r>
        <w:rPr>
          <w:lang w:val="en-NZ"/>
        </w:rPr>
        <w:fldChar w:fldCharType="separate"/>
      </w:r>
      <w:r>
        <w:rPr>
          <w:noProof/>
          <w:lang w:val="en-NZ"/>
        </w:rPr>
        <w:t>(FSANZ, 2019)</w:t>
      </w:r>
      <w:r>
        <w:rPr>
          <w:lang w:val="en-NZ"/>
        </w:rPr>
        <w:fldChar w:fldCharType="end"/>
      </w:r>
      <w:r>
        <w:rPr>
          <w:lang w:val="en-NZ"/>
        </w:rPr>
        <w:t xml:space="preserve">. </w:t>
      </w:r>
      <w:r w:rsidR="0007166F">
        <w:t xml:space="preserve">Similarly, the New Zealand Total Diet Study (2016) evaluated the sodium content of foods, </w:t>
      </w:r>
      <w:r w:rsidR="001A46F9">
        <w:t>with highest concentrations found in bacon, ham, and processed foods including sausages, bread, condiments, breakfast cereals, takeaway and snack foods</w:t>
      </w:r>
      <w:r w:rsidR="001E3A8A">
        <w:t xml:space="preserve"> </w:t>
      </w:r>
      <w:r w:rsidR="001A46F9">
        <w:fldChar w:fldCharType="begin"/>
      </w:r>
      <w:r w:rsidR="008662AE">
        <w:instrText xml:space="preserve"> ADDIN EN.CITE &lt;EndNote&gt;&lt;Cite&gt;&lt;Author&gt;New Zealand Food Safety&lt;/Author&gt;&lt;Year&gt;2018&lt;/Year&gt;&lt;RecNum&gt;4709&lt;/RecNum&gt;&lt;DisplayText&gt;(New Zealand Food Safety, 2018)&lt;/DisplayText&gt;&lt;record&gt;&lt;rec-number&gt;4709&lt;/rec-number&gt;&lt;foreign-keys&gt;&lt;key app="EN" db-id="wwsdv2wwp29fenerv0kx5tw9zxtx2fdrprx2" timestamp="1777866999"&gt;4709&lt;/key&gt;&lt;/foreign-keys&gt;&lt;ref-type name="Government Document"&gt;46&lt;/ref-type&gt;&lt;contributors&gt;&lt;authors&gt;&lt;author&gt;New Zealand Food Safety,&lt;/author&gt;&lt;/authors&gt;&lt;secondary-authors&gt;&lt;author&gt;Ministry for Primary Industries&lt;/author&gt;&lt;/secondary-authors&gt;&lt;/contributors&gt;&lt;titles&gt;&lt;title&gt;New Zealand Total Diet Study 2016&lt;/title&gt;&lt;/titles&gt;&lt;dates&gt;&lt;year&gt;2018&lt;/year&gt;&lt;/dates&gt;&lt;urls&gt;&lt;related-urls&gt;&lt;url&gt;https://www.mpi.govt.nz/dmsdocument/43663-2016-NZ-Total-Diet-Study-without-Appendices-report-&lt;/url&gt;&lt;/related-urls&gt;&lt;/urls&gt;&lt;access-date&gt;04/05/2026&lt;/access-date&gt;&lt;/record&gt;&lt;/Cite&gt;&lt;/EndNote&gt;</w:instrText>
      </w:r>
      <w:r w:rsidR="001A46F9">
        <w:fldChar w:fldCharType="separate"/>
      </w:r>
      <w:r w:rsidR="001A46F9">
        <w:rPr>
          <w:noProof/>
        </w:rPr>
        <w:t>(New Zealand Food Safety, 2018)</w:t>
      </w:r>
      <w:r w:rsidR="001A46F9">
        <w:fldChar w:fldCharType="end"/>
      </w:r>
      <w:r w:rsidR="001A46F9">
        <w:t>.</w:t>
      </w:r>
      <w:r w:rsidR="00566BA0">
        <w:t xml:space="preserve"> This represents food composition data and should be interpreted in the context of relative consumption data presented above.</w:t>
      </w:r>
    </w:p>
    <w:p w14:paraId="26859DC4" w14:textId="58943AFD" w:rsidR="002A784F" w:rsidRDefault="002A784F" w:rsidP="005D41BE">
      <w:pPr>
        <w:spacing w:line="276" w:lineRule="auto"/>
      </w:pPr>
      <w:r>
        <w:t xml:space="preserve">Modelling undertaken to inform the </w:t>
      </w:r>
      <w:r w:rsidRPr="001930FF">
        <w:rPr>
          <w:i/>
          <w:iCs/>
        </w:rPr>
        <w:t>Queensland Health Nutrition Standards for Meals and Menus</w:t>
      </w:r>
      <w:r w:rsidRPr="001930FF">
        <w:t xml:space="preserve"> </w:t>
      </w:r>
      <w:r>
        <w:t xml:space="preserve">suggests that high sodium in the food supply presents a challenge to developing nutritionally balanced meal plans that fall within the recommended levels of intake for sodium. Although the bread used in modelling had a sodium level less than </w:t>
      </w:r>
      <w:r w:rsidRPr="00E00DAA">
        <w:t xml:space="preserve">400mg/100g and </w:t>
      </w:r>
      <w:r>
        <w:t xml:space="preserve">no discretionary salt was added, sodium intakes from the modelled, nutritionally balanced diets consistently exceeded the </w:t>
      </w:r>
      <w:r w:rsidR="0051030F">
        <w:t xml:space="preserve">current </w:t>
      </w:r>
      <w:r>
        <w:t xml:space="preserve">SDT </w:t>
      </w:r>
      <w:r w:rsidR="000753C6">
        <w:t xml:space="preserve">of 2,000 mg/day </w:t>
      </w:r>
      <w:r>
        <w:t xml:space="preserve">(127% to 137%). Similarly, the New South Wales Government </w:t>
      </w:r>
      <w:r w:rsidRPr="00581CE2">
        <w:rPr>
          <w:i/>
          <w:iCs/>
        </w:rPr>
        <w:t>Nutrient Goal Standard for adult patients</w:t>
      </w:r>
      <w:r>
        <w:rPr>
          <w:i/>
          <w:iCs/>
        </w:rPr>
        <w:t xml:space="preserve"> </w:t>
      </w:r>
      <w:r>
        <w:t xml:space="preserve">requires institutional menus to provide no more than 2,300 mg/day of sodium; a value that exceeds the current </w:t>
      </w:r>
      <w:r w:rsidR="00475B5A">
        <w:t>SDT</w:t>
      </w:r>
      <w:r>
        <w:t>. This likely represents a pragmatic decision taken to ensure that requirements for protein, energy and other micronutrient</w:t>
      </w:r>
      <w:r w:rsidR="00B007B4">
        <w:t>s</w:t>
      </w:r>
      <w:r>
        <w:t xml:space="preserve"> can also be met. These circumstances highlight structural barriers to achieving intakes aligned with NRV recommendations in the context of ongoing high sodium content of foods in the Australian and New Zealand food supply. </w:t>
      </w:r>
    </w:p>
    <w:p w14:paraId="774FF427" w14:textId="77777777" w:rsidR="001E08FB" w:rsidRDefault="00B875DC" w:rsidP="001E08FB">
      <w:pPr>
        <w:pStyle w:val="Heading2"/>
        <w:tabs>
          <w:tab w:val="left" w:pos="5546"/>
        </w:tabs>
        <w:rPr>
          <w:b/>
          <w:bCs/>
        </w:rPr>
      </w:pPr>
      <w:bookmarkStart w:id="44" w:name="_Toc234960835"/>
      <w:r w:rsidRPr="001E08FB">
        <w:rPr>
          <w:b/>
          <w:bCs/>
        </w:rPr>
        <w:t>Interventions to reduce</w:t>
      </w:r>
      <w:r w:rsidR="001E08FB">
        <w:rPr>
          <w:b/>
          <w:bCs/>
        </w:rPr>
        <w:t xml:space="preserve"> population sodium intakes</w:t>
      </w:r>
      <w:bookmarkEnd w:id="44"/>
    </w:p>
    <w:p w14:paraId="345E1D3E" w14:textId="7A0AA1EA" w:rsidR="00B875DC" w:rsidRPr="001E08FB" w:rsidRDefault="001E08FB" w:rsidP="001E08FB">
      <w:pPr>
        <w:pStyle w:val="Heading3"/>
      </w:pPr>
      <w:bookmarkStart w:id="45" w:name="_Toc234960836"/>
      <w:r>
        <w:t>Food reformulation</w:t>
      </w:r>
      <w:bookmarkEnd w:id="45"/>
    </w:p>
    <w:p w14:paraId="29C17D05" w14:textId="3EF71214" w:rsidR="00015C3C" w:rsidRDefault="009D1FDA" w:rsidP="005D41BE">
      <w:pPr>
        <w:spacing w:line="276" w:lineRule="auto"/>
      </w:pPr>
      <w:r>
        <w:t>In 2</w:t>
      </w:r>
      <w:r w:rsidRPr="009D1FDA">
        <w:t>013,</w:t>
      </w:r>
      <w:r>
        <w:t xml:space="preserve"> </w:t>
      </w:r>
      <w:r w:rsidRPr="009D1FDA">
        <w:t>Australia</w:t>
      </w:r>
      <w:r>
        <w:t xml:space="preserve"> and New Zealand </w:t>
      </w:r>
      <w:r w:rsidRPr="009D1FDA">
        <w:t>joined</w:t>
      </w:r>
      <w:r>
        <w:t xml:space="preserve"> </w:t>
      </w:r>
      <w:r w:rsidR="003E2520">
        <w:t xml:space="preserve">all </w:t>
      </w:r>
      <w:r>
        <w:t>WHO Mem</w:t>
      </w:r>
      <w:r w:rsidRPr="009D1FDA">
        <w:t xml:space="preserve">ber States </w:t>
      </w:r>
      <w:r w:rsidR="004227C1">
        <w:t xml:space="preserve">in </w:t>
      </w:r>
      <w:r w:rsidR="003E2520">
        <w:t>commit</w:t>
      </w:r>
      <w:r w:rsidR="004227C1">
        <w:t>ting</w:t>
      </w:r>
      <w:r w:rsidR="003E2520">
        <w:t xml:space="preserve"> </w:t>
      </w:r>
      <w:r>
        <w:t xml:space="preserve">to a 30% reduction in </w:t>
      </w:r>
      <w:r w:rsidRPr="009D1FDA">
        <w:t>population salt intake by 2025</w:t>
      </w:r>
      <w:r w:rsidR="000F470C">
        <w:t xml:space="preserve"> </w:t>
      </w:r>
      <w:r w:rsidR="000F470C">
        <w:fldChar w:fldCharType="begin"/>
      </w:r>
      <w:r w:rsidR="003F79F5">
        <w:instrText xml:space="preserve"> ADDIN EN.CITE &lt;EndNote&gt;&lt;Cite ExcludeAuth="1"&gt;&lt;Author&gt;World Health Organisation&lt;/Author&gt;&lt;Year&gt;2013&lt;/Year&gt;&lt;RecNum&gt;4775&lt;/RecNum&gt;&lt;Prefix&gt;WHO`, &lt;/Prefix&gt;&lt;DisplayText&gt;(WHO, 2013)&lt;/DisplayText&gt;&lt;record&gt;&lt;rec-number&gt;4775&lt;/rec-number&gt;&lt;foreign-keys&gt;&lt;key app="EN" db-id="wwsdv2wwp29fenerv0kx5tw9zxtx2fdrprx2" timestamp="1783927695"&gt;4775&lt;/key&gt;&lt;/foreign-keys&gt;&lt;ref-type name="Report"&gt;27&lt;/ref-type&gt;&lt;contributors&gt;&lt;authors&gt;&lt;author&gt;World Health Organisation,&lt;/author&gt;&lt;/authors&gt;&lt;/contributors&gt;&lt;titles&gt;&lt;title&gt;Global action plan for the prevention and control of noncommunicable diseases 2013-2020&lt;/title&gt;&lt;/titles&gt;&lt;dates&gt;&lt;year&gt;2013&lt;/year&gt;&lt;/dates&gt;&lt;pub-location&gt;Geneva, Switzerland&lt;/pub-location&gt;&lt;publisher&gt;WHO&lt;/publisher&gt;&lt;urls&gt;&lt;related-urls&gt;&lt;url&gt;https://iris.who.int/server/api/core/bitstreams/15f51d0a-bfbd-43ad-a637-73778feb57e3/content&lt;/url&gt;&lt;/related-urls&gt;&lt;/urls&gt;&lt;/record&gt;&lt;/Cite&gt;&lt;/EndNote&gt;</w:instrText>
      </w:r>
      <w:r w:rsidR="000F470C">
        <w:fldChar w:fldCharType="separate"/>
      </w:r>
      <w:r w:rsidR="003F79F5">
        <w:rPr>
          <w:noProof/>
        </w:rPr>
        <w:t>(WHO, 2013)</w:t>
      </w:r>
      <w:r w:rsidR="000F470C">
        <w:fldChar w:fldCharType="end"/>
      </w:r>
      <w:r w:rsidR="003F79F5">
        <w:t xml:space="preserve"> </w:t>
      </w:r>
      <w:r w:rsidR="00003474" w:rsidRPr="00003474">
        <w:t>In 2015, following on from the former Food and Health Dialogue (2009-2015) the Australian Government launched the Healthy Food Partnership (HFP); a voluntary program involving collaboration between food industry, the public health sector and government to lower the amount of sodium, as well as saturated fat and sugar, in processed foods.</w:t>
      </w:r>
    </w:p>
    <w:p w14:paraId="10D9457E" w14:textId="27E4D0FB" w:rsidR="0027611C" w:rsidRDefault="0059213B" w:rsidP="005D41BE">
      <w:pPr>
        <w:spacing w:line="276" w:lineRule="auto"/>
      </w:pPr>
      <w:r>
        <w:rPr>
          <w:lang w:val="en-NZ"/>
        </w:rPr>
        <w:t xml:space="preserve">Evaluation of the HFP indicates modest progress. </w:t>
      </w:r>
      <w:r w:rsidR="00A11CFA">
        <w:t>T</w:t>
      </w:r>
      <w:r w:rsidR="00A11CFA" w:rsidRPr="004519CF">
        <w:t xml:space="preserve">he average sodium content </w:t>
      </w:r>
      <w:r w:rsidR="00A11CFA">
        <w:t xml:space="preserve">across </w:t>
      </w:r>
      <w:r w:rsidR="00A11CFA" w:rsidRPr="004519CF">
        <w:t xml:space="preserve">all participating products </w:t>
      </w:r>
      <w:r>
        <w:t xml:space="preserve">decreased by </w:t>
      </w:r>
      <w:r w:rsidR="00A11CFA" w:rsidRPr="004519CF">
        <w:t xml:space="preserve">4.3% </w:t>
      </w:r>
      <w:r>
        <w:t xml:space="preserve">between June 2020 and </w:t>
      </w:r>
      <w:r w:rsidR="00A11CFA" w:rsidRPr="004519CF">
        <w:t xml:space="preserve">June 2024 </w:t>
      </w:r>
      <w:r w:rsidR="00A11CFA">
        <w:fldChar w:fldCharType="begin"/>
      </w:r>
      <w:r w:rsidR="007B321D">
        <w:instrText xml:space="preserve"> ADDIN EN.CITE &lt;EndNote&gt;&lt;Cite ExcludeAuth="1"&gt;&lt;Author&gt;Australian Bureau of Statistics&lt;/Author&gt;&lt;Year&gt;2025&lt;/Year&gt;&lt;RecNum&gt;4626&lt;/RecNum&gt;&lt;Prefix&gt;ABS`, &lt;/Prefix&gt;&lt;DisplayText&gt;(ABS, 2025)&lt;/DisplayText&gt;&lt;record&gt;&lt;rec-number&gt;4626&lt;/rec-number&gt;&lt;foreign-keys&gt;&lt;key app="EN" db-id="wwsdv2wwp29fenerv0kx5tw9zxtx2fdrprx2" timestamp="1774923184"&gt;4626&lt;/key&gt;&lt;/foreign-keys&gt;&lt;ref-type name="Government Document"&gt;46&lt;/ref-type&gt;&lt;contributors&gt;&lt;authors&gt;&lt;author&gt;Australian Bureau of Statistics, ABS&lt;/author&gt;&lt;/authors&gt;&lt;secondary-authors&gt;&lt;author&gt;ABS&lt;/author&gt;&lt;/secondary-authors&gt;&lt;/contributors&gt;&lt;titles&gt;&lt;title&gt;Healthy Food Partnership Reformulation Program: Wave 1, four-year progress&lt;/title&gt;&lt;/titles&gt;&lt;dates&gt;&lt;year&gt;2025&lt;/year&gt;&lt;/dates&gt;&lt;publisher&gt;ABS&lt;/publisher&gt;&lt;urls&gt;&lt;related-urls&gt;&lt;url&gt;https://www.abs.gov.au/articles/healthy-food-partnership-reformulation-program-wave-1-four-year-progress&lt;/url&gt;&lt;/related-urls&gt;&lt;/urls&gt;&lt;access-date&gt;31/03/2026&lt;/access-date&gt;&lt;/record&gt;&lt;/Cite&gt;&lt;/EndNote&gt;</w:instrText>
      </w:r>
      <w:r w:rsidR="00A11CFA">
        <w:fldChar w:fldCharType="separate"/>
      </w:r>
      <w:r w:rsidR="007B321D">
        <w:rPr>
          <w:noProof/>
        </w:rPr>
        <w:t>(ABS, 2025)</w:t>
      </w:r>
      <w:r w:rsidR="00A11CFA">
        <w:fldChar w:fldCharType="end"/>
      </w:r>
      <w:r w:rsidR="00A11CFA" w:rsidRPr="004519CF">
        <w:t>.</w:t>
      </w:r>
      <w:r>
        <w:t xml:space="preserve"> However, m</w:t>
      </w:r>
      <w:r w:rsidR="004F37BD">
        <w:t xml:space="preserve">odelling </w:t>
      </w:r>
      <w:r w:rsidR="001A43E3">
        <w:t xml:space="preserve">suggests that </w:t>
      </w:r>
      <w:r>
        <w:t xml:space="preserve">this translated to only a small reduction in dietary intake of </w:t>
      </w:r>
      <w:r w:rsidR="004F37BD">
        <w:t>14.8</w:t>
      </w:r>
      <w:r w:rsidR="00305835">
        <w:t xml:space="preserve"> </w:t>
      </w:r>
      <w:r w:rsidR="004F37BD">
        <w:t xml:space="preserve">mg per </w:t>
      </w:r>
      <w:r w:rsidR="000250C4">
        <w:t xml:space="preserve">person per </w:t>
      </w:r>
      <w:r w:rsidR="004F37BD">
        <w:t xml:space="preserve">day, </w:t>
      </w:r>
      <w:r w:rsidR="000250C4">
        <w:t xml:space="preserve">representing approximately </w:t>
      </w:r>
      <w:r w:rsidR="004F37BD">
        <w:t xml:space="preserve">0.5% of estimated </w:t>
      </w:r>
      <w:r w:rsidR="000250C4">
        <w:t xml:space="preserve">average daily consumption </w:t>
      </w:r>
      <w:r w:rsidR="004F37BD">
        <w:fldChar w:fldCharType="begin"/>
      </w:r>
      <w:r w:rsidR="00FD2932">
        <w:instrText xml:space="preserve"> ADDIN EN.CITE &lt;EndNote&gt;&lt;Cite ExcludeAuth="1"&gt;&lt;Author&gt;Australian Bureau of Statistics&lt;/Author&gt;&lt;Year&gt;2025&lt;/Year&gt;&lt;RecNum&gt;4626&lt;/RecNum&gt;&lt;Prefix&gt;ABS`, &lt;/Prefix&gt;&lt;DisplayText&gt;(ABS, 2025)&lt;/DisplayText&gt;&lt;record&gt;&lt;rec-number&gt;4626&lt;/rec-number&gt;&lt;foreign-keys&gt;&lt;key app="EN" db-id="wwsdv2wwp29fenerv0kx5tw9zxtx2fdrprx2" timestamp="1774923184"&gt;4626&lt;/key&gt;&lt;/foreign-keys&gt;&lt;ref-type name="Government Document"&gt;46&lt;/ref-type&gt;&lt;contributors&gt;&lt;authors&gt;&lt;author&gt;Australian Bureau of Statistics, ABS&lt;/author&gt;&lt;/authors&gt;&lt;secondary-authors&gt;&lt;author&gt;ABS&lt;/author&gt;&lt;/secondary-authors&gt;&lt;/contributors&gt;&lt;titles&gt;&lt;title&gt;Healthy Food Partnership Reformulation Program: Wave 1, four-year progress&lt;/title&gt;&lt;/titles&gt;&lt;dates&gt;&lt;year&gt;2025&lt;/year&gt;&lt;/dates&gt;&lt;publisher&gt;ABS&lt;/publisher&gt;&lt;urls&gt;&lt;related-urls&gt;&lt;url&gt;https://www.abs.gov.au/articles/healthy-food-partnership-reformulation-program-wave-1-four-year-progress&lt;/url&gt;&lt;/related-urls&gt;&lt;/urls&gt;&lt;access-date&gt;31/03/2026&lt;/access-date&gt;&lt;/record&gt;&lt;/Cite&gt;&lt;/EndNote&gt;</w:instrText>
      </w:r>
      <w:r w:rsidR="004F37BD">
        <w:fldChar w:fldCharType="separate"/>
      </w:r>
      <w:r w:rsidR="00FD2932">
        <w:rPr>
          <w:noProof/>
        </w:rPr>
        <w:t>(ABS, 2025)</w:t>
      </w:r>
      <w:r w:rsidR="004F37BD">
        <w:fldChar w:fldCharType="end"/>
      </w:r>
      <w:r w:rsidR="004F37BD">
        <w:t xml:space="preserve">. </w:t>
      </w:r>
      <w:r w:rsidR="00232C31">
        <w:t>Furthermore, Australians’ e</w:t>
      </w:r>
      <w:r w:rsidR="00232C31" w:rsidRPr="00613235">
        <w:t xml:space="preserve">nergy-adjusted sodium intakes increased slightly </w:t>
      </w:r>
      <w:r w:rsidR="00232C31">
        <w:t xml:space="preserve">between 2011-12 and 2023 </w:t>
      </w:r>
      <w:r w:rsidR="00232C31" w:rsidRPr="00613235">
        <w:t>(from 289.4 mg/1,000 kJ in 2011–12 to 295.3 mg/1,000 kJ in 2023)</w:t>
      </w:r>
      <w:r w:rsidR="00232C31">
        <w:t xml:space="preserve">, suggesting increased </w:t>
      </w:r>
      <w:r w:rsidR="00232C31" w:rsidRPr="00613235">
        <w:t xml:space="preserve">sodium </w:t>
      </w:r>
      <w:r w:rsidR="00232C31">
        <w:t xml:space="preserve">concentration in </w:t>
      </w:r>
      <w:r w:rsidR="00232C31" w:rsidRPr="00613235">
        <w:t>diet</w:t>
      </w:r>
      <w:r w:rsidR="00232C31">
        <w:t>s</w:t>
      </w:r>
      <w:r w:rsidR="00232C31" w:rsidRPr="00613235">
        <w:t xml:space="preserve"> despite overall reductions in food consumption</w:t>
      </w:r>
      <w:r w:rsidR="00232C31">
        <w:t xml:space="preserve"> </w:t>
      </w:r>
      <w:r w:rsidR="00232C31">
        <w:fldChar w:fldCharType="begin"/>
      </w:r>
      <w:r w:rsidR="00232C31">
        <w:instrText xml:space="preserve"> ADDIN EN.CITE &lt;EndNote&gt;&lt;Cite ExcludeAuth="1"&gt;&lt;Author&gt;Australian Bureau of Statistics&lt;/Author&gt;&lt;Year&gt;2023&lt;/Year&gt;&lt;RecNum&gt;4625&lt;/RecNum&gt;&lt;Prefix&gt;ABS`, &lt;/Prefix&gt;&lt;DisplayText&gt;(ABS, 2023b)&lt;/DisplayText&gt;&lt;record&gt;&lt;rec-number&gt;4625&lt;/rec-number&gt;&lt;foreign-keys&gt;&lt;key app="EN" db-id="wwsdv2wwp29fenerv0kx5tw9zxtx2fdrprx2" timestamp="1774922973"&gt;4625&lt;/key&gt;&lt;/foreign-keys&gt;&lt;ref-type name="Dataset"&gt;59&lt;/ref-type&gt;&lt;contributors&gt;&lt;authors&gt;&lt;author&gt;Australian Bureau of Statistics,&lt;/author&gt;&lt;/authors&gt;&lt;secondary-authors&gt;&lt;author&gt;Australian Bureau of Statistics,&lt;/author&gt;&lt;/secondary-authors&gt;&lt;/contributors&gt;&lt;titles&gt;&lt;title&gt; National Nutrition and Physical Activity Survey: Food and nutrients&lt;/title&gt;&lt;/titles&gt;&lt;section&gt;05/09/2025&lt;/section&gt;&lt;dates&gt;&lt;year&gt;2023&lt;/year&gt;&lt;/dates&gt;&lt;urls&gt;&lt;related-urls&gt;&lt;url&gt;https://www.abs.gov.au/statistics/health/food-and-nutrition/food-and-nutrients/2023&lt;/url&gt;&lt;/related-urls&gt;&lt;/urls&gt;&lt;access-date&gt;31/03/2026&lt;/access-date&gt;&lt;/record&gt;&lt;/Cite&gt;&lt;/EndNote&gt;</w:instrText>
      </w:r>
      <w:r w:rsidR="00232C31">
        <w:fldChar w:fldCharType="separate"/>
      </w:r>
      <w:r w:rsidR="00232C31">
        <w:rPr>
          <w:noProof/>
        </w:rPr>
        <w:t>(ABS, 2023b)</w:t>
      </w:r>
      <w:r w:rsidR="00232C31">
        <w:fldChar w:fldCharType="end"/>
      </w:r>
      <w:r w:rsidR="00232C31">
        <w:t xml:space="preserve">. </w:t>
      </w:r>
      <w:r w:rsidR="00C01287">
        <w:t>W</w:t>
      </w:r>
      <w:r w:rsidR="00860747">
        <w:t xml:space="preserve">hile national intake data suggests a </w:t>
      </w:r>
      <w:r w:rsidR="00C01287">
        <w:t xml:space="preserve">slight decline </w:t>
      </w:r>
      <w:r w:rsidR="004F37BD">
        <w:t xml:space="preserve">in </w:t>
      </w:r>
      <w:r w:rsidR="00C01287">
        <w:t xml:space="preserve">average sodium intakes between </w:t>
      </w:r>
      <w:r w:rsidR="004F37BD">
        <w:t>2011-12</w:t>
      </w:r>
      <w:r w:rsidR="00C01287">
        <w:t xml:space="preserve"> and</w:t>
      </w:r>
      <w:r w:rsidR="004F37BD">
        <w:t xml:space="preserve"> 2023</w:t>
      </w:r>
      <w:r w:rsidR="00860747">
        <w:t xml:space="preserve">, </w:t>
      </w:r>
      <w:r w:rsidR="00C01287">
        <w:t xml:space="preserve">trends are not consistent across population groups; notably, </w:t>
      </w:r>
      <w:r w:rsidR="004F37BD">
        <w:t>intake</w:t>
      </w:r>
      <w:r w:rsidR="00C01287">
        <w:t xml:space="preserve"> increased</w:t>
      </w:r>
      <w:r w:rsidR="004F37BD">
        <w:t xml:space="preserve"> among </w:t>
      </w:r>
      <w:r w:rsidR="00C01287">
        <w:t xml:space="preserve">adolescents </w:t>
      </w:r>
      <w:r w:rsidR="004F37BD">
        <w:t>aged 12 – 17 years</w:t>
      </w:r>
      <w:r w:rsidR="00630883">
        <w:t xml:space="preserve"> </w:t>
      </w:r>
      <w:r w:rsidR="006F5BAD">
        <w:fldChar w:fldCharType="begin"/>
      </w:r>
      <w:r w:rsidR="00630883">
        <w:instrText xml:space="preserve"> ADDIN EN.CITE &lt;EndNote&gt;&lt;Cite ExcludeAuth="1"&gt;&lt;Author&gt;Australian Bureau of Statistics&lt;/Author&gt;&lt;Year&gt;2023&lt;/Year&gt;&lt;RecNum&gt;4625&lt;/RecNum&gt;&lt;Prefix&gt;ABS`, &lt;/Prefix&gt;&lt;DisplayText&gt;(ABS, 2023b)&lt;/DisplayText&gt;&lt;record&gt;&lt;rec-number&gt;4625&lt;/rec-number&gt;&lt;foreign-keys&gt;&lt;key app="EN" db-id="wwsdv2wwp29fenerv0kx5tw9zxtx2fdrprx2" timestamp="1774922973"&gt;4625&lt;/key&gt;&lt;/foreign-keys&gt;&lt;ref-type name="Dataset"&gt;59&lt;/ref-type&gt;&lt;contributors&gt;&lt;authors&gt;&lt;author&gt;Australian Bureau of Statistics,&lt;/author&gt;&lt;/authors&gt;&lt;secondary-authors&gt;&lt;author&gt;Australian Bureau of Statistics,&lt;/author&gt;&lt;/secondary-authors&gt;&lt;/contributors&gt;&lt;titles&gt;&lt;title&gt; National Nutrition and Physical Activity Survey: Food and nutrients&lt;/title&gt;&lt;/titles&gt;&lt;section&gt;05/09/2025&lt;/section&gt;&lt;dates&gt;&lt;year&gt;2023&lt;/year&gt;&lt;/dates&gt;&lt;urls&gt;&lt;related-urls&gt;&lt;url&gt;https://www.abs.gov.au/statistics/health/food-and-nutrition/food-and-nutrients/2023&lt;/url&gt;&lt;/related-urls&gt;&lt;/urls&gt;&lt;access-date&gt;31/03/2026&lt;/access-date&gt;&lt;/record&gt;&lt;/Cite&gt;&lt;/EndNote&gt;</w:instrText>
      </w:r>
      <w:r w:rsidR="006F5BAD">
        <w:fldChar w:fldCharType="separate"/>
      </w:r>
      <w:r w:rsidR="00630883">
        <w:rPr>
          <w:noProof/>
        </w:rPr>
        <w:t>(ABS, 2023b)</w:t>
      </w:r>
      <w:r w:rsidR="006F5BAD">
        <w:fldChar w:fldCharType="end"/>
      </w:r>
      <w:r w:rsidR="006F5BAD">
        <w:t>.</w:t>
      </w:r>
      <w:r w:rsidR="00DC5608">
        <w:t xml:space="preserve"> </w:t>
      </w:r>
      <w:r w:rsidR="00957DF9">
        <w:t xml:space="preserve">Analysis of the HFP’s impact on sodium purchasing </w:t>
      </w:r>
      <w:r w:rsidR="001E5726">
        <w:t>estimated that the program resulted in very small reductions in sodium purchases</w:t>
      </w:r>
      <w:r w:rsidR="00A62E04">
        <w:t xml:space="preserve"> of around 50mg/day per capita, suggesting that more stringent </w:t>
      </w:r>
      <w:r w:rsidR="004D591E">
        <w:t xml:space="preserve">targets incorporating a broader range of foods are required to achieve meaningful population </w:t>
      </w:r>
      <w:r w:rsidR="004D591E">
        <w:lastRenderedPageBreak/>
        <w:t xml:space="preserve">health outcomes </w:t>
      </w:r>
      <w:r w:rsidR="004D591E">
        <w:fldChar w:fldCharType="begin"/>
      </w:r>
      <w:r w:rsidR="004D591E">
        <w:instrText xml:space="preserve"> ADDIN EN.CITE &lt;EndNote&gt;&lt;Cite&gt;&lt;Author&gt;Coyle&lt;/Author&gt;&lt;Year&gt;2021&lt;/Year&gt;&lt;RecNum&gt;4759&lt;/RecNum&gt;&lt;DisplayText&gt;(Coyle et al., 2021)&lt;/DisplayText&gt;&lt;record&gt;&lt;rec-number&gt;4759&lt;/rec-number&gt;&lt;foreign-keys&gt;&lt;key app="EN" db-id="wwsdv2wwp29fenerv0kx5tw9zxtx2fdrprx2" timestamp="1782792446"&gt;4759&lt;/key&gt;&lt;/foreign-keys&gt;&lt;ref-type name="Journal Article"&gt;17&lt;/ref-type&gt;&lt;contributors&gt;&lt;authors&gt;&lt;author&gt;Coyle, Daisy&lt;/author&gt;&lt;author&gt;Shahid, Maria&lt;/author&gt;&lt;author&gt;Dunford, Elizabeth&lt;/author&gt;&lt;author&gt;Ni Mhurchu, Cliona&lt;/author&gt;&lt;author&gt;McKee, Sarah&lt;/author&gt;&lt;author&gt;Santos, Myla&lt;/author&gt;&lt;author&gt;Popkin, Barry&lt;/author&gt;&lt;author&gt;Trieu, Kathy&lt;/author&gt;&lt;author&gt;Marklund, Matti&lt;/author&gt;&lt;author&gt;Neal, Bruce&lt;/author&gt;&lt;author&gt;Wu, Jason&lt;/author&gt;&lt;/authors&gt;&lt;/contributors&gt;&lt;titles&gt;&lt;title&gt;Estimating the potential impact of Australia&amp;apos;s reformulation programme on households&amp;apos; sodium purchases&lt;/title&gt;&lt;secondary-title&gt;BMJ Nutrition, Prevention &amp;amp; Health&lt;/secondary-title&gt;&lt;/titles&gt;&lt;periodical&gt;&lt;full-title&gt;BMJ Nutrition, Prevention &amp;amp; Health&lt;/full-title&gt;&lt;/periodical&gt;&lt;volume&gt;4&lt;/volume&gt;&lt;number&gt;1&lt;/number&gt;&lt;dates&gt;&lt;year&gt;2021&lt;/year&gt;&lt;/dates&gt;&lt;urls&gt;&lt;related-urls&gt;&lt;url&gt;https://doi.org/10.1136/bmjnph-2020-000173&lt;/url&gt;&lt;/related-urls&gt;&lt;/urls&gt;&lt;electronic-resource-num&gt;10.1136/bmjnph-2020-000173&lt;/electronic-resource-num&gt;&lt;/record&gt;&lt;/Cite&gt;&lt;/EndNote&gt;</w:instrText>
      </w:r>
      <w:r w:rsidR="004D591E">
        <w:fldChar w:fldCharType="separate"/>
      </w:r>
      <w:r w:rsidR="004D591E">
        <w:rPr>
          <w:noProof/>
        </w:rPr>
        <w:t>(Coyle et al., 2021)</w:t>
      </w:r>
      <w:r w:rsidR="004D591E">
        <w:fldChar w:fldCharType="end"/>
      </w:r>
      <w:r w:rsidR="004D591E">
        <w:t>.</w:t>
      </w:r>
      <w:r w:rsidR="003B1A1B">
        <w:t xml:space="preserve"> These findings were echoed by a</w:t>
      </w:r>
      <w:r w:rsidR="00902901">
        <w:t xml:space="preserve"> mid-term evaluation of the HFP using food composition data</w:t>
      </w:r>
      <w:r w:rsidR="00482506">
        <w:t>,</w:t>
      </w:r>
      <w:r w:rsidR="00902901">
        <w:t xml:space="preserve"> </w:t>
      </w:r>
      <w:r w:rsidR="00482506">
        <w:t xml:space="preserve">which </w:t>
      </w:r>
      <w:r w:rsidR="005E3A7D">
        <w:t>revealed minimal progress. A</w:t>
      </w:r>
      <w:r w:rsidR="00482506">
        <w:t xml:space="preserve">lthough </w:t>
      </w:r>
      <w:r w:rsidR="005E3A7D">
        <w:t xml:space="preserve">there was </w:t>
      </w:r>
      <w:r w:rsidR="00482506">
        <w:t xml:space="preserve">a small increase in the </w:t>
      </w:r>
      <w:r w:rsidR="005E3A7D">
        <w:t xml:space="preserve">proportion </w:t>
      </w:r>
      <w:r w:rsidR="00482506">
        <w:t xml:space="preserve">of products meeting HFP targets between 2019 and 2022, </w:t>
      </w:r>
      <w:r w:rsidR="00365B80">
        <w:t>42% of products</w:t>
      </w:r>
      <w:r w:rsidR="00780153">
        <w:t xml:space="preserve"> assessed did not meet the</w:t>
      </w:r>
      <w:r w:rsidR="00075CE1">
        <w:t xml:space="preserve"> </w:t>
      </w:r>
      <w:r w:rsidR="00780153">
        <w:t>targets</w:t>
      </w:r>
      <w:r w:rsidR="00075CE1">
        <w:t xml:space="preserve"> </w:t>
      </w:r>
      <w:r w:rsidR="00075CE1">
        <w:fldChar w:fldCharType="begin"/>
      </w:r>
      <w:r w:rsidR="00075CE1">
        <w:instrText xml:space="preserve"> ADDIN EN.CITE &lt;EndNote&gt;&lt;Cite&gt;&lt;Author&gt;Coyle&lt;/Author&gt;&lt;Year&gt;2025&lt;/Year&gt;&lt;RecNum&gt;4760&lt;/RecNum&gt;&lt;DisplayText&gt;(Coyle et al., 2025)&lt;/DisplayText&gt;&lt;record&gt;&lt;rec-number&gt;4760&lt;/rec-number&gt;&lt;foreign-keys&gt;&lt;key app="EN" db-id="wwsdv2wwp29fenerv0kx5tw9zxtx2fdrprx2" timestamp="1782792479"&gt;4760&lt;/key&gt;&lt;/foreign-keys&gt;&lt;ref-type name="Journal Article"&gt;17&lt;/ref-type&gt;&lt;contributors&gt;&lt;authors&gt;&lt;author&gt;Coyle, Daisy H.&lt;/author&gt;&lt;author&gt;Huang, Liping&lt;/author&gt;&lt;author&gt;Hu, Monica&lt;/author&gt;&lt;author&gt;Ghammachi, Nadine&lt;/author&gt;&lt;author&gt;Pettigrew, Simone&lt;/author&gt;&lt;author&gt;Wu, Jason H. Y.&lt;/author&gt;&lt;/authors&gt;&lt;/contributors&gt;&lt;titles&gt;&lt;title&gt;Assessing the impact of voluntary food reformulation targets: Mid-point assessment of Australia’s voluntary sodium and saturated fat reduction policy&lt;/title&gt;&lt;secondary-title&gt;European Journal of Clinical Nutrition&lt;/secondary-title&gt;&lt;/titles&gt;&lt;periodical&gt;&lt;full-title&gt;European journal of clinical nutrition&lt;/full-title&gt;&lt;/periodical&gt;&lt;pages&gt;1060-1065&lt;/pages&gt;&lt;volume&gt;79&lt;/volume&gt;&lt;number&gt;10&lt;/number&gt;&lt;dates&gt;&lt;year&gt;2025&lt;/year&gt;&lt;pub-dates&gt;&lt;date&gt;2025/10/01&lt;/date&gt;&lt;/pub-dates&gt;&lt;/dates&gt;&lt;isbn&gt;1476-5640&lt;/isbn&gt;&lt;urls&gt;&lt;related-urls&gt;&lt;url&gt;https://doi.org/10.1038/s41430-025-01647-5&lt;/url&gt;&lt;/related-urls&gt;&lt;/urls&gt;&lt;electronic-resource-num&gt;10.1038/s41430-025-01647-5&lt;/electronic-resource-num&gt;&lt;/record&gt;&lt;/Cite&gt;&lt;/EndNote&gt;</w:instrText>
      </w:r>
      <w:r w:rsidR="00075CE1">
        <w:fldChar w:fldCharType="separate"/>
      </w:r>
      <w:r w:rsidR="00075CE1">
        <w:rPr>
          <w:noProof/>
        </w:rPr>
        <w:t>(Coyle et al., 2025)</w:t>
      </w:r>
      <w:r w:rsidR="00075CE1">
        <w:fldChar w:fldCharType="end"/>
      </w:r>
      <w:r w:rsidR="00780153">
        <w:t xml:space="preserve">. </w:t>
      </w:r>
      <w:r w:rsidR="00365B80">
        <w:t xml:space="preserve"> </w:t>
      </w:r>
    </w:p>
    <w:p w14:paraId="41828D79" w14:textId="146DB166" w:rsidR="000D5FC5" w:rsidRDefault="00630883" w:rsidP="005D41BE">
      <w:pPr>
        <w:spacing w:line="276" w:lineRule="auto"/>
      </w:pPr>
      <w:r>
        <w:t xml:space="preserve">In New Zealand, a similar </w:t>
      </w:r>
      <w:r w:rsidR="00A11CFA">
        <w:t xml:space="preserve">voluntary food reformulation </w:t>
      </w:r>
      <w:r w:rsidR="0097708F">
        <w:t xml:space="preserve">initiative </w:t>
      </w:r>
      <w:r w:rsidR="001A6DC4">
        <w:t xml:space="preserve">– the </w:t>
      </w:r>
      <w:r w:rsidR="001A6DC4" w:rsidRPr="001A6DC4">
        <w:t xml:space="preserve">Heart Foundation Food Reformulation Programme </w:t>
      </w:r>
      <w:r w:rsidR="001A6DC4">
        <w:t>-</w:t>
      </w:r>
      <w:r w:rsidR="00410D51">
        <w:t xml:space="preserve"> </w:t>
      </w:r>
      <w:r w:rsidR="00A11CFA">
        <w:t xml:space="preserve">has been </w:t>
      </w:r>
      <w:r w:rsidR="0097708F">
        <w:t xml:space="preserve">progressively implemented </w:t>
      </w:r>
      <w:r w:rsidR="00A11CFA">
        <w:t xml:space="preserve">by the Heart Foundation since 2007. </w:t>
      </w:r>
      <w:r w:rsidR="0097708F">
        <w:t xml:space="preserve">Earlier evidence from the 2016 New Zealand </w:t>
      </w:r>
      <w:r w:rsidR="007B3B8C">
        <w:t>Total Diet Stud</w:t>
      </w:r>
      <w:r w:rsidR="0097708F">
        <w:t>y</w:t>
      </w:r>
      <w:r w:rsidR="007B3B8C">
        <w:t xml:space="preserve"> (NZTDS) suggest</w:t>
      </w:r>
      <w:r w:rsidR="00F4427F">
        <w:t>ed</w:t>
      </w:r>
      <w:r w:rsidR="007B3B8C">
        <w:t xml:space="preserve"> </w:t>
      </w:r>
      <w:r w:rsidR="00CF2DBC">
        <w:t xml:space="preserve">little overall change in sodium levels in processed foods as of </w:t>
      </w:r>
      <w:r w:rsidR="00F4427F">
        <w:t xml:space="preserve">2016, </w:t>
      </w:r>
      <w:r w:rsidR="00CF2DBC">
        <w:t xml:space="preserve">with reductions observed only in select categories such as </w:t>
      </w:r>
      <w:r w:rsidR="007B3B8C" w:rsidRPr="007B3B8C">
        <w:t>pizza and flavoured snacks</w:t>
      </w:r>
      <w:r w:rsidR="00B04B4A">
        <w:t xml:space="preserve"> </w:t>
      </w:r>
      <w:r w:rsidR="00B04B4A">
        <w:fldChar w:fldCharType="begin"/>
      </w:r>
      <w:r w:rsidR="008662AE">
        <w:instrText xml:space="preserve"> ADDIN EN.CITE &lt;EndNote&gt;&lt;Cite&gt;&lt;Author&gt;New Zealand Food Safety&lt;/Author&gt;&lt;Year&gt;2018&lt;/Year&gt;&lt;RecNum&gt;4709&lt;/RecNum&gt;&lt;DisplayText&gt;(New Zealand Food Safety, 2018)&lt;/DisplayText&gt;&lt;record&gt;&lt;rec-number&gt;4709&lt;/rec-number&gt;&lt;foreign-keys&gt;&lt;key app="EN" db-id="wwsdv2wwp29fenerv0kx5tw9zxtx2fdrprx2" timestamp="1777866999"&gt;4709&lt;/key&gt;&lt;/foreign-keys&gt;&lt;ref-type name="Government Document"&gt;46&lt;/ref-type&gt;&lt;contributors&gt;&lt;authors&gt;&lt;author&gt;New Zealand Food Safety,&lt;/author&gt;&lt;/authors&gt;&lt;secondary-authors&gt;&lt;author&gt;Ministry for Primary Industries&lt;/author&gt;&lt;/secondary-authors&gt;&lt;/contributors&gt;&lt;titles&gt;&lt;title&gt;New Zealand Total Diet Study 2016&lt;/title&gt;&lt;/titles&gt;&lt;dates&gt;&lt;year&gt;2018&lt;/year&gt;&lt;/dates&gt;&lt;urls&gt;&lt;related-urls&gt;&lt;url&gt;https://www.mpi.govt.nz/dmsdocument/43663-2016-NZ-Total-Diet-Study-without-Appendices-report-&lt;/url&gt;&lt;/related-urls&gt;&lt;/urls&gt;&lt;access-date&gt;04/05/2026&lt;/access-date&gt;&lt;/record&gt;&lt;/Cite&gt;&lt;/EndNote&gt;</w:instrText>
      </w:r>
      <w:r w:rsidR="00B04B4A">
        <w:fldChar w:fldCharType="separate"/>
      </w:r>
      <w:r w:rsidR="00B04B4A">
        <w:rPr>
          <w:noProof/>
        </w:rPr>
        <w:t>(New Zealand Food Safety, 2018)</w:t>
      </w:r>
      <w:r w:rsidR="00B04B4A">
        <w:fldChar w:fldCharType="end"/>
      </w:r>
      <w:r w:rsidR="007B3B8C" w:rsidRPr="007B3B8C">
        <w:t>.</w:t>
      </w:r>
      <w:r w:rsidR="00B04B4A">
        <w:t xml:space="preserve"> </w:t>
      </w:r>
      <w:r w:rsidR="000163EB">
        <w:t>M</w:t>
      </w:r>
      <w:r w:rsidR="007B3B8C">
        <w:t>ore recent</w:t>
      </w:r>
      <w:r w:rsidR="00A11CFA">
        <w:t xml:space="preserve"> estimates </w:t>
      </w:r>
      <w:r w:rsidR="000163EB">
        <w:t xml:space="preserve">indicate larger reductions, with an </w:t>
      </w:r>
      <w:r w:rsidR="00A11CFA">
        <w:t xml:space="preserve">approximate 20% </w:t>
      </w:r>
      <w:r w:rsidR="000163EB">
        <w:t xml:space="preserve">decrease </w:t>
      </w:r>
      <w:r w:rsidR="00A11CFA">
        <w:t xml:space="preserve">in sodium content </w:t>
      </w:r>
      <w:r w:rsidR="000163EB">
        <w:t xml:space="preserve">across </w:t>
      </w:r>
      <w:r w:rsidR="00A11CFA">
        <w:t>in scope foods</w:t>
      </w:r>
      <w:r w:rsidR="00225622">
        <w:t xml:space="preserve">, corresponding to </w:t>
      </w:r>
      <w:r w:rsidR="00A11CFA">
        <w:t xml:space="preserve">an </w:t>
      </w:r>
      <w:r w:rsidR="00225622">
        <w:t xml:space="preserve">estimated intake reduction of </w:t>
      </w:r>
      <w:r w:rsidR="00A11CFA">
        <w:t>260 mg/day</w:t>
      </w:r>
      <w:r w:rsidR="00225622">
        <w:t xml:space="preserve"> </w:t>
      </w:r>
      <w:r w:rsidR="00225622" w:rsidRPr="00251438">
        <w:fldChar w:fldCharType="begin"/>
      </w:r>
      <w:r w:rsidR="00225622" w:rsidRPr="00251438">
        <w:instrText xml:space="preserve"> ADDIN EN.CITE &lt;EndNote&gt;&lt;Cite&gt;&lt;Author&gt;Wang&lt;/Author&gt;&lt;Year&gt;2022&lt;/Year&gt;&lt;RecNum&gt;4692&lt;/RecNum&gt;&lt;DisplayText&gt;(Wang et al., 2022)&lt;/DisplayText&gt;&lt;record&gt;&lt;rec-number&gt;4692&lt;/rec-number&gt;&lt;foreign-keys&gt;&lt;key app="EN" db-id="wwsdv2wwp29fenerv0kx5tw9zxtx2fdrprx2" timestamp="1776133610"&gt;4692&lt;/key&gt;&lt;/foreign-keys&gt;&lt;ref-type name="Journal Article"&gt;17&lt;/ref-type&gt;&lt;contributors&gt;&lt;authors&gt;&lt;author&gt;Wang, N. X.&lt;/author&gt;&lt;author&gt;Skeaff, S.&lt;/author&gt;&lt;author&gt;Cameron, C.&lt;/author&gt;&lt;author&gt;Fleming, E.&lt;/author&gt;&lt;author&gt;McLean, R. M.&lt;/author&gt;&lt;/authors&gt;&lt;/contributors&gt;&lt;auth-address&gt;University of Otago, Dunedin Campus, Dunedin, New Zealand.&amp;#xD;University of Otago, Dunedin Campus, Dunedin, New Zealand. rachael.mclean@otago.ac.nz.&lt;/auth-address&gt;&lt;titles&gt;&lt;title&gt;Sodium in the New Zealand diet: proposed voluntary food reformulation targets will not meet the WHO goal of a 30% reduction in total sodium intake&lt;/title&gt;&lt;secondary-title&gt;Eur J Nutr&lt;/secondary-title&gt;&lt;/titles&gt;&lt;periodical&gt;&lt;full-title&gt;Eur J Nutr&lt;/full-title&gt;&lt;/periodical&gt;&lt;pages&gt;3067-3076&lt;/pages&gt;&lt;volume&gt;61&lt;/volume&gt;&lt;number&gt;6&lt;/number&gt;&lt;edition&gt;20220330&lt;/edition&gt;&lt;keywords&gt;&lt;keyword&gt;Adult&lt;/keyword&gt;&lt;keyword&gt;Diet&lt;/keyword&gt;&lt;keyword&gt;Goals&lt;/keyword&gt;&lt;keyword&gt;Humans&lt;/keyword&gt;&lt;keyword&gt;New Zealand&lt;/keyword&gt;&lt;keyword&gt;*Sodium&lt;/keyword&gt;&lt;keyword&gt;*Sodium, Dietary&lt;/keyword&gt;&lt;keyword&gt;World Health Organization&lt;/keyword&gt;&lt;keyword&gt;Food reformulation&lt;/keyword&gt;&lt;keyword&gt;Salt&lt;/keyword&gt;&lt;keyword&gt;Sodium&lt;/keyword&gt;&lt;/keywords&gt;&lt;dates&gt;&lt;year&gt;2022&lt;/year&gt;&lt;pub-dates&gt;&lt;date&gt;Sep&lt;/date&gt;&lt;/pub-dates&gt;&lt;/dates&gt;&lt;isbn&gt;1436-6207 (Print)&amp;#xD;1436-6207&lt;/isbn&gt;&lt;accession-num&gt;35353200&lt;/accession-num&gt;&lt;urls&gt;&lt;/urls&gt;&lt;custom1&gt;Rachael McLean is an unpaid member of the New Zealand Heart Foundation scientific advisory group. The New Zealand Heart Foundation had no role in the design or implementation of the study.&lt;/custom1&gt;&lt;custom2&gt;PMC9363297&lt;/custom2&gt;&lt;electronic-resource-num&gt;10.1007/s00394-022-02864-5&lt;/electronic-resource-num&gt;&lt;remote-database-provider&gt;NLM&lt;/remote-database-provider&gt;&lt;language&gt;eng&lt;/language&gt;&lt;/record&gt;&lt;/Cite&gt;&lt;/EndNote&gt;</w:instrText>
      </w:r>
      <w:r w:rsidR="00225622" w:rsidRPr="00251438">
        <w:fldChar w:fldCharType="separate"/>
      </w:r>
      <w:r w:rsidR="00225622" w:rsidRPr="00251438">
        <w:rPr>
          <w:noProof/>
        </w:rPr>
        <w:t>(Wang et al., 2022)</w:t>
      </w:r>
      <w:r w:rsidR="00225622" w:rsidRPr="00251438">
        <w:fldChar w:fldCharType="end"/>
      </w:r>
      <w:r w:rsidR="00225622">
        <w:t xml:space="preserve">. However, </w:t>
      </w:r>
      <w:r w:rsidR="00BC27AC">
        <w:t>this level of reduction remains insufficient to meet WHO targets.</w:t>
      </w:r>
      <w:r w:rsidR="0057627F">
        <w:t xml:space="preserve"> </w:t>
      </w:r>
      <w:r w:rsidR="00BC27AC">
        <w:t xml:space="preserve">Product-level analyses also show mixed progress, with decreases observed in foods such as bread and processed meats, but increases in other groups including noodles </w:t>
      </w:r>
      <w:r w:rsidR="003345A8">
        <w:fldChar w:fldCharType="begin"/>
      </w:r>
      <w:r w:rsidR="003345A8">
        <w:instrText xml:space="preserve"> ADDIN EN.CITE &lt;EndNote&gt;&lt;Cite&gt;&lt;Author&gt;Fuavao&lt;/Author&gt;&lt;Year&gt;2023&lt;/Year&gt;&lt;RecNum&gt;4754&lt;/RecNum&gt;&lt;DisplayText&gt;(Fuavao et al., 2023)&lt;/DisplayText&gt;&lt;record&gt;&lt;rec-number&gt;4754&lt;/rec-number&gt;&lt;foreign-keys&gt;&lt;key app="EN" db-id="wwsdv2wwp29fenerv0kx5tw9zxtx2fdrprx2" timestamp="1781749899"&gt;4754&lt;/key&gt;&lt;/foreign-keys&gt;&lt;ref-type name="Journal Article"&gt;17&lt;/ref-type&gt;&lt;contributors&gt;&lt;authors&gt;&lt;author&gt;Fuavao, Kava&lt;/author&gt;&lt;author&gt;Mhurchu, Cliona Ni&lt;/author&gt;&lt;author&gt;Swinburn, Boyd&lt;/author&gt;&lt;author&gt;Nosa, Vili&lt;/author&gt;&lt;author&gt;de Castro, Teresa Gontijo&lt;/author&gt;&lt;author&gt;Eyles, Helen&lt;/author&gt;&lt;/authors&gt;&lt;/contributors&gt;&lt;titles&gt;&lt;title&gt;The Major Packaged Food Sources of Sodium for New Zealand Children and Trends in the Sodium Content of Commonly Consumed Foods&lt;/title&gt;&lt;secondary-title&gt;Medical Sciences Forum&lt;/secondary-title&gt;&lt;/titles&gt;&lt;periodical&gt;&lt;full-title&gt;Medical Sciences Forum&lt;/full-title&gt;&lt;/periodical&gt;&lt;pages&gt;24&lt;/pages&gt;&lt;volume&gt;18&lt;/volume&gt;&lt;number&gt;1&lt;/number&gt;&lt;dates&gt;&lt;year&gt;2023&lt;/year&gt;&lt;/dates&gt;&lt;isbn&gt;2673-9992&lt;/isbn&gt;&lt;accession-num&gt;doi:10.3390/msf2023018024&lt;/accession-num&gt;&lt;urls&gt;&lt;related-urls&gt;&lt;url&gt;https://www.mdpi.com/2673-9992/18/1/24&lt;/url&gt;&lt;/related-urls&gt;&lt;/urls&gt;&lt;/record&gt;&lt;/Cite&gt;&lt;/EndNote&gt;</w:instrText>
      </w:r>
      <w:r w:rsidR="003345A8">
        <w:fldChar w:fldCharType="separate"/>
      </w:r>
      <w:r w:rsidR="003345A8">
        <w:rPr>
          <w:noProof/>
        </w:rPr>
        <w:t>(Fuavao et al., 2023)</w:t>
      </w:r>
      <w:r w:rsidR="003345A8">
        <w:fldChar w:fldCharType="end"/>
      </w:r>
      <w:r w:rsidR="003345A8">
        <w:t>.</w:t>
      </w:r>
      <w:r w:rsidR="00D261D5">
        <w:t xml:space="preserve"> </w:t>
      </w:r>
      <w:r w:rsidR="00BC27AC">
        <w:t xml:space="preserve">Overall, while </w:t>
      </w:r>
      <w:r w:rsidR="00D261D5">
        <w:t xml:space="preserve">New Zealand </w:t>
      </w:r>
      <w:r w:rsidR="00BC27AC">
        <w:t xml:space="preserve">food reformulation initiatives have achieved measurable reductions in the sodium content of some </w:t>
      </w:r>
      <w:r w:rsidR="00251438" w:rsidRPr="00251438">
        <w:t>products</w:t>
      </w:r>
      <w:r w:rsidR="00570BC4">
        <w:t>, such as bread</w:t>
      </w:r>
      <w:r w:rsidR="00251438" w:rsidRPr="00251438">
        <w:t xml:space="preserve"> </w:t>
      </w:r>
      <w:r w:rsidR="00251438" w:rsidRPr="00251438">
        <w:fldChar w:fldCharType="begin"/>
      </w:r>
      <w:r w:rsidR="00251438" w:rsidRPr="00251438">
        <w:instrText xml:space="preserve"> ADDIN EN.CITE &lt;EndNote&gt;&lt;Cite&gt;&lt;Author&gt;Monro&lt;/Author&gt;&lt;Year&gt;2025&lt;/Year&gt;&lt;RecNum&gt;4708&lt;/RecNum&gt;&lt;DisplayText&gt;(Monro et al., 2025)&lt;/DisplayText&gt;&lt;record&gt;&lt;rec-number&gt;4708&lt;/rec-number&gt;&lt;foreign-keys&gt;&lt;key app="EN" db-id="wwsdv2wwp29fenerv0kx5tw9zxtx2fdrprx2" timestamp="1777866999"&gt;4708&lt;/key&gt;&lt;/foreign-keys&gt;&lt;ref-type name="Journal Article"&gt;17&lt;/ref-type&gt;&lt;contributors&gt;&lt;authors&gt;&lt;author&gt;Monro, David&lt;/author&gt;&lt;author&gt;Hu, Nan&lt;/author&gt;&lt;author&gt;McLean, Rachael Mira&lt;/author&gt;&lt;/authors&gt;&lt;/contributors&gt;&lt;titles&gt;&lt;title&gt;Food Reformulation in New Zealand: A Success Story of Reducing the Sodium Content in Bread from 2003 to 2023&lt;/title&gt;&lt;secondary-title&gt;Nutrients&lt;/secondary-title&gt;&lt;/titles&gt;&lt;periodical&gt;&lt;full-title&gt;Nutrients&lt;/full-title&gt;&lt;/periodical&gt;&lt;pages&gt;3627&lt;/pages&gt;&lt;volume&gt;17&lt;/volume&gt;&lt;number&gt;22&lt;/number&gt;&lt;dates&gt;&lt;year&gt;2025&lt;/year&gt;&lt;/dates&gt;&lt;isbn&gt;2072-6643&lt;/isbn&gt;&lt;accession-num&gt;doi:10.3390/nu17223627&lt;/accession-num&gt;&lt;urls&gt;&lt;related-urls&gt;&lt;url&gt;https://www.mdpi.com/2072-6643/17/22/3627&lt;/url&gt;&lt;/related-urls&gt;&lt;/urls&gt;&lt;/record&gt;&lt;/Cite&gt;&lt;/EndNote&gt;</w:instrText>
      </w:r>
      <w:r w:rsidR="00251438" w:rsidRPr="00251438">
        <w:fldChar w:fldCharType="separate"/>
      </w:r>
      <w:r w:rsidR="00251438" w:rsidRPr="00251438">
        <w:rPr>
          <w:noProof/>
        </w:rPr>
        <w:t>(Monro et al., 2025)</w:t>
      </w:r>
      <w:r w:rsidR="00251438" w:rsidRPr="00251438">
        <w:fldChar w:fldCharType="end"/>
      </w:r>
      <w:r w:rsidR="0067248A">
        <w:t>, progress has been modest and uneven.</w:t>
      </w:r>
      <w:r w:rsidR="00251438" w:rsidRPr="00251438">
        <w:t xml:space="preserve"> </w:t>
      </w:r>
      <w:r w:rsidR="0067248A">
        <w:t>T</w:t>
      </w:r>
      <w:r w:rsidR="004F3516" w:rsidRPr="00251438">
        <w:t>here remains s</w:t>
      </w:r>
      <w:r w:rsidR="000D5FC5" w:rsidRPr="00251438">
        <w:t xml:space="preserve">ignificant </w:t>
      </w:r>
      <w:r w:rsidR="0067248A">
        <w:t xml:space="preserve">potential </w:t>
      </w:r>
      <w:r w:rsidR="000D5FC5" w:rsidRPr="00251438">
        <w:t xml:space="preserve">for </w:t>
      </w:r>
      <w:r w:rsidR="0067248A">
        <w:t xml:space="preserve">further </w:t>
      </w:r>
      <w:r w:rsidR="000D5FC5" w:rsidRPr="00251438">
        <w:t xml:space="preserve">reduction </w:t>
      </w:r>
      <w:r w:rsidR="0067248A">
        <w:t xml:space="preserve">across the food supply, particularly in some sectors such as </w:t>
      </w:r>
      <w:r w:rsidR="000D5FC5" w:rsidRPr="00251438">
        <w:t xml:space="preserve">fast foods </w:t>
      </w:r>
      <w:r w:rsidR="000D5FC5" w:rsidRPr="00251438">
        <w:fldChar w:fldCharType="begin"/>
      </w:r>
      <w:r w:rsidR="008662AE" w:rsidRPr="00251438">
        <w:instrText xml:space="preserve"> ADDIN EN.CITE &lt;EndNote&gt;&lt;Cite&gt;&lt;Author&gt;Gomes&lt;/Author&gt;&lt;Year&gt;2024&lt;/Year&gt;&lt;RecNum&gt;4705&lt;/RecNum&gt;&lt;DisplayText&gt;(Gomes et al., 2024)&lt;/DisplayText&gt;&lt;record&gt;&lt;rec-number&gt;4705&lt;/rec-number&gt;&lt;foreign-keys&gt;&lt;key app="EN" db-id="wwsdv2wwp29fenerv0kx5tw9zxtx2fdrprx2" timestamp="1777866999"&gt;4705&lt;/key&gt;&lt;/foreign-keys&gt;&lt;ref-type name="Journal Article"&gt;17&lt;/ref-type&gt;&lt;contributors&gt;&lt;authors&gt;&lt;author&gt;Gomes, S.&lt;/author&gt;&lt;author&gt;Mackay, S.&lt;/author&gt;&lt;author&gt;Gerritsen, S.&lt;/author&gt;&lt;author&gt;Eyles, H.&lt;/author&gt;&lt;/authors&gt;&lt;/contributors&gt;&lt;auth-address&gt;Pinnacle Midlands Health Network, Gisborne, New Zealand.&amp;#xD;Department of Epidemiology and Biostatistics, Faculty of Medical and Health Sciences, University of Auckland, Auckland, New Zealand.&amp;#xD;Department of Social and Community Health, School of Population Health, University of Auckland, Auckland, New Zealand.&amp;#xD;National Institute for Health Innovation, School of Population Health, University of Auckland, Auckland, New Zealand.&lt;/auth-address&gt;&lt;titles&gt;&lt;title&gt;The development of sodium reduction targets for New Zealand fast foods and a comparison with the current sodium contents of products&lt;/title&gt;&lt;secondary-title&gt;J Nutr Sci&lt;/secondary-title&gt;&lt;/titles&gt;&lt;periodical&gt;&lt;full-title&gt;J Nutr Sci&lt;/full-title&gt;&lt;/periodical&gt;&lt;pages&gt;e41&lt;/pages&gt;&lt;volume&gt;13&lt;/volume&gt;&lt;edition&gt;20240919&lt;/edition&gt;&lt;keywords&gt;&lt;keyword&gt;New Zealand&lt;/keyword&gt;&lt;keyword&gt;*Sodium, Dietary/analysis&lt;/keyword&gt;&lt;keyword&gt;*Fast Foods/analysis&lt;/keyword&gt;&lt;keyword&gt;Humans&lt;/keyword&gt;&lt;keyword&gt;Serving Size&lt;/keyword&gt;&lt;keyword&gt;Nutrition Policy&lt;/keyword&gt;&lt;keyword&gt;Benchmarking&lt;/keyword&gt;&lt;keyword&gt;Fast-foods&lt;/keyword&gt;&lt;keyword&gt;Salt&lt;/keyword&gt;&lt;keyword&gt;Sodium&lt;/keyword&gt;&lt;keyword&gt;Target&lt;/keyword&gt;&lt;/keywords&gt;&lt;dates&gt;&lt;year&gt;2024&lt;/year&gt;&lt;/dates&gt;&lt;isbn&gt;2048-6790&lt;/isbn&gt;&lt;accession-num&gt;39351255&lt;/accession-num&gt;&lt;urls&gt;&lt;/urls&gt;&lt;custom1&gt;All authors declare no conflict of interest.&lt;/custom1&gt;&lt;custom2&gt;PMC11440569&lt;/custom2&gt;&lt;electronic-resource-num&gt;10.1017/jns.2024.35&lt;/electronic-resource-num&gt;&lt;remote-database-provider&gt;NLM&lt;/remote-database-provider&gt;&lt;language&gt;eng&lt;/language&gt;&lt;/record&gt;&lt;/Cite&gt;&lt;/EndNote&gt;</w:instrText>
      </w:r>
      <w:r w:rsidR="000D5FC5" w:rsidRPr="00251438">
        <w:fldChar w:fldCharType="separate"/>
      </w:r>
      <w:r w:rsidR="000D5FC5" w:rsidRPr="00251438">
        <w:rPr>
          <w:noProof/>
        </w:rPr>
        <w:t>(Gomes et al., 2024)</w:t>
      </w:r>
      <w:r w:rsidR="000D5FC5" w:rsidRPr="00251438">
        <w:fldChar w:fldCharType="end"/>
      </w:r>
      <w:r w:rsidR="00251438" w:rsidRPr="00251438">
        <w:t>.</w:t>
      </w:r>
    </w:p>
    <w:p w14:paraId="758793E0" w14:textId="128F55DD" w:rsidR="001E08FB" w:rsidRPr="001E08FB" w:rsidRDefault="001E08FB" w:rsidP="001E08FB">
      <w:pPr>
        <w:pStyle w:val="Heading3"/>
      </w:pPr>
      <w:bookmarkStart w:id="46" w:name="_Toc234960837"/>
      <w:r>
        <w:t>Health Stars Rating system</w:t>
      </w:r>
      <w:bookmarkEnd w:id="46"/>
    </w:p>
    <w:p w14:paraId="32D0F446" w14:textId="77777777" w:rsidR="008F189A" w:rsidRDefault="004738D1" w:rsidP="0063410A">
      <w:pPr>
        <w:spacing w:line="276" w:lineRule="auto"/>
      </w:pPr>
      <w:r w:rsidRPr="004738D1">
        <w:t xml:space="preserve">The Health Star Rating (HSR) system is a voluntary nutrition labelling scheme jointly implemented in Australia and New Zealand in June 2014 to provide consumers with a </w:t>
      </w:r>
      <w:r w:rsidR="001D2D24">
        <w:t xml:space="preserve">quick, </w:t>
      </w:r>
      <w:r w:rsidRPr="004738D1">
        <w:t>simple and consistent method for comparing the nutritional profile of similar packaged foods</w:t>
      </w:r>
      <w:r w:rsidR="00F669D7">
        <w:t xml:space="preserve"> </w:t>
      </w:r>
      <w:r w:rsidR="00913207">
        <w:fldChar w:fldCharType="begin"/>
      </w:r>
      <w:r w:rsidR="00913207">
        <w:instrText xml:space="preserve"> ADDIN EN.CITE &lt;EndNote&gt;&lt;Cite ExcludeAuth="1"&gt;&lt;Author&gt;Food Standards Australia and New Zealand&lt;/Author&gt;&lt;Year&gt;2026&lt;/Year&gt;&lt;RecNum&gt;4772&lt;/RecNum&gt;&lt;Prefix&gt;FSANZ`, &lt;/Prefix&gt;&lt;DisplayText&gt;(FSANZ, 2026)&lt;/DisplayText&gt;&lt;record&gt;&lt;rec-number&gt;4772&lt;/rec-number&gt;&lt;foreign-keys&gt;&lt;key app="EN" db-id="wwsdv2wwp29fenerv0kx5tw9zxtx2fdrprx2" timestamp="1783598336"&gt;4772&lt;/key&gt;&lt;/foreign-keys&gt;&lt;ref-type name="Web Page"&gt;12&lt;/ref-type&gt;&lt;contributors&gt;&lt;authors&gt;&lt;author&gt;Food Standards Australia and New Zealand,&lt;/author&gt;&lt;/authors&gt;&lt;/contributors&gt;&lt;titles&gt;&lt;title&gt;Health Star Rating System&lt;/title&gt;&lt;/titles&gt;&lt;volume&gt;2026&lt;/volume&gt;&lt;number&gt;09/07/2026&lt;/number&gt;&lt;dates&gt;&lt;year&gt;2026&lt;/year&gt;&lt;pub-dates&gt;&lt;date&gt;22/04/2026&lt;/date&gt;&lt;/pub-dates&gt;&lt;/dates&gt;&lt;urls&gt;&lt;related-urls&gt;&lt;url&gt;https://www.foodstandards.gov.au/consumer/labelling/Health-Star-Rating-System&lt;/url&gt;&lt;/related-urls&gt;&lt;/urls&gt;&lt;/record&gt;&lt;/Cite&gt;&lt;/EndNote&gt;</w:instrText>
      </w:r>
      <w:r w:rsidR="00913207">
        <w:fldChar w:fldCharType="separate"/>
      </w:r>
      <w:r w:rsidR="00913207">
        <w:rPr>
          <w:noProof/>
        </w:rPr>
        <w:t>(FSANZ, 2026)</w:t>
      </w:r>
      <w:r w:rsidR="00913207">
        <w:fldChar w:fldCharType="end"/>
      </w:r>
      <w:r w:rsidRPr="004738D1">
        <w:t>. Products are assigned a rating from ½ to 5 stars based on an algorithm that considers both nutrients and food components t</w:t>
      </w:r>
      <w:r w:rsidR="007274EE">
        <w:t xml:space="preserve">hat decrease health risk </w:t>
      </w:r>
      <w:r w:rsidRPr="004738D1">
        <w:t xml:space="preserve">(e.g. fruit, vegetables, nuts, legumes, protein and fibre) and those associated with </w:t>
      </w:r>
      <w:r w:rsidR="007274EE">
        <w:t>increased risk</w:t>
      </w:r>
      <w:r w:rsidRPr="004738D1">
        <w:t>, including sodium, saturated fat and total sugars. Higher-rated products are intended to represent healthier choices within a food category</w:t>
      </w:r>
      <w:r>
        <w:t xml:space="preserve">. </w:t>
      </w:r>
      <w:r w:rsidR="0063410A" w:rsidRPr="0063410A">
        <w:t xml:space="preserve">The HSR system was also designed to </w:t>
      </w:r>
      <w:r w:rsidR="002F79D6">
        <w:t xml:space="preserve">incentivise product </w:t>
      </w:r>
      <w:r w:rsidR="0063410A" w:rsidRPr="0063410A">
        <w:t>reformulation by providing an incentive for manufacturers to improve the nutritional composition of foods and beverage</w:t>
      </w:r>
      <w:r w:rsidR="00060F3B">
        <w:t>s</w:t>
      </w:r>
      <w:r w:rsidR="0063410A" w:rsidRPr="0063410A">
        <w:t xml:space="preserve"> to achieve higher star ratings. </w:t>
      </w:r>
    </w:p>
    <w:p w14:paraId="3D7A761D" w14:textId="13C62047" w:rsidR="00386192" w:rsidRPr="0063410A" w:rsidRDefault="0063410A" w:rsidP="0063410A">
      <w:pPr>
        <w:spacing w:line="276" w:lineRule="auto"/>
      </w:pPr>
      <w:r w:rsidRPr="0063410A">
        <w:t xml:space="preserve">Sodium content is one component of the HSR algorithm, and reductions in sodium can contribute to improved ratings for many products. As such, the HSR system </w:t>
      </w:r>
      <w:r w:rsidR="008A6CA1">
        <w:t xml:space="preserve">forms one </w:t>
      </w:r>
      <w:r w:rsidRPr="0063410A">
        <w:t xml:space="preserve">part of </w:t>
      </w:r>
      <w:r w:rsidR="008A6CA1">
        <w:t xml:space="preserve">the </w:t>
      </w:r>
      <w:r w:rsidRPr="0063410A">
        <w:t xml:space="preserve">broader </w:t>
      </w:r>
      <w:r w:rsidR="000B71A4">
        <w:t xml:space="preserve">public health strategies in </w:t>
      </w:r>
      <w:r w:rsidRPr="0063410A">
        <w:t xml:space="preserve">Australia and New Zealand </w:t>
      </w:r>
      <w:r w:rsidR="000B71A4">
        <w:t xml:space="preserve">aimed at reducing population sodium intakes and supporting progress towards the WHO 30% reduction target </w:t>
      </w:r>
      <w:r w:rsidR="000B71A4">
        <w:fldChar w:fldCharType="begin"/>
      </w:r>
      <w:r w:rsidR="000B71A4">
        <w:instrText xml:space="preserve"> ADDIN EN.CITE &lt;EndNote&gt;&lt;Cite ExcludeAuth="1"&gt;&lt;Author&gt;Organization&lt;/Author&gt;&lt;Year&gt;2012&lt;/Year&gt;&lt;RecNum&gt;4713&lt;/RecNum&gt;&lt;Prefix&gt;WHO`, &lt;/Prefix&gt;&lt;DisplayText&gt;(WHO, 2012)&lt;/DisplayText&gt;&lt;record&gt;&lt;rec-number&gt;4713&lt;/rec-number&gt;&lt;foreign-keys&gt;&lt;key app="EN" db-id="wwsdv2wwp29fenerv0kx5tw9zxtx2fdrprx2" timestamp="1777870118"&gt;4713&lt;/key&gt;&lt;/foreign-keys&gt;&lt;ref-type name="Journal Article"&gt;17&lt;/ref-type&gt;&lt;contributors&gt;&lt;authors&gt;&lt;author&gt;World Health Organization&lt;/author&gt;&lt;/authors&gt;&lt;/contributors&gt;&lt;titles&gt;&lt;title&gt;Report of the Formal Meeting of Member States to conclude the work on the comprehensive global monitoring framework, including indicators, and a set of voluntary global targets for the prevention and control of noncommunicable diseases&lt;/title&gt;&lt;secondary-title&gt;World Health Organization: Geneva, Switzerland&lt;/secondary-title&gt;&lt;/titles&gt;&lt;periodical&gt;&lt;full-title&gt;World Health Organization: Geneva, Switzerland&lt;/full-title&gt;&lt;/periodical&gt;&lt;volume&gt;6&lt;/volume&gt;&lt;dates&gt;&lt;year&gt;2012&lt;/year&gt;&lt;/dates&gt;&lt;urls&gt;&lt;/urls&gt;&lt;/record&gt;&lt;/Cite&gt;&lt;/EndNote&gt;</w:instrText>
      </w:r>
      <w:r w:rsidR="000B71A4">
        <w:fldChar w:fldCharType="separate"/>
      </w:r>
      <w:r w:rsidR="000B71A4">
        <w:rPr>
          <w:noProof/>
        </w:rPr>
        <w:t>(WHO, 2012)</w:t>
      </w:r>
      <w:r w:rsidR="000B71A4">
        <w:fldChar w:fldCharType="end"/>
      </w:r>
      <w:r w:rsidR="000B71A4">
        <w:t>.</w:t>
      </w:r>
      <w:r w:rsidR="00386192">
        <w:t xml:space="preserve"> </w:t>
      </w:r>
      <w:r w:rsidR="00647C28">
        <w:t xml:space="preserve">At the time of writing (July 2026), FSANZ </w:t>
      </w:r>
      <w:r w:rsidR="00921EA7">
        <w:t>wa</w:t>
      </w:r>
      <w:r w:rsidR="007B1857">
        <w:t xml:space="preserve">s developing a proposal to mandate the HSR system in Australia and New Zealand, </w:t>
      </w:r>
      <w:r w:rsidR="00302767">
        <w:t xml:space="preserve">in </w:t>
      </w:r>
      <w:r w:rsidR="00921EA7">
        <w:t xml:space="preserve">response to </w:t>
      </w:r>
      <w:r w:rsidR="00302767">
        <w:t>low voluntary uptake relative to 2020 targets</w:t>
      </w:r>
      <w:r w:rsidR="00F03113">
        <w:t xml:space="preserve"> </w:t>
      </w:r>
      <w:r w:rsidR="00F03113">
        <w:fldChar w:fldCharType="begin"/>
      </w:r>
      <w:r w:rsidR="00F03113">
        <w:instrText xml:space="preserve"> ADDIN EN.CITE &lt;EndNote&gt;&lt;Cite&gt;&lt;Author&gt;Australian Government&lt;/Author&gt;&lt;Year&gt;2026&lt;/Year&gt;&lt;RecNum&gt;4773&lt;/RecNum&gt;&lt;DisplayText&gt;(Australian Government, 2026)&lt;/DisplayText&gt;&lt;record&gt;&lt;rec-number&gt;4773&lt;/rec-number&gt;&lt;foreign-keys&gt;&lt;key app="EN" db-id="wwsdv2wwp29fenerv0kx5tw9zxtx2fdrprx2" timestamp="1783599042"&gt;4773&lt;/key&gt;&lt;/foreign-keys&gt;&lt;ref-type name="Web Page"&gt;12&lt;/ref-type&gt;&lt;contributors&gt;&lt;authors&gt;&lt;author&gt;Australian Government,&lt;/author&gt;&lt;/authors&gt;&lt;secondary-authors&gt;&lt;author&gt;Health Star Rating System,&lt;/author&gt;&lt;/secondary-authors&gt;&lt;/contributors&gt;&lt;titles&gt;&lt;title&gt;Proposal on mandating the HSR system&lt;/title&gt;&lt;/titles&gt;&lt;volume&gt;2026&lt;/volume&gt;&lt;number&gt;09/07/2026&lt;/number&gt;&lt;dates&gt;&lt;year&gt;2026&lt;/year&gt;&lt;/dates&gt;&lt;urls&gt;&lt;related-urls&gt;&lt;url&gt;https://www.healthstarrating.gov.au/monitoring-and-reviews/proposal-mandating-hsr-system&lt;/url&gt;&lt;/related-urls&gt;&lt;/urls&gt;&lt;/record&gt;&lt;/Cite&gt;&lt;/EndNote&gt;</w:instrText>
      </w:r>
      <w:r w:rsidR="00F03113">
        <w:fldChar w:fldCharType="separate"/>
      </w:r>
      <w:r w:rsidR="00F03113">
        <w:rPr>
          <w:noProof/>
        </w:rPr>
        <w:t>(Australian Government, 2026)</w:t>
      </w:r>
      <w:r w:rsidR="00F03113">
        <w:fldChar w:fldCharType="end"/>
      </w:r>
      <w:r w:rsidR="00302767">
        <w:t>.</w:t>
      </w:r>
    </w:p>
    <w:p w14:paraId="75BF3D17" w14:textId="068556B8" w:rsidR="00F46698" w:rsidRDefault="000C3CC2" w:rsidP="005D41BE">
      <w:pPr>
        <w:spacing w:line="276" w:lineRule="auto"/>
      </w:pPr>
      <w:r>
        <w:t>A 2020 a</w:t>
      </w:r>
      <w:r w:rsidR="00171178">
        <w:t xml:space="preserve">nalysis of the impact of </w:t>
      </w:r>
      <w:r w:rsidR="00DD17D5">
        <w:t xml:space="preserve">the HSR on food reformulation in both Australia and New Zealand </w:t>
      </w:r>
      <w:r w:rsidR="00171178">
        <w:t xml:space="preserve">found that </w:t>
      </w:r>
      <w:r w:rsidR="008C11D0">
        <w:t xml:space="preserve">products displaying the HSR </w:t>
      </w:r>
      <w:r w:rsidR="00AD32C4">
        <w:t xml:space="preserve">were more likely to increase their rating by </w:t>
      </w:r>
      <w:r w:rsidR="00913207">
        <w:t xml:space="preserve">half a star or </w:t>
      </w:r>
      <w:r w:rsidR="00AD32C4">
        <w:t>more</w:t>
      </w:r>
      <w:r w:rsidR="00913207">
        <w:t>,</w:t>
      </w:r>
      <w:r w:rsidR="00DD17D5">
        <w:t xml:space="preserve"> compared with unlabelled foods</w:t>
      </w:r>
      <w:r w:rsidR="00C92DA7">
        <w:t xml:space="preserve"> </w:t>
      </w:r>
      <w:r w:rsidR="007A42D0">
        <w:fldChar w:fldCharType="begin">
          <w:fldData xml:space="preserve">PEVuZE5vdGU+PENpdGU+PEF1dGhvcj5CYWJsYW5pPC9BdXRob3I+PFllYXI+MjAyMDwvWWVhcj48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=
</w:fldData>
        </w:fldChar>
      </w:r>
      <w:r w:rsidR="00C92DA7">
        <w:instrText xml:space="preserve"> ADDIN EN.CITE </w:instrText>
      </w:r>
      <w:r w:rsidR="00C92DA7">
        <w:fldChar w:fldCharType="begin">
          <w:fldData xml:space="preserve">PEVuZE5vdGU+PENpdGU+PEF1dGhvcj5CYWJsYW5pPC9BdXRob3I+PFllYXI+MjAyMDwvWWVhcj48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=
</w:fldData>
        </w:fldChar>
      </w:r>
      <w:r w:rsidR="00C92DA7">
        <w:instrText xml:space="preserve"> ADDIN EN.CITE.DATA </w:instrText>
      </w:r>
      <w:r w:rsidR="00C92DA7">
        <w:fldChar w:fldCharType="end"/>
      </w:r>
      <w:r w:rsidR="007A42D0">
        <w:fldChar w:fldCharType="separate"/>
      </w:r>
      <w:r w:rsidR="007A42D0">
        <w:rPr>
          <w:noProof/>
        </w:rPr>
        <w:t>(Bablani et al., 2020)</w:t>
      </w:r>
      <w:r w:rsidR="007A42D0">
        <w:fldChar w:fldCharType="end"/>
      </w:r>
      <w:r w:rsidR="00300274">
        <w:t>. A relative decrease in sodium content of 4% (</w:t>
      </w:r>
      <w:r w:rsidR="00B735B8">
        <w:t xml:space="preserve">95% CI -6.4% to -1.7%, p=0.001) was observed </w:t>
      </w:r>
      <w:r w:rsidR="00006F8D">
        <w:t xml:space="preserve">for </w:t>
      </w:r>
      <w:r w:rsidR="006A108C">
        <w:t xml:space="preserve">labelled </w:t>
      </w:r>
      <w:r w:rsidR="00006F8D">
        <w:t xml:space="preserve">products </w:t>
      </w:r>
      <w:r w:rsidR="00B735B8">
        <w:t xml:space="preserve">in </w:t>
      </w:r>
      <w:r w:rsidR="008E083C">
        <w:t xml:space="preserve">New Zealand </w:t>
      </w:r>
      <w:r w:rsidR="00B735B8">
        <w:t xml:space="preserve">and </w:t>
      </w:r>
      <w:r w:rsidR="006A108C">
        <w:t xml:space="preserve">a more modest relative decrease of </w:t>
      </w:r>
      <w:r w:rsidR="00B735B8">
        <w:t xml:space="preserve">1.4% (95% CI </w:t>
      </w:r>
      <w:r w:rsidR="006A108C">
        <w:t>-2.7% to 0.0%, p</w:t>
      </w:r>
      <w:r w:rsidR="00272A4D">
        <w:t>=0.045</w:t>
      </w:r>
      <w:r w:rsidR="006A108C">
        <w:t xml:space="preserve">) </w:t>
      </w:r>
      <w:r w:rsidR="00300274">
        <w:t xml:space="preserve">in </w:t>
      </w:r>
      <w:r w:rsidR="006A108C">
        <w:t>Australia.</w:t>
      </w:r>
      <w:r w:rsidR="008C11D0">
        <w:t xml:space="preserve"> </w:t>
      </w:r>
      <w:r w:rsidR="00272A4D">
        <w:t>Although greater reformulation changes were observed among initially unhealthy products, these products were also less likely to adopt the HSR</w:t>
      </w:r>
      <w:r w:rsidR="00F3171E">
        <w:t>.</w:t>
      </w:r>
    </w:p>
    <w:p w14:paraId="0456159B" w14:textId="0BF77121" w:rsidR="001E08FB" w:rsidRDefault="000C3CC2" w:rsidP="005D41BE">
      <w:pPr>
        <w:spacing w:line="276" w:lineRule="auto"/>
      </w:pPr>
      <w:r>
        <w:lastRenderedPageBreak/>
        <w:t>These findings were echoed in a smaller study examining the effects of the HSR on food reformulation in New Zealand</w:t>
      </w:r>
      <w:r w:rsidR="002536DE">
        <w:t xml:space="preserve">, based on </w:t>
      </w:r>
      <w:r w:rsidR="004B1218">
        <w:t xml:space="preserve">annual food and beverage packaging surveys from prior to (2014) and 2 years after (2016) adoption of the HSR system. </w:t>
      </w:r>
      <w:r w:rsidR="00F46698">
        <w:t>Mean s</w:t>
      </w:r>
      <w:r w:rsidR="004B1218">
        <w:t>odium content of p</w:t>
      </w:r>
      <w:r w:rsidR="0078040E">
        <w:t xml:space="preserve">roducts displaying HSR labelling </w:t>
      </w:r>
      <w:r w:rsidR="004B1218">
        <w:t xml:space="preserve">were </w:t>
      </w:r>
      <w:r w:rsidR="00F46698">
        <w:t xml:space="preserve">reduced </w:t>
      </w:r>
      <w:r w:rsidR="0078040E">
        <w:t xml:space="preserve">by 4.6% </w:t>
      </w:r>
      <w:r w:rsidR="00F46698">
        <w:t xml:space="preserve">over the period, compared with a 3.1% increase in mean sodium content of </w:t>
      </w:r>
      <w:r w:rsidR="0078040E">
        <w:t>unlabelled products</w:t>
      </w:r>
      <w:r w:rsidR="00F46698">
        <w:t xml:space="preserve"> </w:t>
      </w:r>
      <w:r w:rsidR="00F46698">
        <w:fldChar w:fldCharType="begin">
          <w:fldData xml:space="preserve">PEVuZE5vdGU+PENpdGU+PEF1dGhvcj5NaHVyY2h1PC9BdXRob3I+PFllYXI+MjAxNzwvWWVhcj48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=
</w:fldData>
        </w:fldChar>
      </w:r>
      <w:r w:rsidR="00F46698">
        <w:instrText xml:space="preserve"> ADDIN EN.CITE </w:instrText>
      </w:r>
      <w:r w:rsidR="00F46698">
        <w:fldChar w:fldCharType="begin">
          <w:fldData xml:space="preserve">PEVuZE5vdGU+PENpdGU+PEF1dGhvcj5NaHVyY2h1PC9BdXRob3I+PFllYXI+MjAxNzwvWWVhcj48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=
</w:fldData>
        </w:fldChar>
      </w:r>
      <w:r w:rsidR="00F46698">
        <w:instrText xml:space="preserve"> ADDIN EN.CITE.DATA </w:instrText>
      </w:r>
      <w:r w:rsidR="00F46698">
        <w:fldChar w:fldCharType="end"/>
      </w:r>
      <w:r w:rsidR="00F46698">
        <w:fldChar w:fldCharType="separate"/>
      </w:r>
      <w:r w:rsidR="00F46698">
        <w:rPr>
          <w:noProof/>
        </w:rPr>
        <w:t>(Mhurchu et al., 2017)</w:t>
      </w:r>
      <w:r w:rsidR="00F46698">
        <w:fldChar w:fldCharType="end"/>
      </w:r>
      <w:r w:rsidR="00F46698">
        <w:t>.</w:t>
      </w:r>
    </w:p>
    <w:p w14:paraId="604F2FAB" w14:textId="3A05DE30" w:rsidR="0083503B" w:rsidRPr="00C44EA6" w:rsidRDefault="0083503B" w:rsidP="00C44EA6">
      <w:pPr>
        <w:pStyle w:val="Heading2"/>
        <w:tabs>
          <w:tab w:val="left" w:pos="5546"/>
        </w:tabs>
        <w:rPr>
          <w:b/>
          <w:bCs/>
        </w:rPr>
      </w:pPr>
      <w:bookmarkStart w:id="47" w:name="_Toc234960838"/>
      <w:r w:rsidRPr="00C44EA6">
        <w:rPr>
          <w:b/>
          <w:bCs/>
        </w:rPr>
        <w:t>Prevalence of associated disease burden</w:t>
      </w:r>
      <w:bookmarkEnd w:id="47"/>
    </w:p>
    <w:p w14:paraId="33B43721" w14:textId="51BFCC55" w:rsidR="00BE6FA0" w:rsidRDefault="0003267A" w:rsidP="005D41BE">
      <w:pPr>
        <w:spacing w:line="276" w:lineRule="auto"/>
      </w:pPr>
      <w:r w:rsidRPr="00D2440B">
        <w:t xml:space="preserve">Cardiovascular disease is </w:t>
      </w:r>
      <w:r w:rsidR="00DE56CE" w:rsidRPr="00D2440B">
        <w:t xml:space="preserve">the leading cause of death worldwide and is </w:t>
      </w:r>
      <w:r w:rsidRPr="00D2440B">
        <w:t xml:space="preserve">a significant </w:t>
      </w:r>
      <w:r w:rsidR="00BB2065" w:rsidRPr="00D2440B">
        <w:t xml:space="preserve">contributor to the burden of </w:t>
      </w:r>
      <w:r w:rsidRPr="00D2440B">
        <w:t>disease</w:t>
      </w:r>
      <w:r w:rsidR="00D97C4E" w:rsidRPr="00D2440B">
        <w:t xml:space="preserve"> in Australia and New Zealand</w:t>
      </w:r>
      <w:r w:rsidR="00CE71A6">
        <w:t xml:space="preserve"> </w:t>
      </w:r>
      <w:r w:rsidR="00897173">
        <w:fldChar w:fldCharType="begin"/>
      </w:r>
      <w:r w:rsidR="00897173">
        <w:instrText xml:space="preserve"> ADDIN EN.CITE &lt;EndNote&gt;&lt;Cite&gt;&lt;Author&gt;World Health Organization&lt;/Author&gt;&lt;Year&gt;2026&lt;/Year&gt;&lt;RecNum&gt;4639&lt;/RecNum&gt;&lt;DisplayText&gt;(World Health Organization, 2026)&lt;/DisplayText&gt;&lt;record&gt;&lt;rec-number&gt;4639&lt;/rec-number&gt;&lt;foreign-keys&gt;&lt;key app="EN" db-id="wwsdv2wwp29fenerv0kx5tw9zxtx2fdrprx2" timestamp="1774932874"&gt;4639&lt;/key&gt;&lt;/foreign-keys&gt;&lt;ref-type name="Web Page"&gt;12&lt;/ref-type&gt;&lt;contributors&gt;&lt;authors&gt;&lt;author&gt;World Health Organization, WHO&lt;/author&gt;&lt;/authors&gt;&lt;/contributors&gt;&lt;titles&gt;&lt;title&gt;Cardiovascular diseases&lt;/title&gt;&lt;/titles&gt;&lt;volume&gt;2026&lt;/volume&gt;&lt;number&gt;31/03/2026&lt;/number&gt;&lt;dates&gt;&lt;year&gt;2026&lt;/year&gt;&lt;/dates&gt;&lt;urls&gt;&lt;related-urls&gt;&lt;url&gt;https://www.who.int/health-topics/cardiovascular-diseases&lt;/url&gt;&lt;/related-urls&gt;&lt;/urls&gt;&lt;/record&gt;&lt;/Cite&gt;&lt;/EndNote&gt;</w:instrText>
      </w:r>
      <w:r w:rsidR="00897173">
        <w:fldChar w:fldCharType="separate"/>
      </w:r>
      <w:r w:rsidR="00897173">
        <w:rPr>
          <w:noProof/>
        </w:rPr>
        <w:t>(World Health Organization, 2026)</w:t>
      </w:r>
      <w:r w:rsidR="00897173">
        <w:fldChar w:fldCharType="end"/>
      </w:r>
      <w:r w:rsidR="00CE71A6">
        <w:t xml:space="preserve">. </w:t>
      </w:r>
      <w:r w:rsidR="00755726" w:rsidRPr="00D2440B">
        <w:t>In 2024,</w:t>
      </w:r>
      <w:r w:rsidR="0078359D" w:rsidRPr="00D2440B">
        <w:t xml:space="preserve"> CVD </w:t>
      </w:r>
      <w:r w:rsidR="00D97C4E" w:rsidRPr="00D2440B">
        <w:t>account</w:t>
      </w:r>
      <w:r w:rsidR="00755726" w:rsidRPr="00D2440B">
        <w:t>ed</w:t>
      </w:r>
      <w:r w:rsidR="00D97C4E" w:rsidRPr="00D2440B">
        <w:t xml:space="preserve"> for </w:t>
      </w:r>
      <w:r w:rsidR="00114EAE" w:rsidRPr="00D2440B">
        <w:t>almost 12% of the total b</w:t>
      </w:r>
      <w:r w:rsidR="00BB2065" w:rsidRPr="00D2440B">
        <w:t>u</w:t>
      </w:r>
      <w:r w:rsidR="00114EAE" w:rsidRPr="00D2440B">
        <w:t xml:space="preserve">rden </w:t>
      </w:r>
      <w:r w:rsidR="00D97C4E" w:rsidRPr="00D2440B">
        <w:t>of disease</w:t>
      </w:r>
      <w:r w:rsidR="00875BA6" w:rsidRPr="00D2440B">
        <w:t xml:space="preserve"> in Australia</w:t>
      </w:r>
      <w:r w:rsidR="0078359D" w:rsidRPr="00D2440B">
        <w:t>;</w:t>
      </w:r>
      <w:r w:rsidR="00D97C4E" w:rsidRPr="00D2440B">
        <w:t xml:space="preserve"> </w:t>
      </w:r>
      <w:r w:rsidR="00AD7FCC" w:rsidRPr="00D2440B">
        <w:t>the leading single cause of burden among males and six</w:t>
      </w:r>
      <w:r w:rsidR="00F16E64" w:rsidRPr="00D2440B">
        <w:t xml:space="preserve">th highest among </w:t>
      </w:r>
      <w:r w:rsidR="00A0102C">
        <w:t>females</w:t>
      </w:r>
      <w:r w:rsidR="00D97C4E" w:rsidRPr="00D2440B">
        <w:t xml:space="preserve"> (</w:t>
      </w:r>
      <w:r w:rsidR="001F7672" w:rsidRPr="00D2440B">
        <w:t>fourth overall</w:t>
      </w:r>
      <w:r w:rsidR="00D97C4E" w:rsidRPr="00D2440B">
        <w:t>)</w:t>
      </w:r>
      <w:r w:rsidR="00B14124">
        <w:fldChar w:fldCharType="begin"/>
      </w:r>
      <w:r w:rsidR="00B14124">
        <w:instrText xml:space="preserve"> ADDIN EN.CITE &lt;EndNote&gt;&lt;Cite&gt;&lt;Author&gt;AIHW&lt;/Author&gt;&lt;Year&gt;2024&lt;/Year&gt;&lt;RecNum&gt;4641&lt;/RecNum&gt;&lt;DisplayText&gt;(AIHW, 2024)&lt;/DisplayText&gt;&lt;record&gt;&lt;rec-number&gt;4641&lt;/rec-number&gt;&lt;foreign-keys&gt;&lt;key app="EN" db-id="wwsdv2wwp29fenerv0kx5tw9zxtx2fdrprx2" timestamp="1774932975"&gt;4641&lt;/key&gt;&lt;/foreign-keys&gt;&lt;ref-type name="Report"&gt;27&lt;/ref-type&gt;&lt;contributors&gt;&lt;authors&gt;&lt;author&gt;AIHW,&lt;/author&gt;&lt;/authors&gt;&lt;/contributors&gt;&lt;titles&gt;&lt;title&gt;Australian Burden of Disease Study 2024&lt;/title&gt;&lt;/titles&gt;&lt;dates&gt;&lt;year&gt;2024&lt;/year&gt;&lt;/dates&gt;&lt;publisher&gt;AIHW, Australian Government&lt;/publisher&gt;&lt;urls&gt;&lt;related-urls&gt;&lt;url&gt;https://www.aihw.gov.au/reports/burden-of-disease/australian-burden-of-disease-study-2024&lt;/url&gt;&lt;/related-urls&gt;&lt;/urls&gt;&lt;access-date&gt;31 March 2026&lt;/access-date&gt;&lt;/record&gt;&lt;/Cite&gt;&lt;/EndNote&gt;</w:instrText>
      </w:r>
      <w:r w:rsidR="00B14124">
        <w:fldChar w:fldCharType="separate"/>
      </w:r>
      <w:r w:rsidR="00B14124">
        <w:rPr>
          <w:noProof/>
        </w:rPr>
        <w:t>(AIHW, 2024)</w:t>
      </w:r>
      <w:r w:rsidR="00B14124">
        <w:fldChar w:fldCharType="end"/>
      </w:r>
      <w:r w:rsidR="001F7672" w:rsidRPr="00D2440B">
        <w:t>.</w:t>
      </w:r>
      <w:r w:rsidR="000E6A5A" w:rsidRPr="00D2440B">
        <w:t xml:space="preserve"> </w:t>
      </w:r>
    </w:p>
    <w:p w14:paraId="4664B86A" w14:textId="77777777" w:rsidR="00E833CB" w:rsidRPr="00D2440B" w:rsidRDefault="00E833CB" w:rsidP="005D41BE">
      <w:pPr>
        <w:spacing w:line="276" w:lineRule="auto"/>
      </w:pPr>
      <w:r w:rsidRPr="00D2440B">
        <w:t>Among First Nations Australians, CVD accounted for 10% of disease burden in 2018, ranking as the third greatest contributor</w:t>
      </w:r>
      <w:r>
        <w:fldChar w:fldCharType="begin"/>
      </w:r>
      <w:r>
        <w:instrText xml:space="preserve"> ADDIN EN.CITE &lt;EndNote&gt;&lt;Cite&gt;&lt;Author&gt;AIHW&lt;/Author&gt;&lt;Year&gt;2022&lt;/Year&gt;&lt;RecNum&gt;4640&lt;/RecNum&gt;&lt;DisplayText&gt;(AIHW, 2022)&lt;/DisplayText&gt;&lt;record&gt;&lt;rec-number&gt;4640&lt;/rec-number&gt;&lt;foreign-keys&gt;&lt;key app="EN" db-id="wwsdv2wwp29fenerv0kx5tw9zxtx2fdrprx2" timestamp="1774932960"&gt;4640&lt;/key&gt;&lt;/foreign-keys&gt;&lt;ref-type name="Report"&gt;27&lt;/ref-type&gt;&lt;contributors&gt;&lt;authors&gt;&lt;author&gt;AIHW,&lt;/author&gt;&lt;/authors&gt;&lt;/contributors&gt;&lt;titles&gt;&lt;title&gt;Australian Burden of Disease Study: impact and causes of illness and death in Aboriginal and Torres Strait Islander people 2018&lt;/title&gt;&lt;/titles&gt;&lt;dates&gt;&lt;year&gt;2022&lt;/year&gt;&lt;/dates&gt;&lt;publisher&gt;AIHW, Australian Government&lt;/publisher&gt;&lt;urls&gt;&lt;related-urls&gt;&lt;url&gt;https://www.aihw.gov.au/reports/burden-of-disease/illness-death-indigenous-2018&lt;/url&gt;&lt;/related-urls&gt;&lt;/urls&gt;&lt;electronic-resource-num&gt;10.25816/xd60-4366&lt;/electronic-resource-num&gt;&lt;access-date&gt;31 March 2026&lt;/access-date&gt;&lt;/record&gt;&lt;/Cite&gt;&lt;/EndNote&gt;</w:instrText>
      </w:r>
      <w:r>
        <w:fldChar w:fldCharType="separate"/>
      </w:r>
      <w:r>
        <w:rPr>
          <w:noProof/>
        </w:rPr>
        <w:t>(AIHW, 2022)</w:t>
      </w:r>
      <w:r>
        <w:fldChar w:fldCharType="end"/>
      </w:r>
      <w:r w:rsidRPr="00D2440B">
        <w:t>. The burden from CVD accounted for 14% of the gap in disease burden between Indigenous and non-Indigenous Australians, with the rate of Disability Adjusted Life Years (DALY) attributed to CVD among First Nations Australians nearly double that of non-Indigenous people (2.2 times higher for Indigenous males, 2.7 times higher for Indigenous females).</w:t>
      </w:r>
    </w:p>
    <w:p w14:paraId="08A8929E" w14:textId="4F57567C" w:rsidR="003D2CA4" w:rsidRDefault="008F676D" w:rsidP="005D41BE">
      <w:pPr>
        <w:spacing w:line="276" w:lineRule="auto"/>
      </w:pPr>
      <w:r>
        <w:t xml:space="preserve">Disparities in morbidity and mortality are also noted for people from socially disadvantaged groups, with </w:t>
      </w:r>
      <w:r w:rsidR="00287A55">
        <w:t>n</w:t>
      </w:r>
      <w:r w:rsidR="003D2CA4">
        <w:t xml:space="preserve">ational data </w:t>
      </w:r>
      <w:r w:rsidR="00FF2EA4">
        <w:t>from 20</w:t>
      </w:r>
      <w:r w:rsidR="004D7D3A">
        <w:t>23-24</w:t>
      </w:r>
      <w:r w:rsidR="00FF2EA4">
        <w:t xml:space="preserve"> </w:t>
      </w:r>
      <w:r w:rsidR="00287A55">
        <w:t xml:space="preserve">reporting that </w:t>
      </w:r>
      <w:r w:rsidR="00B748EC">
        <w:t xml:space="preserve">cardiovascular disease </w:t>
      </w:r>
      <w:r w:rsidR="00287A55">
        <w:t xml:space="preserve">prevalence </w:t>
      </w:r>
      <w:r w:rsidR="00B748EC">
        <w:t xml:space="preserve">is 1.9 times </w:t>
      </w:r>
      <w:r w:rsidR="00853467">
        <w:t>as high for adults residing in areas of greatest socioeconomic disadvantage compared with the least disadvantaged</w:t>
      </w:r>
      <w:r w:rsidR="00F51DA6">
        <w:t xml:space="preserve">, whilst the CVD death rate was 1.6 times as high </w:t>
      </w:r>
      <w:r w:rsidR="00D12640">
        <w:fldChar w:fldCharType="begin"/>
      </w:r>
      <w:r w:rsidR="00EB3FD3">
        <w:instrText xml:space="preserve"> ADDIN EN.CITE &lt;EndNote&gt;&lt;Cite ExcludeAuth="1"&gt;&lt;Author&gt;Australian Institute of Health and Welfare&lt;/Author&gt;&lt;Year&gt;2026&lt;/Year&gt;&lt;RecNum&gt;4779&lt;/RecNum&gt;&lt;Prefix&gt;AIHW`, &lt;/Prefix&gt;&lt;DisplayText&gt;(AIHW, 2026a)&lt;/DisplayText&gt;&lt;record&gt;&lt;rec-number&gt;4779&lt;/rec-number&gt;&lt;foreign-keys&gt;&lt;key app="EN" db-id="wwsdv2wwp29fenerv0kx5tw9zxtx2fdrprx2" timestamp="1784002712"&gt;4779&lt;/key&gt;&lt;/foreign-keys&gt;&lt;ref-type name="Government Document"&gt;46&lt;/ref-type&gt;&lt;contributors&gt;&lt;authors&gt;&lt;author&gt;Australian Institute of Health and Welfare,&lt;/author&gt;&lt;/authors&gt;&lt;secondary-authors&gt;&lt;author&gt;Australian Institute of Health and Welfare&lt;/author&gt;&lt;/secondary-authors&gt;&lt;/contributors&gt;&lt;titles&gt;&lt;title&gt;Heart, stroke and vascular disease: Australian facts&lt;/title&gt;&lt;/titles&gt;&lt;dates&gt;&lt;year&gt;2026&lt;/year&gt;&lt;/dates&gt;&lt;pub-location&gt;Canberra, ACT&lt;/pub-location&gt;&lt;publisher&gt;AIHW&lt;/publisher&gt;&lt;urls&gt;&lt;related-urls&gt;&lt;url&gt;https://www.aihw.gov.au/reports/heart-stroke-vascular-diseases/hsvd-facts&lt;/url&gt;&lt;/related-urls&gt;&lt;/urls&gt;&lt;/record&gt;&lt;/Cite&gt;&lt;/EndNote&gt;</w:instrText>
      </w:r>
      <w:r w:rsidR="00D12640">
        <w:fldChar w:fldCharType="separate"/>
      </w:r>
      <w:r w:rsidR="00EB3FD3">
        <w:rPr>
          <w:noProof/>
        </w:rPr>
        <w:t>(AIHW, 2026a)</w:t>
      </w:r>
      <w:r w:rsidR="00D12640">
        <w:fldChar w:fldCharType="end"/>
      </w:r>
      <w:r w:rsidR="00853467">
        <w:t>.</w:t>
      </w:r>
      <w:r w:rsidR="009B4FC6">
        <w:t xml:space="preserve"> Similarly, </w:t>
      </w:r>
      <w:r w:rsidR="0087483B">
        <w:t>the proportion of adults with hypertension was 1.2 times higher among those residing in the lowest socioeconomic areas compared with the highest</w:t>
      </w:r>
      <w:r w:rsidR="00EB3FD3">
        <w:t xml:space="preserve"> </w:t>
      </w:r>
      <w:r w:rsidR="00EB3FD3">
        <w:fldChar w:fldCharType="begin"/>
      </w:r>
      <w:r w:rsidR="00EB3FD3">
        <w:instrText xml:space="preserve"> ADDIN EN.CITE &lt;EndNote&gt;&lt;Cite&gt;&lt;Author&gt;Australian Institute of Health and Welfare&lt;/Author&gt;&lt;Year&gt;2026&lt;/Year&gt;&lt;RecNum&gt;4780&lt;/RecNum&gt;&lt;DisplayText&gt;(Australian Institute of Health and Welfare, 2026b)&lt;/DisplayText&gt;&lt;record&gt;&lt;rec-number&gt;4780&lt;/rec-number&gt;&lt;foreign-keys&gt;&lt;key app="EN" db-id="wwsdv2wwp29fenerv0kx5tw9zxtx2fdrprx2" timestamp="1784003067"&gt;4780&lt;/key&gt;&lt;/foreign-keys&gt;&lt;ref-type name="Government Document"&gt;46&lt;/ref-type&gt;&lt;contributors&gt;&lt;authors&gt;&lt;author&gt;Australian Institute of Health and Welfare,&lt;/author&gt;&lt;/authors&gt;&lt;secondary-authors&gt;&lt;author&gt;Australian Institute of Health and Welfare,&lt;/author&gt;&lt;/secondary-authors&gt;&lt;/contributors&gt;&lt;titles&gt;&lt;title&gt;Hypertension in Australia&lt;/title&gt;&lt;/titles&gt;&lt;dates&gt;&lt;year&gt;2026&lt;/year&gt;&lt;/dates&gt;&lt;pub-location&gt;Canberra, ACT&lt;/pub-location&gt;&lt;publisher&gt;AIHW&lt;/publisher&gt;&lt;urls&gt;&lt;related-urls&gt;&lt;url&gt;https://www.aihw.gov.au/reports/risk-factors/hypertension/&lt;/url&gt;&lt;/related-urls&gt;&lt;/urls&gt;&lt;/record&gt;&lt;/Cite&gt;&lt;/EndNote&gt;</w:instrText>
      </w:r>
      <w:r w:rsidR="00EB3FD3">
        <w:fldChar w:fldCharType="separate"/>
      </w:r>
      <w:r w:rsidR="00EB3FD3">
        <w:rPr>
          <w:noProof/>
        </w:rPr>
        <w:t>(Australian Institute of Health and Welfare, 2026b)</w:t>
      </w:r>
      <w:r w:rsidR="00EB3FD3">
        <w:fldChar w:fldCharType="end"/>
      </w:r>
      <w:r w:rsidR="0087483B">
        <w:t>.</w:t>
      </w:r>
    </w:p>
    <w:p w14:paraId="0B0CF346" w14:textId="43CC1E06" w:rsidR="003E1DE9" w:rsidRDefault="00F05497" w:rsidP="005D41BE">
      <w:pPr>
        <w:spacing w:line="276" w:lineRule="auto"/>
      </w:pPr>
      <w:r w:rsidRPr="00D2440B">
        <w:t xml:space="preserve">The </w:t>
      </w:r>
      <w:r w:rsidR="00394942">
        <w:t xml:space="preserve">2024 estimated </w:t>
      </w:r>
      <w:r w:rsidRPr="00D2440B">
        <w:t xml:space="preserve">burden of disease from CVD in New Zealand is similar to that of Australia, representing 14% of the total disease burden and accounting for </w:t>
      </w:r>
      <w:r w:rsidR="006E6DDA">
        <w:t>over 210</w:t>
      </w:r>
      <w:r w:rsidRPr="00D2440B">
        <w:t>,000 DALYs</w:t>
      </w:r>
      <w:r w:rsidR="00B77689" w:rsidRPr="00D2440B">
        <w:t xml:space="preserve"> </w:t>
      </w:r>
      <w:r w:rsidR="006E6DDA">
        <w:t xml:space="preserve">and nearly 12,000 deaths per year </w:t>
      </w:r>
      <w:r w:rsidR="00D458D0">
        <w:fldChar w:fldCharType="begin"/>
      </w:r>
      <w:r w:rsidR="00D458D0">
        <w:instrText xml:space="preserve"> ADDIN EN.CITE &lt;EndNote&gt;&lt;Cite&gt;&lt;Author&gt;Institute for Health Metrics and Evaluation&lt;/Author&gt;&lt;Year&gt;2024&lt;/Year&gt;&lt;RecNum&gt;4643&lt;/RecNum&gt;&lt;DisplayText&gt;(Institute for Health Metrics and Evaluation, 2024)&lt;/DisplayText&gt;&lt;record&gt;&lt;rec-number&gt;4643&lt;/rec-number&gt;&lt;foreign-keys&gt;&lt;key app="EN" db-id="wwsdv2wwp29fenerv0kx5tw9zxtx2fdrprx2" timestamp="1774934035"&gt;4643&lt;/key&gt;&lt;/foreign-keys&gt;&lt;ref-type name="Dataset"&gt;59&lt;/ref-type&gt;&lt;contributors&gt;&lt;authors&gt;&lt;author&gt;Institute for Health Metrics and Evaluation,&lt;/author&gt;&lt;/authors&gt;&lt;/contributors&gt;&lt;titles&gt;&lt;title&gt;Global Burden of Disease (GBD) results tool&lt;/title&gt;&lt;/titles&gt;&lt;section&gt;2024&lt;/section&gt;&lt;dates&gt;&lt;year&gt;2024&lt;/year&gt;&lt;/dates&gt;&lt;urls&gt;&lt;related-urls&gt;&lt;url&gt;https://vizhub.healthdata.org/gbd-results/&lt;/url&gt;&lt;/related-urls&gt;&lt;/urls&gt;&lt;access-date&gt;31/03/2026&lt;/access-date&gt;&lt;/record&gt;&lt;/Cite&gt;&lt;/EndNote&gt;</w:instrText>
      </w:r>
      <w:r w:rsidR="00D458D0">
        <w:fldChar w:fldCharType="separate"/>
      </w:r>
      <w:r w:rsidR="00D458D0">
        <w:rPr>
          <w:noProof/>
        </w:rPr>
        <w:t>(Institute for Health Metrics and Evaluation, 2024)</w:t>
      </w:r>
      <w:r w:rsidR="00D458D0">
        <w:fldChar w:fldCharType="end"/>
      </w:r>
      <w:r w:rsidR="00B77689" w:rsidRPr="00D2440B">
        <w:t xml:space="preserve">. </w:t>
      </w:r>
      <w:r w:rsidR="00021A4E" w:rsidRPr="00D2440B">
        <w:t xml:space="preserve">There is </w:t>
      </w:r>
      <w:r w:rsidR="00F41A47">
        <w:t xml:space="preserve">also </w:t>
      </w:r>
      <w:r w:rsidR="00021A4E" w:rsidRPr="00D2440B">
        <w:t xml:space="preserve">significant disparity in the CVD burden across New Zealand, with the burden among </w:t>
      </w:r>
      <w:r w:rsidR="00F31182" w:rsidRPr="00F31182">
        <w:t xml:space="preserve">Māori and Pacific peoples </w:t>
      </w:r>
      <w:r w:rsidR="00021A4E">
        <w:t>more than 1.5</w:t>
      </w:r>
      <w:r w:rsidR="00F31182" w:rsidRPr="00F31182">
        <w:t xml:space="preserve"> </w:t>
      </w:r>
      <w:r w:rsidR="00021A4E">
        <w:t xml:space="preserve">times that of </w:t>
      </w:r>
      <w:r w:rsidR="000640D9">
        <w:t>other New Zealand groups</w:t>
      </w:r>
      <w:r w:rsidR="00727326">
        <w:t xml:space="preserve"> </w:t>
      </w:r>
      <w:r w:rsidR="008C1B0A">
        <w:fldChar w:fldCharType="begin">
          <w:fldData xml:space="preserve">PEVuZE5vdGU+PENpdGU+PEF1dGhvcj5XaGVlbGVyPC9BdXRob3I+PFllYXI+MjAyNTwvWWVhcj48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</w:fldData>
        </w:fldChar>
      </w:r>
      <w:r w:rsidR="00614614">
        <w:instrText xml:space="preserve"> ADDIN EN.CITE </w:instrText>
      </w:r>
      <w:r w:rsidR="00614614">
        <w:fldChar w:fldCharType="begin">
          <w:fldData xml:space="preserve">PEVuZE5vdGU+PENpdGU+PEF1dGhvcj5XaGVlbGVyPC9BdXRob3I+PFllYXI+MjAyNTwvWWVhcj48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</w:fldData>
        </w:fldChar>
      </w:r>
      <w:r w:rsidR="00614614">
        <w:instrText xml:space="preserve"> ADDIN EN.CITE.DATA </w:instrText>
      </w:r>
      <w:r w:rsidR="00614614">
        <w:fldChar w:fldCharType="end"/>
      </w:r>
      <w:r w:rsidR="008C1B0A">
        <w:fldChar w:fldCharType="separate"/>
      </w:r>
      <w:r w:rsidR="00614614">
        <w:rPr>
          <w:noProof/>
        </w:rPr>
        <w:t>(Earle et al., 2018; Mason et al., 2019; Wheeler et al., 2025)</w:t>
      </w:r>
      <w:r w:rsidR="008C1B0A">
        <w:fldChar w:fldCharType="end"/>
      </w:r>
      <w:r w:rsidR="00CE70AC">
        <w:t>.</w:t>
      </w:r>
    </w:p>
    <w:p w14:paraId="1F9C9197" w14:textId="647C5778" w:rsidR="00412F53" w:rsidRDefault="00412F53" w:rsidP="005D41BE">
      <w:pPr>
        <w:spacing w:line="276" w:lineRule="auto"/>
      </w:pPr>
      <w:r>
        <w:t>National data in children are sparse</w:t>
      </w:r>
      <w:r w:rsidR="00251777">
        <w:t>. H</w:t>
      </w:r>
      <w:r>
        <w:t>owever</w:t>
      </w:r>
      <w:r w:rsidR="00251777">
        <w:t>,</w:t>
      </w:r>
      <w:r>
        <w:t xml:space="preserve"> a</w:t>
      </w:r>
      <w:r w:rsidR="00863569">
        <w:t xml:space="preserve">nalysis of </w:t>
      </w:r>
      <w:r w:rsidR="00D3115D">
        <w:t xml:space="preserve">two </w:t>
      </w:r>
      <w:r w:rsidR="00251777">
        <w:t xml:space="preserve">cohorts (2010-13; 2018-19) of </w:t>
      </w:r>
      <w:r w:rsidR="00A1344F">
        <w:t xml:space="preserve">Australian schoolchildren aged 4 to 12 years found that almost one in five had </w:t>
      </w:r>
      <w:r>
        <w:t>elevated blood pressure</w:t>
      </w:r>
      <w:r w:rsidR="00A1344F">
        <w:t xml:space="preserve">, with </w:t>
      </w:r>
      <w:r w:rsidR="00F34FC1" w:rsidRPr="00F34FC1">
        <w:t>74% of children exceed</w:t>
      </w:r>
      <w:r w:rsidR="00F34FC1">
        <w:t>ing</w:t>
      </w:r>
      <w:r w:rsidR="00F34FC1" w:rsidRPr="00F34FC1">
        <w:t xml:space="preserve"> the </w:t>
      </w:r>
      <w:r w:rsidR="00863569">
        <w:t xml:space="preserve">UL for </w:t>
      </w:r>
      <w:r w:rsidR="00F34FC1" w:rsidRPr="00F34FC1">
        <w:t>sodium intake</w:t>
      </w:r>
      <w:r w:rsidR="00863569">
        <w:t xml:space="preserve"> </w:t>
      </w:r>
      <w:r w:rsidR="00863569">
        <w:fldChar w:fldCharType="begin">
          <w:fldData xml:space="preserve">PEVuZE5vdGU+PENpdGU+PEF1dGhvcj5HcmltZXM8L0F1dGhvcj48WWVhcj4yMDI2PC9ZZWFyPjxS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</w:fldData>
        </w:fldChar>
      </w:r>
      <w:r w:rsidR="00863569">
        <w:instrText xml:space="preserve"> ADDIN EN.CITE </w:instrText>
      </w:r>
      <w:r w:rsidR="00863569">
        <w:fldChar w:fldCharType="begin">
          <w:fldData xml:space="preserve">PEVuZE5vdGU+PENpdGU+PEF1dGhvcj5HcmltZXM8L0F1dGhvcj48WWVhcj4yMDI2PC9ZZWFyPjxS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</w:fldData>
        </w:fldChar>
      </w:r>
      <w:r w:rsidR="00863569">
        <w:instrText xml:space="preserve"> ADDIN EN.CITE.DATA </w:instrText>
      </w:r>
      <w:r w:rsidR="00863569">
        <w:fldChar w:fldCharType="end"/>
      </w:r>
      <w:r w:rsidR="00863569">
        <w:fldChar w:fldCharType="separate"/>
      </w:r>
      <w:r w:rsidR="00863569">
        <w:rPr>
          <w:noProof/>
        </w:rPr>
        <w:t>(Grimes et al., 2026)</w:t>
      </w:r>
      <w:r w:rsidR="00863569">
        <w:fldChar w:fldCharType="end"/>
      </w:r>
      <w:r w:rsidR="00863569">
        <w:t>.</w:t>
      </w:r>
      <w:r w:rsidR="000C652A">
        <w:t xml:space="preserve"> It is well established that blood pressure tracks across the lifespan, with higher levels during childhood associated with an increased future risk of hypertension and subclinical cardiovascular outcomes</w:t>
      </w:r>
      <w:r w:rsidR="00360114">
        <w:t xml:space="preserve"> </w:t>
      </w:r>
      <w:r w:rsidR="0018435C">
        <w:fldChar w:fldCharType="begin">
          <w:fldData xml:space="preserve">PEVuZE5vdGU+PENpdGU+PEF1dGhvcj5NZW5nPC9BdXRob3I+PFllYXI+MjAyNDwvWWVhcj48UmVj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==
</w:fldData>
        </w:fldChar>
      </w:r>
      <w:r w:rsidR="0018435C">
        <w:instrText xml:space="preserve"> ADDIN EN.CITE </w:instrText>
      </w:r>
      <w:r w:rsidR="0018435C">
        <w:fldChar w:fldCharType="begin">
          <w:fldData xml:space="preserve">PEVuZE5vdGU+PENpdGU+PEF1dGhvcj5NZW5nPC9BdXRob3I+PFllYXI+MjAyNDwvWWVhcj48UmVj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==
</w:fldData>
        </w:fldChar>
      </w:r>
      <w:r w:rsidR="0018435C">
        <w:instrText xml:space="preserve"> ADDIN EN.CITE.DATA </w:instrText>
      </w:r>
      <w:r w:rsidR="0018435C">
        <w:fldChar w:fldCharType="end"/>
      </w:r>
      <w:r w:rsidR="0018435C">
        <w:fldChar w:fldCharType="separate"/>
      </w:r>
      <w:r w:rsidR="0018435C">
        <w:rPr>
          <w:noProof/>
        </w:rPr>
        <w:t>(Chen &amp; Wang, 2008; Meng et al., 2024)</w:t>
      </w:r>
      <w:r w:rsidR="0018435C">
        <w:fldChar w:fldCharType="end"/>
      </w:r>
      <w:r w:rsidR="00F079EB">
        <w:t>.</w:t>
      </w:r>
    </w:p>
    <w:p w14:paraId="05A5C942" w14:textId="77777777" w:rsidR="0083503B" w:rsidRDefault="003E1DE9" w:rsidP="005D41BE">
      <w:pPr>
        <w:spacing w:line="276" w:lineRule="auto"/>
      </w:pPr>
      <w:r>
        <w:t xml:space="preserve">In both Australia and New Zealand, </w:t>
      </w:r>
      <w:r w:rsidRPr="00D2440B">
        <w:t xml:space="preserve">high blood </w:t>
      </w:r>
      <w:r w:rsidR="0051797D">
        <w:t xml:space="preserve">pressure </w:t>
      </w:r>
      <w:r w:rsidRPr="00D2440B">
        <w:t>and dietary risks are leading risk factors for total CVD burden</w:t>
      </w:r>
      <w:r w:rsidR="00CE70AC">
        <w:t xml:space="preserve"> </w:t>
      </w:r>
      <w:r w:rsidR="00CE70AC">
        <w:fldChar w:fldCharType="begin"/>
      </w:r>
      <w:r w:rsidR="00CE70AC">
        <w:instrText xml:space="preserve"> ADDIN EN.CITE &lt;EndNote&gt;&lt;Cite&gt;&lt;Author&gt;Institute for Health Metrics and Evaluation&lt;/Author&gt;&lt;Year&gt;2024&lt;/Year&gt;&lt;RecNum&gt;4643&lt;/RecNum&gt;&lt;DisplayText&gt;(AIHW, 2025; Institute for Health Metrics and Evaluation, 2024)&lt;/DisplayText&gt;&lt;record&gt;&lt;rec-number&gt;4643&lt;/rec-number&gt;&lt;foreign-keys&gt;&lt;key app="EN" db-id="wwsdv2wwp29fenerv0kx5tw9zxtx2fdrprx2" timestamp="1774934035"&gt;4643&lt;/key&gt;&lt;/foreign-keys&gt;&lt;ref-type name="Dataset"&gt;59&lt;/ref-type&gt;&lt;contributors&gt;&lt;authors&gt;&lt;author&gt;Institute for Health Metrics and Evaluation,&lt;/author&gt;&lt;/authors&gt;&lt;/contributors&gt;&lt;titles&gt;&lt;title&gt;Global Burden of Disease (GBD) results tool&lt;/title&gt;&lt;/titles&gt;&lt;section&gt;2024&lt;/section&gt;&lt;dates&gt;&lt;year&gt;2024&lt;/year&gt;&lt;/dates&gt;&lt;urls&gt;&lt;related-urls&gt;&lt;url&gt;https://vizhub.healthdata.org/gbd-results/&lt;/url&gt;&lt;/related-urls&gt;&lt;/urls&gt;&lt;access-date&gt;31/03/2026&lt;/access-date&gt;&lt;/record&gt;&lt;/Cite&gt;&lt;Cite&gt;&lt;Author&gt;AIHW&lt;/Author&gt;&lt;Year&gt;2025&lt;/Year&gt;&lt;RecNum&gt;4647&lt;/RecNum&gt;&lt;record&gt;&lt;rec-number&gt;4647&lt;/rec-number&gt;&lt;foreign-keys&gt;&lt;key app="EN" db-id="wwsdv2wwp29fenerv0kx5tw9zxtx2fdrprx2" timestamp="1774936015"&gt;4647&lt;/key&gt;&lt;/foreign-keys&gt;&lt;ref-type name="Report"&gt;27&lt;/ref-type&gt;&lt;contributors&gt;&lt;authors&gt;&lt;author&gt;AIHW,&lt;/author&gt;&lt;/authors&gt;&lt;/contributors&gt;&lt;titles&gt;&lt;title&gt;Heart, stroke and vascular disease: Australian facts&lt;/title&gt;&lt;/titles&gt;&lt;dates&gt;&lt;year&gt;2025&lt;/year&gt;&lt;/dates&gt;&lt;publisher&gt;AIHW, Australian Government&lt;/publisher&gt;&lt;urls&gt;&lt;related-urls&gt;&lt;url&gt;https://www.aihw.gov.au/reports/heart-stroke-vascular-diseases/hsvd-facts&lt;/url&gt;&lt;/related-urls&gt;&lt;/urls&gt;&lt;access-date&gt;31 March 2026&lt;/access-date&gt;&lt;/record&gt;&lt;/Cite&gt;&lt;/EndNote&gt;</w:instrText>
      </w:r>
      <w:r w:rsidR="00CE70AC">
        <w:fldChar w:fldCharType="separate"/>
      </w:r>
      <w:r w:rsidR="00CE70AC">
        <w:rPr>
          <w:noProof/>
        </w:rPr>
        <w:t>(AIHW, 2025; Institute for Health Metrics and Evaluation, 2024)</w:t>
      </w:r>
      <w:r w:rsidR="00CE70AC">
        <w:fldChar w:fldCharType="end"/>
      </w:r>
      <w:r w:rsidR="00DC7946">
        <w:t xml:space="preserve">, although </w:t>
      </w:r>
      <w:r w:rsidR="009F0DB3">
        <w:t xml:space="preserve">the CVD burden attributable to high dietary sodium intake </w:t>
      </w:r>
      <w:r w:rsidR="00B52CC2">
        <w:t xml:space="preserve">has decreased over the past 30 years </w:t>
      </w:r>
      <w:r w:rsidR="00B52CC2">
        <w:fldChar w:fldCharType="begin"/>
      </w:r>
      <w:r w:rsidR="00B52CC2">
        <w:instrText xml:space="preserve"> ADDIN EN.CITE &lt;EndNote&gt;&lt;Cite&gt;&lt;Author&gt;Moreno&lt;/Author&gt;&lt;Year&gt;2024&lt;/Year&gt;&lt;RecNum&gt;4648&lt;/RecNum&gt;&lt;DisplayText&gt;(Moreno et al., 2024)&lt;/DisplayText&gt;&lt;record&gt;&lt;rec-number&gt;4648&lt;/rec-number&gt;&lt;foreign-keys&gt;&lt;key app="EN" db-id="wwsdv2wwp29fenerv0kx5tw9zxtx2fdrprx2" timestamp="1774936144"&gt;4648&lt;/key&gt;&lt;/foreign-keys&gt;&lt;ref-type name="Journal Article"&gt;17&lt;/ref-type&gt;&lt;contributors&gt;&lt;authors&gt;&lt;author&gt;Moreno, S. V.&lt;/author&gt;&lt;author&gt;Grimes, C.&lt;/author&gt;&lt;author&gt;Bolton, K. A.&lt;/author&gt;&lt;author&gt;Uddin, R.&lt;/author&gt;&lt;author&gt;Siopis, G.&lt;/author&gt;&lt;author&gt;Maddison, R.&lt;/author&gt;&lt;author&gt;Islam, S. M. S.&lt;/author&gt;&lt;/authors&gt;&lt;/contributors&gt;&lt;auth-address&gt;Institute for Physical Activity and Nutrition (IPAN), School of Exercise and Nutrition Sciences, Deakin University, Geelong, Burwood, Victoria, Australia.&lt;/auth-address&gt;&lt;titles&gt;&lt;title&gt;The burden of cardiovascular disease attributable to high dietary sodium intake in Australia between 1990 and 2019&lt;/title&gt;&lt;secondary-title&gt;J Hypertens&lt;/secondary-title&gt;&lt;/titles&gt;&lt;periodical&gt;&lt;full-title&gt;J Hypertens&lt;/full-title&gt;&lt;/periodical&gt;&lt;pages&gt;1163-1172&lt;/pages&gt;&lt;volume&gt;42&lt;/volume&gt;&lt;number&gt;7&lt;/number&gt;&lt;edition&gt;20240223&lt;/edition&gt;&lt;keywords&gt;&lt;keyword&gt;Humans&lt;/keyword&gt;&lt;keyword&gt;*Cardiovascular Diseases/epidemiology/mortality&lt;/keyword&gt;&lt;keyword&gt;Australia/epidemiology&lt;/keyword&gt;&lt;keyword&gt;Male&lt;/keyword&gt;&lt;keyword&gt;Female&lt;/keyword&gt;&lt;keyword&gt;Middle Aged&lt;/keyword&gt;&lt;keyword&gt;Aged&lt;/keyword&gt;&lt;keyword&gt;*Sodium, Dietary/administration &amp;amp; dosage/adverse effects&lt;/keyword&gt;&lt;keyword&gt;Adult&lt;/keyword&gt;&lt;keyword&gt;Aged, 80 and over&lt;/keyword&gt;&lt;keyword&gt;Cost of Illness&lt;/keyword&gt;&lt;keyword&gt;Global Burden of Disease&lt;/keyword&gt;&lt;keyword&gt;Disability-Adjusted Life Years&lt;/keyword&gt;&lt;/keywords&gt;&lt;dates&gt;&lt;year&gt;2024&lt;/year&gt;&lt;pub-dates&gt;&lt;date&gt;Jul 1&lt;/date&gt;&lt;/pub-dates&gt;&lt;/dates&gt;&lt;isbn&gt;0263-6352&lt;/isbn&gt;&lt;accession-num&gt;38690914&lt;/accession-num&gt;&lt;urls&gt;&lt;/urls&gt;&lt;electronic-resource-num&gt;10.1097/hjh.0000000000003699&lt;/electronic-resource-num&gt;&lt;remote-database-provider&gt;NLM&lt;/remote-database-provider&gt;&lt;language&gt;eng&lt;/language&gt;&lt;/record&gt;&lt;/Cite&gt;&lt;/EndNote&gt;</w:instrText>
      </w:r>
      <w:r w:rsidR="00B52CC2">
        <w:fldChar w:fldCharType="separate"/>
      </w:r>
      <w:r w:rsidR="00B52CC2">
        <w:rPr>
          <w:noProof/>
        </w:rPr>
        <w:t>(Moreno et al., 2024)</w:t>
      </w:r>
      <w:r w:rsidR="00B52CC2">
        <w:fldChar w:fldCharType="end"/>
      </w:r>
      <w:r w:rsidR="00B52CC2">
        <w:t xml:space="preserve">. </w:t>
      </w:r>
      <w:r w:rsidR="004E679F">
        <w:t xml:space="preserve">A </w:t>
      </w:r>
      <w:r w:rsidR="003C0A4F">
        <w:t xml:space="preserve">paper </w:t>
      </w:r>
      <w:r w:rsidR="003E35E5">
        <w:t xml:space="preserve">exploring risk factors associated with </w:t>
      </w:r>
      <w:r w:rsidR="00B51FE3">
        <w:t xml:space="preserve">total </w:t>
      </w:r>
      <w:r w:rsidR="004E679F">
        <w:t xml:space="preserve">CVD mortality and morbidity </w:t>
      </w:r>
      <w:r w:rsidR="003E35E5">
        <w:t xml:space="preserve">in 2019 estimated that diets high in sodium accounted for </w:t>
      </w:r>
      <w:r w:rsidR="004E679F">
        <w:t>377 d</w:t>
      </w:r>
      <w:r w:rsidR="001A5B8A">
        <w:t>e</w:t>
      </w:r>
      <w:r w:rsidR="004E679F">
        <w:t>aths and 6,920 DALYs</w:t>
      </w:r>
      <w:r w:rsidR="003E35E5">
        <w:t xml:space="preserve"> </w:t>
      </w:r>
      <w:r w:rsidR="00AF1BB5">
        <w:fldChar w:fldCharType="begin"/>
      </w:r>
      <w:r w:rsidR="00AF1BB5">
        <w:instrText xml:space="preserve"> ADDIN EN.CITE &lt;EndNote&gt;&lt;Cite&gt;&lt;Author&gt;Wilson&lt;/Author&gt;&lt;Year&gt;2023&lt;/Year&gt;&lt;RecNum&gt;4694&lt;/RecNum&gt;&lt;DisplayText&gt;(Wilson et al., 2023)&lt;/DisplayText&gt;&lt;record&gt;&lt;rec-number&gt;4694&lt;/rec-number&gt;&lt;foreign-keys&gt;&lt;key app="EN" db-id="wwsdv2wwp29fenerv0kx5tw9zxtx2fdrprx2" timestamp="1776134639"&gt;4694&lt;/key&gt;&lt;/foreign-keys&gt;&lt;ref-type name="Journal Article"&gt;17&lt;/ref-type&gt;&lt;contributors&gt;&lt;authors&gt;&lt;author&gt;Wilson, Nick&lt;/author&gt;&lt;author&gt;Cleghorn, Christine&lt;/author&gt;&lt;author&gt;Nghiem, Nhung&lt;/author&gt;&lt;author&gt;Blakely, Tony&lt;/author&gt;&lt;/authors&gt;&lt;/contributors&gt;&lt;titles&gt;&lt;title&gt;Prioritization of intervention domains to prevent cardiovascular disease: a country-level case study using global burden of disease and local data&lt;/title&gt;&lt;secondary-title&gt;Population Health Metrics&lt;/secondary-title&gt;&lt;/titles&gt;&lt;periodical&gt;&lt;full-title&gt;Population Health Metrics&lt;/full-title&gt;&lt;/periodical&gt;&lt;pages&gt;1&lt;/pages&gt;&lt;volume&gt;21&lt;/volume&gt;&lt;number&gt;1&lt;/number&gt;&lt;dates&gt;&lt;year&gt;2023&lt;/year&gt;&lt;pub-dates&gt;&lt;date&gt;2023/01/26&lt;/date&gt;&lt;/pub-dates&gt;&lt;/dates&gt;&lt;isbn&gt;1478-7954&lt;/isbn&gt;&lt;urls&gt;&lt;related-urls&gt;&lt;url&gt;https://doi.org/10.1186/s12963-023-00301-1&lt;/url&gt;&lt;/related-urls&gt;&lt;/urls&gt;&lt;electronic-resource-num&gt;10.1186/s12963-023-00301-1&lt;/electronic-resource-num&gt;&lt;/record&gt;&lt;/Cite&gt;&lt;/EndNote&gt;</w:instrText>
      </w:r>
      <w:r w:rsidR="00AF1BB5">
        <w:fldChar w:fldCharType="separate"/>
      </w:r>
      <w:r w:rsidR="00AF1BB5">
        <w:rPr>
          <w:noProof/>
        </w:rPr>
        <w:t>(Wilson et al., 2023)</w:t>
      </w:r>
      <w:r w:rsidR="00AF1BB5">
        <w:fldChar w:fldCharType="end"/>
      </w:r>
      <w:r w:rsidR="001A5B8A">
        <w:t xml:space="preserve">. </w:t>
      </w:r>
    </w:p>
    <w:p w14:paraId="396380DE" w14:textId="5D1ECA75" w:rsidR="0083503B" w:rsidRPr="00C44EA6" w:rsidRDefault="0083503B" w:rsidP="00C44EA6">
      <w:pPr>
        <w:pStyle w:val="Heading2"/>
        <w:tabs>
          <w:tab w:val="left" w:pos="5546"/>
        </w:tabs>
        <w:rPr>
          <w:b/>
          <w:bCs/>
        </w:rPr>
      </w:pPr>
      <w:bookmarkStart w:id="48" w:name="_Toc234960839"/>
      <w:r w:rsidRPr="00C44EA6">
        <w:rPr>
          <w:b/>
          <w:bCs/>
        </w:rPr>
        <w:lastRenderedPageBreak/>
        <w:t>Knowledge, attitudes</w:t>
      </w:r>
      <w:r w:rsidR="008B7525" w:rsidRPr="00C44EA6">
        <w:rPr>
          <w:b/>
          <w:bCs/>
        </w:rPr>
        <w:t>,</w:t>
      </w:r>
      <w:r w:rsidRPr="00C44EA6">
        <w:rPr>
          <w:b/>
          <w:bCs/>
        </w:rPr>
        <w:t xml:space="preserve"> and behaviours</w:t>
      </w:r>
      <w:bookmarkEnd w:id="48"/>
    </w:p>
    <w:p w14:paraId="49D08D5A" w14:textId="0BEBE87D" w:rsidR="00CF5B1D" w:rsidRDefault="0083503B" w:rsidP="005D41BE">
      <w:pPr>
        <w:spacing w:after="120" w:line="276" w:lineRule="auto"/>
        <w:ind w:right="34"/>
        <w:rPr>
          <w:rFonts w:eastAsia="Times New Roman" w:cs="Arial"/>
        </w:rPr>
      </w:pPr>
      <w:r>
        <w:t xml:space="preserve">A </w:t>
      </w:r>
      <w:r w:rsidR="005B3477">
        <w:t xml:space="preserve">2018 </w:t>
      </w:r>
      <w:r>
        <w:t xml:space="preserve">systematic review </w:t>
      </w:r>
      <w:r w:rsidR="003F05E9">
        <w:t>examin</w:t>
      </w:r>
      <w:r w:rsidR="005B3477">
        <w:t>ed</w:t>
      </w:r>
      <w:r w:rsidR="003F05E9">
        <w:t xml:space="preserve"> the </w:t>
      </w:r>
      <w:r>
        <w:t xml:space="preserve">knowledge, attitudes and behaviours towards dietary salt intake </w:t>
      </w:r>
      <w:r w:rsidR="003F05E9">
        <w:t xml:space="preserve">among people living in </w:t>
      </w:r>
      <w:r>
        <w:t>high income countries</w:t>
      </w:r>
      <w:r>
        <w:fldChar w:fldCharType="begin"/>
      </w:r>
      <w:r>
        <w:instrText xml:space="preserve"> ADDIN EN.CITE &lt;EndNote&gt;&lt;Cite&gt;&lt;Author&gt;Bhana&lt;/Author&gt;&lt;Year&gt;2018&lt;/Year&gt;&lt;RecNum&gt;3812&lt;/RecNum&gt;&lt;DisplayText&gt;(Bhana et al., 2018)&lt;/DisplayText&gt;&lt;record&gt;&lt;rec-number&gt;3812&lt;/rec-number&gt;&lt;foreign-keys&gt;&lt;key app="EN" db-id="wwsdv2wwp29fenerv0kx5tw9zxtx2fdrprx2" timestamp="1763423465"&gt;3812&lt;/key&gt;&lt;/foreign-keys&gt;&lt;ref-type name="Journal Article"&gt;17&lt;/ref-type&gt;&lt;contributors&gt;&lt;authors&gt;&lt;author&gt;Bhana, N.&lt;/author&gt;&lt;author&gt;Utter, J.&lt;/author&gt;&lt;author&gt;Eyles, H.&lt;/author&gt;&lt;/authors&gt;&lt;/contributors&gt;&lt;titles&gt;&lt;title&gt;Knowledge, Attitudes and Behaviours Related to Dietary Salt Intake in High-Income Countries: a Systematic Review&lt;/title&gt;&lt;secondary-title&gt;Current nutrition reports&lt;/secondary-title&gt;&lt;/titles&gt;&lt;periodical&gt;&lt;full-title&gt;Current nutrition reports&lt;/full-title&gt;&lt;/periodical&gt;&lt;pages&gt;183-197&lt;/pages&gt;&lt;volume&gt;7&lt;/volume&gt;&lt;number&gt;4&lt;/number&gt;&lt;dates&gt;&lt;year&gt;2018&lt;/year&gt;&lt;pub-dates&gt;&lt;date&gt;2018&lt;/date&gt;&lt;/pub-dates&gt;&lt;/dates&gt;&lt;isbn&gt;2161-3311&lt;/isbn&gt;&lt;urls&gt;&lt;related-urls&gt;&lt;url&gt;http://www.epistemonikos.org/documents/dd740a0571a6b001746bbd658375858690d15be3&lt;/url&gt;&lt;/related-urls&gt;&lt;/urls&gt;&lt;electronic-resource-num&gt;10.1007/s13668-018-0239-9&lt;/electronic-resource-num&gt;&lt;remote-database-name&gt;EPISTEMONIKOS&lt;/remote-database-name&gt;&lt;language&gt;English&lt;/language&gt;&lt;/record&gt;&lt;/Cite&gt;&lt;/EndNote&gt;</w:instrText>
      </w:r>
      <w:r>
        <w:fldChar w:fldCharType="separate"/>
      </w:r>
      <w:r>
        <w:rPr>
          <w:noProof/>
        </w:rPr>
        <w:t>(Bhana et al., 2018)</w:t>
      </w:r>
      <w:r>
        <w:fldChar w:fldCharType="end"/>
      </w:r>
      <w:r>
        <w:t xml:space="preserve">. </w:t>
      </w:r>
      <w:r w:rsidR="008215A1">
        <w:t>Three-quarters of the twelve included studies were from Australia (8 of 12 studies) or New Zealand (1 of 12 studies).</w:t>
      </w:r>
      <w:r w:rsidR="00CA41A6">
        <w:t xml:space="preserve"> </w:t>
      </w:r>
      <w:r w:rsidR="00EB1375" w:rsidRPr="00BB0551">
        <w:rPr>
          <w:rFonts w:eastAsia="Times New Roman" w:cs="Arial"/>
        </w:rPr>
        <w:t xml:space="preserve">Although </w:t>
      </w:r>
      <w:r w:rsidR="00807309">
        <w:rPr>
          <w:rFonts w:eastAsia="Times New Roman" w:cs="Arial"/>
        </w:rPr>
        <w:t xml:space="preserve">participants were mostly </w:t>
      </w:r>
      <w:r w:rsidR="00EB1375" w:rsidRPr="00BB0551">
        <w:rPr>
          <w:rFonts w:eastAsia="Times New Roman" w:cs="Arial"/>
        </w:rPr>
        <w:t xml:space="preserve">aware of the </w:t>
      </w:r>
      <w:r w:rsidR="00807309">
        <w:rPr>
          <w:rFonts w:eastAsia="Times New Roman" w:cs="Arial"/>
        </w:rPr>
        <w:t xml:space="preserve">cardiovascular disease </w:t>
      </w:r>
      <w:r w:rsidR="00EB1375" w:rsidRPr="00BB0551">
        <w:rPr>
          <w:rFonts w:eastAsia="Times New Roman" w:cs="Arial"/>
        </w:rPr>
        <w:t xml:space="preserve">risks associated with high salt intake, many </w:t>
      </w:r>
      <w:r w:rsidR="005B3477">
        <w:rPr>
          <w:rFonts w:eastAsia="Times New Roman" w:cs="Arial"/>
        </w:rPr>
        <w:t>we</w:t>
      </w:r>
      <w:r w:rsidR="00EB1375" w:rsidRPr="00BB0551">
        <w:rPr>
          <w:rFonts w:eastAsia="Times New Roman" w:cs="Arial"/>
        </w:rPr>
        <w:t>re unaware of current recommended intake levels, or of how their own salt intake compare</w:t>
      </w:r>
      <w:r w:rsidR="005B3477">
        <w:rPr>
          <w:rFonts w:eastAsia="Times New Roman" w:cs="Arial"/>
        </w:rPr>
        <w:t>d</w:t>
      </w:r>
      <w:r w:rsidR="00EB1375" w:rsidRPr="00BB0551">
        <w:rPr>
          <w:rFonts w:eastAsia="Times New Roman" w:cs="Arial"/>
        </w:rPr>
        <w:t xml:space="preserve"> with recommendations</w:t>
      </w:r>
      <w:r w:rsidR="00807309">
        <w:rPr>
          <w:rFonts w:eastAsia="Times New Roman" w:cs="Arial"/>
        </w:rPr>
        <w:t xml:space="preserve">. </w:t>
      </w:r>
      <w:r w:rsidR="000B0B31" w:rsidRPr="00BB0551">
        <w:rPr>
          <w:rFonts w:eastAsia="Times New Roman" w:cs="Arial"/>
        </w:rPr>
        <w:t xml:space="preserve">Across studies, there appears to be broad </w:t>
      </w:r>
      <w:r w:rsidR="000B0B31">
        <w:rPr>
          <w:rFonts w:eastAsia="Times New Roman" w:cs="Arial"/>
        </w:rPr>
        <w:t xml:space="preserve">support for – and understanding of - the need </w:t>
      </w:r>
      <w:r w:rsidR="000B0B31" w:rsidRPr="00BB0551">
        <w:rPr>
          <w:rFonts w:eastAsia="Times New Roman" w:cs="Arial"/>
        </w:rPr>
        <w:t>for individual dietary change</w:t>
      </w:r>
      <w:r w:rsidR="000B0B31">
        <w:rPr>
          <w:rFonts w:eastAsia="Times New Roman" w:cs="Arial"/>
        </w:rPr>
        <w:t>s</w:t>
      </w:r>
      <w:r w:rsidR="000B0B31" w:rsidRPr="00BB0551">
        <w:rPr>
          <w:rFonts w:eastAsia="Times New Roman" w:cs="Arial"/>
        </w:rPr>
        <w:t xml:space="preserve"> to address the health risks associated with excessive salt consumption</w:t>
      </w:r>
      <w:r w:rsidR="000B0B31">
        <w:rPr>
          <w:rFonts w:eastAsia="Times New Roman" w:cs="Arial"/>
        </w:rPr>
        <w:t>.</w:t>
      </w:r>
    </w:p>
    <w:p w14:paraId="063BCDC5" w14:textId="2C6DCF60" w:rsidR="00C25615" w:rsidRDefault="0019075A" w:rsidP="00C25615">
      <w:pPr>
        <w:spacing w:after="120" w:line="276" w:lineRule="auto"/>
        <w:ind w:right="34"/>
      </w:pPr>
      <w:r>
        <w:rPr>
          <w:rFonts w:eastAsia="Times New Roman" w:cs="Arial"/>
        </w:rPr>
        <w:t xml:space="preserve">A </w:t>
      </w:r>
      <w:r w:rsidR="00C25615">
        <w:rPr>
          <w:rFonts w:eastAsia="Times New Roman" w:cs="Arial"/>
        </w:rPr>
        <w:t xml:space="preserve">recent nationally representative survey among 1,271Australian adults </w:t>
      </w:r>
      <w:r>
        <w:rPr>
          <w:rFonts w:eastAsia="Times New Roman" w:cs="Arial"/>
        </w:rPr>
        <w:t xml:space="preserve">supports these findings, with </w:t>
      </w:r>
      <w:r w:rsidR="005C5FF5">
        <w:rPr>
          <w:rFonts w:eastAsia="Times New Roman" w:cs="Arial"/>
        </w:rPr>
        <w:t>most participants (85%) identif</w:t>
      </w:r>
      <w:r>
        <w:rPr>
          <w:rFonts w:eastAsia="Times New Roman" w:cs="Arial"/>
        </w:rPr>
        <w:t>ying</w:t>
      </w:r>
      <w:r w:rsidR="005C5FF5">
        <w:rPr>
          <w:rFonts w:eastAsia="Times New Roman" w:cs="Arial"/>
        </w:rPr>
        <w:t xml:space="preserve"> processed foods as a main contributor to salt in Australian diets</w:t>
      </w:r>
      <w:r>
        <w:rPr>
          <w:rFonts w:eastAsia="Times New Roman" w:cs="Arial"/>
        </w:rPr>
        <w:t xml:space="preserve"> </w:t>
      </w:r>
      <w:r>
        <w:rPr>
          <w:rFonts w:eastAsia="Times New Roman" w:cs="Arial"/>
        </w:rPr>
        <w:fldChar w:fldCharType="begin"/>
      </w:r>
      <w:r>
        <w:rPr>
          <w:rFonts w:eastAsia="Times New Roman" w:cs="Arial"/>
        </w:rPr>
        <w:instrText xml:space="preserve"> ADDIN EN.CITE &lt;EndNote&gt;&lt;Cite&gt;&lt;Author&gt;Rosewarne&lt;/Author&gt;&lt;Year&gt;2021&lt;/Year&gt;&lt;RecNum&gt;4745&lt;/RecNum&gt;&lt;DisplayText&gt;(Rosewarne et al., 2021)&lt;/DisplayText&gt;&lt;record&gt;&lt;rec-number&gt;4745&lt;/rec-number&gt;&lt;foreign-keys&gt;&lt;key app="EN" db-id="wwsdv2wwp29fenerv0kx5tw9zxtx2fdrprx2" timestamp="1780988085"&gt;4745&lt;/key&gt;&lt;/foreign-keys&gt;&lt;ref-type name="Journal Article"&gt;17&lt;/ref-type&gt;&lt;contributors&gt;&lt;authors&gt;&lt;author&gt;Rosewarne, Emalie&lt;/author&gt;&lt;author&gt;Santos, Joseph Alvin&lt;/author&gt;&lt;author&gt;Hoek, Annet&lt;/author&gt;&lt;author&gt;Grimes, Carley&lt;/author&gt;&lt;author&gt;Nowson, Caryl&lt;/author&gt;&lt;author&gt;Webster, Jacqui&lt;/author&gt;&lt;author&gt;Bolton, Kristy A.&lt;/author&gt;&lt;/authors&gt;&lt;/contributors&gt;&lt;titles&gt;&lt;title&gt;Are there socio-demographic differences in salt behaviours and fruit and vegetable consumption in Australian adults? A nationally representative cross-sectional survey&lt;/title&gt;&lt;secondary-title&gt;Nutrition Journal&lt;/secondary-title&gt;&lt;/titles&gt;&lt;periodical&gt;&lt;full-title&gt;Nutrition journal&lt;/full-title&gt;&lt;/periodical&gt;&lt;pages&gt;77&lt;/pages&gt;&lt;volume&gt;20&lt;/volume&gt;&lt;number&gt;1&lt;/number&gt;&lt;dates&gt;&lt;year&gt;2021&lt;/year&gt;&lt;pub-dates&gt;&lt;date&gt;2021/09/08&lt;/date&gt;&lt;/pub-dates&gt;&lt;/dates&gt;&lt;isbn&gt;1475-2891&lt;/isbn&gt;&lt;urls&gt;&lt;related-urls&gt;&lt;url&gt;https://doi.org/10.1186/s12937-021-00734-0&lt;/url&gt;&lt;/related-urls&gt;&lt;/urls&gt;&lt;electronic-resource-num&gt;10.1186/s12937-021-00734-0&lt;/electronic-resource-num&gt;&lt;/record&gt;&lt;/Cite&gt;&lt;/EndNote&gt;</w:instrText>
      </w:r>
      <w:r>
        <w:rPr>
          <w:rFonts w:eastAsia="Times New Roman" w:cs="Arial"/>
        </w:rPr>
        <w:fldChar w:fldCharType="separate"/>
      </w:r>
      <w:r>
        <w:rPr>
          <w:rFonts w:eastAsia="Times New Roman" w:cs="Arial"/>
          <w:noProof/>
        </w:rPr>
        <w:t>(Rosewarne et al., 2021)</w:t>
      </w:r>
      <w:r>
        <w:rPr>
          <w:rFonts w:eastAsia="Times New Roman" w:cs="Arial"/>
        </w:rPr>
        <w:fldChar w:fldCharType="end"/>
      </w:r>
      <w:r>
        <w:rPr>
          <w:rFonts w:eastAsia="Times New Roman" w:cs="Arial"/>
        </w:rPr>
        <w:t xml:space="preserve">. However, only one in three </w:t>
      </w:r>
      <w:r w:rsidR="005C5FF5">
        <w:rPr>
          <w:rFonts w:eastAsia="Times New Roman" w:cs="Arial"/>
        </w:rPr>
        <w:t xml:space="preserve">participants </w:t>
      </w:r>
      <w:r>
        <w:rPr>
          <w:rFonts w:eastAsia="Times New Roman" w:cs="Arial"/>
        </w:rPr>
        <w:t>believed their salt intakes were above recommendations</w:t>
      </w:r>
      <w:r w:rsidR="0000184D">
        <w:rPr>
          <w:rFonts w:eastAsia="Times New Roman" w:cs="Arial"/>
        </w:rPr>
        <w:t xml:space="preserve">. Although </w:t>
      </w:r>
      <w:r w:rsidR="00EE0109">
        <w:rPr>
          <w:rFonts w:eastAsia="Times New Roman" w:cs="Arial"/>
        </w:rPr>
        <w:t xml:space="preserve">other studies </w:t>
      </w:r>
      <w:r w:rsidR="00C61AEE">
        <w:rPr>
          <w:rFonts w:eastAsia="Times New Roman" w:cs="Arial"/>
        </w:rPr>
        <w:t xml:space="preserve">have </w:t>
      </w:r>
      <w:r w:rsidR="00327CEE">
        <w:rPr>
          <w:rFonts w:eastAsia="Times New Roman" w:cs="Arial"/>
        </w:rPr>
        <w:t xml:space="preserve">reported </w:t>
      </w:r>
      <w:r w:rsidR="0000184D">
        <w:rPr>
          <w:rFonts w:eastAsia="Times New Roman" w:cs="Arial"/>
        </w:rPr>
        <w:t xml:space="preserve">higher </w:t>
      </w:r>
      <w:r w:rsidR="00EE0109">
        <w:rPr>
          <w:rFonts w:eastAsia="Times New Roman" w:cs="Arial"/>
        </w:rPr>
        <w:t xml:space="preserve">overall </w:t>
      </w:r>
      <w:r w:rsidR="0000184D">
        <w:rPr>
          <w:rFonts w:eastAsia="Times New Roman" w:cs="Arial"/>
        </w:rPr>
        <w:t xml:space="preserve">sodium intakes among </w:t>
      </w:r>
      <w:r w:rsidR="00C25615">
        <w:rPr>
          <w:rFonts w:eastAsia="Times New Roman" w:cs="Arial"/>
        </w:rPr>
        <w:t xml:space="preserve">people from low </w:t>
      </w:r>
      <w:r w:rsidR="00A53D2A">
        <w:rPr>
          <w:rFonts w:eastAsia="Times New Roman" w:cs="Arial"/>
        </w:rPr>
        <w:t xml:space="preserve">socioeconomic </w:t>
      </w:r>
      <w:r w:rsidR="00C25615">
        <w:rPr>
          <w:rFonts w:eastAsia="Times New Roman" w:cs="Arial"/>
        </w:rPr>
        <w:t>backgrounds</w:t>
      </w:r>
      <w:r w:rsidR="00A53D2A">
        <w:rPr>
          <w:rFonts w:eastAsia="Times New Roman" w:cs="Arial"/>
        </w:rPr>
        <w:t xml:space="preserve"> </w:t>
      </w:r>
      <w:r w:rsidR="008932C7">
        <w:rPr>
          <w:rFonts w:eastAsia="Times New Roman" w:cs="Arial"/>
        </w:rPr>
        <w:fldChar w:fldCharType="begin"/>
      </w:r>
      <w:r w:rsidR="008932C7">
        <w:rPr>
          <w:rFonts w:eastAsia="Times New Roman" w:cs="Arial"/>
        </w:rPr>
        <w:instrText xml:space="preserve"> ADDIN EN.CITE &lt;EndNote&gt;&lt;Cite&gt;&lt;Author&gt;de Mestral&lt;/Author&gt;&lt;Year&gt;2017&lt;/Year&gt;&lt;RecNum&gt;4684&lt;/RecNum&gt;&lt;DisplayText&gt;(de Mestral et al., 2017)&lt;/DisplayText&gt;&lt;record&gt;&lt;rec-number&gt;4684&lt;/rec-number&gt;&lt;foreign-keys&gt;&lt;key app="EN" db-id="wwsdv2wwp29fenerv0kx5tw9zxtx2fdrprx2" timestamp="1776125787"&gt;4684&lt;/key&gt;&lt;/foreign-keys&gt;&lt;ref-type name="Journal Article"&gt;17&lt;/ref-type&gt;&lt;contributors&gt;&lt;authors&gt;&lt;author&gt;de Mestral, Carlos&lt;/author&gt;&lt;author&gt;Mayén, Ana-Lucia&lt;/author&gt;&lt;author&gt;Petrovic, Dusan&lt;/author&gt;&lt;author&gt;Marques-Vidal, Pedro&lt;/author&gt;&lt;author&gt;Bochud, Murielle&lt;/author&gt;&lt;author&gt;Stringhini, Silvia&lt;/author&gt;&lt;/authors&gt;&lt;/contributors&gt;&lt;titles&gt;&lt;title&gt;Socioeconomic determinants of sodium intake in adult populations of high-income countries: a systematic review and meta-analysis&lt;/title&gt;&lt;secondary-title&gt;American journal of public health&lt;/secondary-title&gt;&lt;/titles&gt;&lt;periodical&gt;&lt;full-title&gt;American journal of public health&lt;/full-title&gt;&lt;/periodical&gt;&lt;pages&gt;e1-e12&lt;/pages&gt;&lt;volume&gt;107&lt;/volume&gt;&lt;number&gt;4&lt;/number&gt;&lt;dates&gt;&lt;year&gt;2017&lt;/year&gt;&lt;/dates&gt;&lt;isbn&gt;1541-0048&lt;/isbn&gt;&lt;urls&gt;&lt;/urls&gt;&lt;/record&gt;&lt;/Cite&gt;&lt;/EndNote&gt;</w:instrText>
      </w:r>
      <w:r w:rsidR="008932C7">
        <w:rPr>
          <w:rFonts w:eastAsia="Times New Roman" w:cs="Arial"/>
        </w:rPr>
        <w:fldChar w:fldCharType="separate"/>
      </w:r>
      <w:r w:rsidR="008932C7">
        <w:rPr>
          <w:rFonts w:eastAsia="Times New Roman" w:cs="Arial"/>
          <w:noProof/>
        </w:rPr>
        <w:t>(de Mestral et al., 2017)</w:t>
      </w:r>
      <w:r w:rsidR="008932C7">
        <w:rPr>
          <w:rFonts w:eastAsia="Times New Roman" w:cs="Arial"/>
        </w:rPr>
        <w:fldChar w:fldCharType="end"/>
      </w:r>
      <w:r w:rsidR="00C25615">
        <w:rPr>
          <w:rFonts w:eastAsia="Times New Roman" w:cs="Arial"/>
        </w:rPr>
        <w:t xml:space="preserve">, </w:t>
      </w:r>
      <w:r w:rsidR="000F7BCE">
        <w:rPr>
          <w:rFonts w:eastAsia="Times New Roman" w:cs="Arial"/>
        </w:rPr>
        <w:t xml:space="preserve">the authors found </w:t>
      </w:r>
      <w:r w:rsidR="00C25615">
        <w:rPr>
          <w:rFonts w:eastAsia="Times New Roman" w:cs="Arial"/>
        </w:rPr>
        <w:t xml:space="preserve">no consistent pattern between sociodemographic factors and </w:t>
      </w:r>
      <w:r w:rsidR="00327CEE">
        <w:rPr>
          <w:rFonts w:eastAsia="Times New Roman" w:cs="Arial"/>
        </w:rPr>
        <w:t xml:space="preserve">discretionary </w:t>
      </w:r>
      <w:r w:rsidR="00C25615">
        <w:rPr>
          <w:rFonts w:eastAsia="Times New Roman" w:cs="Arial"/>
        </w:rPr>
        <w:t>salt behaviours.</w:t>
      </w:r>
    </w:p>
    <w:p w14:paraId="18C0C1E4" w14:textId="06496518" w:rsidR="00995131" w:rsidRDefault="00F449BC" w:rsidP="005D41BE">
      <w:pPr>
        <w:spacing w:after="120" w:line="276" w:lineRule="auto"/>
        <w:ind w:right="34"/>
        <w:rPr>
          <w:rFonts w:eastAsia="Times New Roman" w:cs="Arial"/>
        </w:rPr>
      </w:pPr>
      <w:r>
        <w:rPr>
          <w:rFonts w:eastAsia="Times New Roman" w:cs="Arial"/>
        </w:rPr>
        <w:t>One</w:t>
      </w:r>
      <w:r w:rsidR="00B656B6">
        <w:rPr>
          <w:rFonts w:eastAsia="Times New Roman" w:cs="Arial"/>
        </w:rPr>
        <w:t xml:space="preserve"> study examin</w:t>
      </w:r>
      <w:r>
        <w:rPr>
          <w:rFonts w:eastAsia="Times New Roman" w:cs="Arial"/>
        </w:rPr>
        <w:t>ed</w:t>
      </w:r>
      <w:r w:rsidR="00B656B6">
        <w:rPr>
          <w:rFonts w:eastAsia="Times New Roman" w:cs="Arial"/>
        </w:rPr>
        <w:t xml:space="preserve"> parental knowledge, attitudes and behaviours, </w:t>
      </w:r>
      <w:r>
        <w:rPr>
          <w:rFonts w:eastAsia="Times New Roman" w:cs="Arial"/>
        </w:rPr>
        <w:t xml:space="preserve">recruiting </w:t>
      </w:r>
      <w:r w:rsidR="003F5894">
        <w:rPr>
          <w:rFonts w:eastAsia="Times New Roman" w:cs="Arial"/>
        </w:rPr>
        <w:t>837 Australian parents from shopping centres</w:t>
      </w:r>
      <w:r>
        <w:rPr>
          <w:rFonts w:eastAsia="Times New Roman" w:cs="Arial"/>
        </w:rPr>
        <w:t xml:space="preserve"> in Victoria </w:t>
      </w:r>
      <w:r>
        <w:rPr>
          <w:rFonts w:eastAsia="Times New Roman" w:cs="Arial"/>
        </w:rPr>
        <w:fldChar w:fldCharType="begin">
          <w:fldData xml:space="preserve">PEVuZE5vdGU+PENpdGU+PEF1dGhvcj5LaG9raGFyPC9BdXRob3I+PFllYXI+MjAxODwvWWVhcj48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</w:fldData>
        </w:fldChar>
      </w:r>
      <w:r>
        <w:rPr>
          <w:rFonts w:eastAsia="Times New Roman" w:cs="Arial"/>
        </w:rPr>
        <w:instrText xml:space="preserve"> ADDIN EN.CITE </w:instrText>
      </w:r>
      <w:r>
        <w:rPr>
          <w:rFonts w:eastAsia="Times New Roman" w:cs="Arial"/>
        </w:rPr>
        <w:fldChar w:fldCharType="begin">
          <w:fldData xml:space="preserve">PEVuZE5vdGU+PENpdGU+PEF1dGhvcj5LaG9raGFyPC9BdXRob3I+PFllYXI+MjAxODwvWWVhcj48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</w:fldData>
        </w:fldChar>
      </w:r>
      <w:r>
        <w:rPr>
          <w:rFonts w:eastAsia="Times New Roman" w:cs="Arial"/>
        </w:rPr>
        <w:instrText xml:space="preserve"> ADDIN EN.CITE.DATA </w:instrText>
      </w:r>
      <w:r>
        <w:rPr>
          <w:rFonts w:eastAsia="Times New Roman" w:cs="Arial"/>
        </w:rPr>
      </w:r>
      <w:r>
        <w:rPr>
          <w:rFonts w:eastAsia="Times New Roman" w:cs="Arial"/>
        </w:rPr>
        <w:fldChar w:fldCharType="end"/>
      </w:r>
      <w:r>
        <w:rPr>
          <w:rFonts w:eastAsia="Times New Roman" w:cs="Arial"/>
        </w:rPr>
      </w:r>
      <w:r>
        <w:rPr>
          <w:rFonts w:eastAsia="Times New Roman" w:cs="Arial"/>
        </w:rPr>
        <w:fldChar w:fldCharType="separate"/>
      </w:r>
      <w:r>
        <w:rPr>
          <w:rFonts w:eastAsia="Times New Roman" w:cs="Arial"/>
          <w:noProof/>
        </w:rPr>
        <w:t>(Khokhar et al., 2018)</w:t>
      </w:r>
      <w:r>
        <w:rPr>
          <w:rFonts w:eastAsia="Times New Roman" w:cs="Arial"/>
        </w:rPr>
        <w:fldChar w:fldCharType="end"/>
      </w:r>
      <w:r>
        <w:rPr>
          <w:rFonts w:eastAsia="Times New Roman" w:cs="Arial"/>
        </w:rPr>
        <w:t>.</w:t>
      </w:r>
      <w:r w:rsidR="00B656B6">
        <w:rPr>
          <w:rFonts w:eastAsia="Times New Roman" w:cs="Arial"/>
        </w:rPr>
        <w:t xml:space="preserve"> </w:t>
      </w:r>
      <w:r w:rsidR="004965CF">
        <w:rPr>
          <w:rFonts w:eastAsia="Times New Roman" w:cs="Arial"/>
        </w:rPr>
        <w:t xml:space="preserve">Most </w:t>
      </w:r>
      <w:r w:rsidR="00D11449">
        <w:rPr>
          <w:rFonts w:eastAsia="Times New Roman" w:cs="Arial"/>
        </w:rPr>
        <w:t xml:space="preserve">parents surveyed were aware </w:t>
      </w:r>
      <w:r w:rsidR="009F0CE1">
        <w:rPr>
          <w:rFonts w:eastAsia="Times New Roman" w:cs="Arial"/>
        </w:rPr>
        <w:t xml:space="preserve">of the relationship between high dietary salt and adverse health outcomes </w:t>
      </w:r>
      <w:r w:rsidR="009F0CE1" w:rsidRPr="00D11449">
        <w:rPr>
          <w:rFonts w:eastAsia="Times New Roman" w:cs="Arial"/>
        </w:rPr>
        <w:t>(</w:t>
      </w:r>
      <w:r w:rsidR="00E16BEF">
        <w:rPr>
          <w:rFonts w:eastAsia="Times New Roman" w:cs="Arial"/>
        </w:rPr>
        <w:t>91%) although fewer understood that this relationship was also a concern for child health (</w:t>
      </w:r>
      <w:r w:rsidR="009F0CE1" w:rsidRPr="00D11449">
        <w:rPr>
          <w:rFonts w:eastAsia="Times New Roman" w:cs="Arial"/>
        </w:rPr>
        <w:t>77%)</w:t>
      </w:r>
      <w:r w:rsidR="00E3665E">
        <w:rPr>
          <w:rFonts w:eastAsia="Times New Roman" w:cs="Arial"/>
        </w:rPr>
        <w:t>.</w:t>
      </w:r>
      <w:r w:rsidR="009F0CE1" w:rsidRPr="00D11449">
        <w:rPr>
          <w:rFonts w:eastAsia="Times New Roman" w:cs="Arial"/>
        </w:rPr>
        <w:t xml:space="preserve"> </w:t>
      </w:r>
      <w:r w:rsidR="00E3665E">
        <w:rPr>
          <w:rFonts w:eastAsia="Times New Roman" w:cs="Arial"/>
        </w:rPr>
        <w:t xml:space="preserve">Those who reported knowledge about this relationship </w:t>
      </w:r>
      <w:r w:rsidR="00E16BEF">
        <w:rPr>
          <w:rFonts w:eastAsia="Times New Roman" w:cs="Arial"/>
        </w:rPr>
        <w:t xml:space="preserve">in children </w:t>
      </w:r>
      <w:r w:rsidR="00E3665E">
        <w:rPr>
          <w:rFonts w:eastAsia="Times New Roman" w:cs="Arial"/>
        </w:rPr>
        <w:t>were less likely to report add</w:t>
      </w:r>
      <w:r w:rsidR="00E16BEF">
        <w:rPr>
          <w:rFonts w:eastAsia="Times New Roman" w:cs="Arial"/>
        </w:rPr>
        <w:t>ing</w:t>
      </w:r>
      <w:r w:rsidR="00E3665E">
        <w:rPr>
          <w:rFonts w:eastAsia="Times New Roman" w:cs="Arial"/>
        </w:rPr>
        <w:t xml:space="preserve"> salt to child meals </w:t>
      </w:r>
      <w:r w:rsidR="00E16BEF">
        <w:rPr>
          <w:rFonts w:eastAsia="Times New Roman" w:cs="Arial"/>
        </w:rPr>
        <w:t xml:space="preserve">at the table </w:t>
      </w:r>
      <w:r w:rsidR="00E3665E" w:rsidRPr="00E3665E">
        <w:rPr>
          <w:rFonts w:eastAsia="Times New Roman" w:cs="Arial"/>
        </w:rPr>
        <w:t>(OR = 0.51, p &lt; 0.001)</w:t>
      </w:r>
      <w:r w:rsidR="00E3665E">
        <w:rPr>
          <w:rFonts w:eastAsia="Times New Roman" w:cs="Arial"/>
        </w:rPr>
        <w:t xml:space="preserve"> or during food preparation </w:t>
      </w:r>
      <w:r w:rsidR="00E3665E" w:rsidRPr="00E3665E">
        <w:rPr>
          <w:rFonts w:eastAsia="Times New Roman" w:cs="Arial"/>
        </w:rPr>
        <w:t>(OR = 0.46, p &lt; 0.001)</w:t>
      </w:r>
      <w:r w:rsidR="00E3665E">
        <w:rPr>
          <w:rFonts w:eastAsia="Times New Roman" w:cs="Arial"/>
        </w:rPr>
        <w:t>.</w:t>
      </w:r>
      <w:r w:rsidR="009F0CE1">
        <w:rPr>
          <w:rFonts w:eastAsia="Times New Roman" w:cs="Arial"/>
        </w:rPr>
        <w:t xml:space="preserve"> </w:t>
      </w:r>
      <w:r w:rsidR="003D2A27">
        <w:rPr>
          <w:rFonts w:eastAsia="Times New Roman" w:cs="Arial"/>
        </w:rPr>
        <w:t xml:space="preserve">Although 70% agreed that it was important to reduce </w:t>
      </w:r>
      <w:r w:rsidR="003D2A27" w:rsidRPr="00D11449">
        <w:rPr>
          <w:rFonts w:eastAsia="Times New Roman" w:cs="Arial"/>
        </w:rPr>
        <w:t xml:space="preserve">salt in </w:t>
      </w:r>
      <w:r w:rsidR="003D2A27">
        <w:rPr>
          <w:rFonts w:eastAsia="Times New Roman" w:cs="Arial"/>
        </w:rPr>
        <w:t xml:space="preserve">their </w:t>
      </w:r>
      <w:r w:rsidR="003D2A27" w:rsidRPr="00D11449">
        <w:rPr>
          <w:rFonts w:eastAsia="Times New Roman" w:cs="Arial"/>
        </w:rPr>
        <w:t>child</w:t>
      </w:r>
      <w:r w:rsidR="003D2A27">
        <w:rPr>
          <w:rFonts w:eastAsia="Times New Roman" w:cs="Arial"/>
        </w:rPr>
        <w:t xml:space="preserve">’s </w:t>
      </w:r>
      <w:r w:rsidR="003D2A27" w:rsidRPr="00D11449">
        <w:rPr>
          <w:rFonts w:eastAsia="Times New Roman" w:cs="Arial"/>
        </w:rPr>
        <w:t>diet</w:t>
      </w:r>
      <w:r w:rsidR="003D2A27">
        <w:rPr>
          <w:rFonts w:eastAsia="Times New Roman" w:cs="Arial"/>
        </w:rPr>
        <w:t xml:space="preserve">, </w:t>
      </w:r>
      <w:r w:rsidR="009F0CE1">
        <w:rPr>
          <w:rFonts w:eastAsia="Times New Roman" w:cs="Arial"/>
        </w:rPr>
        <w:t>almost 1 in 2 still added salt to food prepared for their children</w:t>
      </w:r>
      <w:r w:rsidR="002B068E">
        <w:rPr>
          <w:rFonts w:eastAsia="Times New Roman" w:cs="Arial"/>
        </w:rPr>
        <w:t xml:space="preserve"> </w:t>
      </w:r>
      <w:r w:rsidR="003D2A27">
        <w:rPr>
          <w:rFonts w:eastAsia="Times New Roman" w:cs="Arial"/>
        </w:rPr>
        <w:fldChar w:fldCharType="begin">
          <w:fldData xml:space="preserve">PEVuZE5vdGU+PENpdGU+PEF1dGhvcj5LaG9raGFyPC9BdXRob3I+PFllYXI+MjAxODwvWWVhcj48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</w:fldData>
        </w:fldChar>
      </w:r>
      <w:r w:rsidR="003D2A27">
        <w:rPr>
          <w:rFonts w:eastAsia="Times New Roman" w:cs="Arial"/>
        </w:rPr>
        <w:instrText xml:space="preserve"> ADDIN EN.CITE </w:instrText>
      </w:r>
      <w:r w:rsidR="003D2A27">
        <w:rPr>
          <w:rFonts w:eastAsia="Times New Roman" w:cs="Arial"/>
        </w:rPr>
        <w:fldChar w:fldCharType="begin">
          <w:fldData xml:space="preserve">PEVuZE5vdGU+PENpdGU+PEF1dGhvcj5LaG9raGFyPC9BdXRob3I+PFllYXI+MjAxODwvWWVhcj48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</w:fldData>
        </w:fldChar>
      </w:r>
      <w:r w:rsidR="003D2A27">
        <w:rPr>
          <w:rFonts w:eastAsia="Times New Roman" w:cs="Arial"/>
        </w:rPr>
        <w:instrText xml:space="preserve"> ADDIN EN.CITE.DATA </w:instrText>
      </w:r>
      <w:r w:rsidR="003D2A27">
        <w:rPr>
          <w:rFonts w:eastAsia="Times New Roman" w:cs="Arial"/>
        </w:rPr>
      </w:r>
      <w:r w:rsidR="003D2A27">
        <w:rPr>
          <w:rFonts w:eastAsia="Times New Roman" w:cs="Arial"/>
        </w:rPr>
        <w:fldChar w:fldCharType="end"/>
      </w:r>
      <w:r w:rsidR="003D2A27">
        <w:rPr>
          <w:rFonts w:eastAsia="Times New Roman" w:cs="Arial"/>
        </w:rPr>
      </w:r>
      <w:r w:rsidR="003D2A27">
        <w:rPr>
          <w:rFonts w:eastAsia="Times New Roman" w:cs="Arial"/>
        </w:rPr>
        <w:fldChar w:fldCharType="separate"/>
      </w:r>
      <w:r w:rsidR="003D2A27">
        <w:rPr>
          <w:rFonts w:eastAsia="Times New Roman" w:cs="Arial"/>
          <w:noProof/>
        </w:rPr>
        <w:t>(Khokhar et al., 2018)</w:t>
      </w:r>
      <w:r w:rsidR="003D2A27">
        <w:rPr>
          <w:rFonts w:eastAsia="Times New Roman" w:cs="Arial"/>
        </w:rPr>
        <w:fldChar w:fldCharType="end"/>
      </w:r>
      <w:r w:rsidR="002B068E">
        <w:rPr>
          <w:rFonts w:eastAsia="Times New Roman" w:cs="Arial"/>
        </w:rPr>
        <w:t>.</w:t>
      </w:r>
      <w:r w:rsidR="004965CF">
        <w:rPr>
          <w:rFonts w:eastAsia="Times New Roman" w:cs="Arial"/>
        </w:rPr>
        <w:t xml:space="preserve"> Two-thirds of parents believed that their intakes were equal to </w:t>
      </w:r>
      <w:r w:rsidR="00EB2805">
        <w:rPr>
          <w:rFonts w:eastAsia="Times New Roman" w:cs="Arial"/>
        </w:rPr>
        <w:t xml:space="preserve">- </w:t>
      </w:r>
      <w:r w:rsidR="004965CF">
        <w:rPr>
          <w:rFonts w:eastAsia="Times New Roman" w:cs="Arial"/>
        </w:rPr>
        <w:t xml:space="preserve">or below </w:t>
      </w:r>
      <w:r w:rsidR="00EB2805">
        <w:rPr>
          <w:rFonts w:eastAsia="Times New Roman" w:cs="Arial"/>
        </w:rPr>
        <w:t xml:space="preserve">- </w:t>
      </w:r>
      <w:r w:rsidR="004965CF">
        <w:rPr>
          <w:rFonts w:eastAsia="Times New Roman" w:cs="Arial"/>
        </w:rPr>
        <w:t>the recommended daily limits</w:t>
      </w:r>
      <w:r>
        <w:rPr>
          <w:rFonts w:eastAsia="Times New Roman" w:cs="Arial"/>
        </w:rPr>
        <w:t>.</w:t>
      </w:r>
    </w:p>
    <w:p w14:paraId="4AE4ABAD" w14:textId="3DEB5D36" w:rsidR="00194576" w:rsidRDefault="00194576" w:rsidP="005D41BE">
      <w:pPr>
        <w:spacing w:after="120" w:line="276" w:lineRule="auto"/>
        <w:ind w:right="34"/>
        <w:rPr>
          <w:rFonts w:eastAsia="Times New Roman" w:cs="Arial"/>
        </w:rPr>
      </w:pPr>
      <w:r w:rsidRPr="00194576">
        <w:rPr>
          <w:rFonts w:eastAsia="Times New Roman" w:cs="Arial"/>
        </w:rPr>
        <w:t>Collectively, these studies indicate broad public recognition of the health risks associated with high sodium intake and support for reducing consumption</w:t>
      </w:r>
      <w:r>
        <w:rPr>
          <w:rFonts w:eastAsia="Times New Roman" w:cs="Arial"/>
        </w:rPr>
        <w:t xml:space="preserve">. However, </w:t>
      </w:r>
      <w:r w:rsidRPr="00194576">
        <w:rPr>
          <w:rFonts w:eastAsia="Times New Roman" w:cs="Arial"/>
        </w:rPr>
        <w:t xml:space="preserve">gaps in </w:t>
      </w:r>
      <w:r>
        <w:rPr>
          <w:rFonts w:eastAsia="Times New Roman" w:cs="Arial"/>
        </w:rPr>
        <w:t xml:space="preserve">consumers’ knowledge about </w:t>
      </w:r>
      <w:r w:rsidRPr="00194576">
        <w:rPr>
          <w:rFonts w:eastAsia="Times New Roman" w:cs="Arial"/>
        </w:rPr>
        <w:t>recommend</w:t>
      </w:r>
      <w:r w:rsidR="001420A9">
        <w:rPr>
          <w:rFonts w:eastAsia="Times New Roman" w:cs="Arial"/>
        </w:rPr>
        <w:t xml:space="preserve">ations </w:t>
      </w:r>
      <w:r w:rsidRPr="00194576">
        <w:rPr>
          <w:rFonts w:eastAsia="Times New Roman" w:cs="Arial"/>
        </w:rPr>
        <w:t>and personal sodium intake</w:t>
      </w:r>
      <w:r>
        <w:rPr>
          <w:rFonts w:eastAsia="Times New Roman" w:cs="Arial"/>
        </w:rPr>
        <w:t>s persist</w:t>
      </w:r>
      <w:r w:rsidRPr="00194576">
        <w:rPr>
          <w:rFonts w:eastAsia="Times New Roman" w:cs="Arial"/>
        </w:rPr>
        <w:t xml:space="preserve">. </w:t>
      </w:r>
      <w:r w:rsidR="00A1484D">
        <w:rPr>
          <w:rFonts w:eastAsia="Times New Roman" w:cs="Arial"/>
        </w:rPr>
        <w:t>T</w:t>
      </w:r>
      <w:r w:rsidRPr="00194576">
        <w:rPr>
          <w:rFonts w:eastAsia="Times New Roman" w:cs="Arial"/>
        </w:rPr>
        <w:t xml:space="preserve">hese findings underscore the importance of </w:t>
      </w:r>
      <w:r w:rsidR="00A1484D">
        <w:rPr>
          <w:rFonts w:eastAsia="Times New Roman" w:cs="Arial"/>
        </w:rPr>
        <w:t>establishing</w:t>
      </w:r>
      <w:r w:rsidR="000B7D32">
        <w:rPr>
          <w:rFonts w:eastAsia="Times New Roman" w:cs="Arial"/>
        </w:rPr>
        <w:t xml:space="preserve"> evidence-based</w:t>
      </w:r>
      <w:r w:rsidR="00A1484D">
        <w:rPr>
          <w:rFonts w:eastAsia="Times New Roman" w:cs="Arial"/>
        </w:rPr>
        <w:t xml:space="preserve"> </w:t>
      </w:r>
      <w:r w:rsidRPr="00194576">
        <w:rPr>
          <w:rFonts w:eastAsia="Times New Roman" w:cs="Arial"/>
        </w:rPr>
        <w:t xml:space="preserve">sodium </w:t>
      </w:r>
      <w:r w:rsidR="00A1484D">
        <w:rPr>
          <w:rFonts w:eastAsia="Times New Roman" w:cs="Arial"/>
        </w:rPr>
        <w:t xml:space="preserve">NRVs </w:t>
      </w:r>
      <w:r w:rsidRPr="00194576">
        <w:rPr>
          <w:rFonts w:eastAsia="Times New Roman" w:cs="Arial"/>
        </w:rPr>
        <w:t xml:space="preserve">that </w:t>
      </w:r>
      <w:r w:rsidR="00A1484D">
        <w:rPr>
          <w:rFonts w:eastAsia="Times New Roman" w:cs="Arial"/>
        </w:rPr>
        <w:t xml:space="preserve">inform </w:t>
      </w:r>
      <w:r w:rsidR="00FA2ACB">
        <w:rPr>
          <w:rFonts w:eastAsia="Times New Roman" w:cs="Arial"/>
        </w:rPr>
        <w:t xml:space="preserve">and support </w:t>
      </w:r>
      <w:r w:rsidRPr="00194576">
        <w:rPr>
          <w:rFonts w:eastAsia="Times New Roman" w:cs="Arial"/>
        </w:rPr>
        <w:t xml:space="preserve">clear, actionable public health messages for </w:t>
      </w:r>
      <w:r w:rsidR="000B7D32">
        <w:rPr>
          <w:rFonts w:eastAsia="Times New Roman" w:cs="Arial"/>
        </w:rPr>
        <w:t xml:space="preserve">the </w:t>
      </w:r>
      <w:r w:rsidRPr="00194576">
        <w:rPr>
          <w:rFonts w:eastAsia="Times New Roman" w:cs="Arial"/>
        </w:rPr>
        <w:t>Australian and New Zealand populations.</w:t>
      </w:r>
    </w:p>
    <w:p w14:paraId="1A9E4C51" w14:textId="6DC5498F" w:rsidR="00923AE9" w:rsidRPr="00923AE9" w:rsidRDefault="00E13774" w:rsidP="005F45FC">
      <w:pPr>
        <w:pStyle w:val="Heading1"/>
        <w:rPr>
          <w:b/>
          <w:bCs/>
        </w:rPr>
      </w:pPr>
      <w:bookmarkStart w:id="49" w:name="_Toc234960840"/>
      <w:r w:rsidRPr="2145493A">
        <w:rPr>
          <w:b/>
          <w:bCs/>
        </w:rPr>
        <w:t>Summary of Evidence</w:t>
      </w:r>
      <w:bookmarkEnd w:id="49"/>
    </w:p>
    <w:p w14:paraId="07A77E40" w14:textId="77777777" w:rsidR="007B2CE5" w:rsidRDefault="007B2CE5" w:rsidP="007B2CE5">
      <w:pPr>
        <w:spacing w:line="276" w:lineRule="auto"/>
      </w:pPr>
      <w:r w:rsidRPr="007B2CE5">
        <w:t>This section summarises the evidence underpinning the EFSA (2019) and US NASEM (2019) recommendations that are being adapted to the Australian and New Zealand context, and presents additional evidence published since these reviews that may influence the estimated effects or the overall body of evidence used to derive reference values.</w:t>
      </w:r>
    </w:p>
    <w:p w14:paraId="4D0C8862" w14:textId="2CF8A6AE" w:rsidR="002556E1" w:rsidRPr="002556E1" w:rsidRDefault="002556E1" w:rsidP="002556E1">
      <w:pPr>
        <w:spacing w:line="276" w:lineRule="auto"/>
      </w:pPr>
      <w:r w:rsidRPr="002556E1">
        <w:t xml:space="preserve">It begins with a brief overview of the scope and methods of the EFSA and NASEM reviews. The evidence identified in these reviews is then considered alongside findings from supplementary systematic reviews addressing key research questions relating to sodium intake and health outcomes. </w:t>
      </w:r>
      <w:r>
        <w:t xml:space="preserve">These reviews were selected </w:t>
      </w:r>
      <w:proofErr w:type="gramStart"/>
      <w:r>
        <w:t>on the basis of</w:t>
      </w:r>
      <w:proofErr w:type="gramEnd"/>
      <w:r>
        <w:t xml:space="preserve"> a priori inclusion criteria specified by </w:t>
      </w:r>
      <w:r>
        <w:lastRenderedPageBreak/>
        <w:t xml:space="preserve">the Sodium Expert Working Group (see </w:t>
      </w:r>
      <w:r w:rsidR="00521AAC" w:rsidRPr="00CF5509">
        <w:rPr>
          <w:b/>
          <w:bCs/>
        </w:rPr>
        <w:fldChar w:fldCharType="begin"/>
      </w:r>
      <w:r w:rsidR="00521AAC" w:rsidRPr="00CF5509">
        <w:rPr>
          <w:b/>
          <w:bCs/>
        </w:rPr>
        <w:instrText xml:space="preserve"> REF _Ref234951652 \h </w:instrText>
      </w:r>
      <w:r w:rsidR="00CF5509" w:rsidRPr="00CF5509">
        <w:rPr>
          <w:b/>
          <w:bCs/>
        </w:rPr>
        <w:instrText xml:space="preserve"> \* MERGEFORMAT </w:instrText>
      </w:r>
      <w:r w:rsidR="00521AAC" w:rsidRPr="00CF5509">
        <w:rPr>
          <w:b/>
          <w:bCs/>
        </w:rPr>
      </w:r>
      <w:r w:rsidR="00521AAC" w:rsidRPr="00CF5509">
        <w:rPr>
          <w:b/>
          <w:bCs/>
        </w:rPr>
        <w:fldChar w:fldCharType="separate"/>
      </w:r>
      <w:r w:rsidR="00521AAC" w:rsidRPr="00CF5509">
        <w:rPr>
          <w:b/>
          <w:bCs/>
        </w:rPr>
        <w:t>Appendix B – Methods for supplementary evidence searches</w:t>
      </w:r>
      <w:r w:rsidR="00521AAC" w:rsidRPr="00CF5509">
        <w:rPr>
          <w:b/>
          <w:bCs/>
        </w:rPr>
        <w:fldChar w:fldCharType="end"/>
      </w:r>
      <w:r w:rsidR="00CF5509">
        <w:t xml:space="preserve">). </w:t>
      </w:r>
      <w:r w:rsidRPr="002556E1">
        <w:t>Results are presented by population group (adults, children and adolescents, pregnancy and lactation).</w:t>
      </w:r>
    </w:p>
    <w:p w14:paraId="218E11E8" w14:textId="2CD46569" w:rsidR="00C11956" w:rsidRPr="00C44EA6" w:rsidRDefault="00C11956" w:rsidP="00C44EA6">
      <w:pPr>
        <w:pStyle w:val="Heading2"/>
        <w:tabs>
          <w:tab w:val="left" w:pos="5546"/>
        </w:tabs>
        <w:rPr>
          <w:b/>
          <w:bCs/>
        </w:rPr>
      </w:pPr>
      <w:bookmarkStart w:id="50" w:name="_Toc234960841"/>
      <w:r w:rsidRPr="00C44EA6">
        <w:rPr>
          <w:b/>
          <w:bCs/>
        </w:rPr>
        <w:t>Scope of reviews</w:t>
      </w:r>
      <w:r w:rsidR="00A355E2" w:rsidRPr="00C44EA6">
        <w:rPr>
          <w:b/>
          <w:bCs/>
        </w:rPr>
        <w:t xml:space="preserve"> underpinning international recommendations</w:t>
      </w:r>
      <w:bookmarkEnd w:id="50"/>
    </w:p>
    <w:p w14:paraId="6251C832" w14:textId="77777777" w:rsidR="00C11956" w:rsidRPr="007E42EA" w:rsidRDefault="00C11956" w:rsidP="00E532F6">
      <w:pPr>
        <w:pStyle w:val="Heading3"/>
        <w:spacing w:line="240" w:lineRule="auto"/>
      </w:pPr>
      <w:bookmarkStart w:id="51" w:name="_Toc234960842"/>
      <w:r>
        <w:t>EFSA (2019)</w:t>
      </w:r>
      <w:bookmarkEnd w:id="51"/>
    </w:p>
    <w:p w14:paraId="767A1AF9" w14:textId="77777777" w:rsidR="00C11956" w:rsidRDefault="00C11956" w:rsidP="005D41BE">
      <w:pPr>
        <w:spacing w:line="276" w:lineRule="auto"/>
      </w:pPr>
      <w:r w:rsidRPr="007E42EA">
        <w:t>EFSA (2019) reviewed evidence for the relationship between sodium intake and blood pressure</w:t>
      </w:r>
      <w:r>
        <w:t xml:space="preserve"> (SBP and DBP), hypertension, cardiovascular disease (any, stroke, coronary heart disease) and bone health among the general adult (≥18 years) and child (6 months to &lt;18 years) population. Eligible studies included </w:t>
      </w:r>
      <w:r w:rsidRPr="007E42EA">
        <w:t>randomised controlled trials (RCTs) including parallel or crossover trials (wash-out period of any duration) and prospective cohort, nested case-control or case-cohort studies</w:t>
      </w:r>
      <w:r>
        <w:t xml:space="preserve"> with a minimum duration of 4 weeks (blood pressure), 6 months (CVD outcomes) or 1 year (bone health). Sodium intake was </w:t>
      </w:r>
      <w:r w:rsidRPr="007E42EA">
        <w:t>assessed based on urinary sodium excretion from 24-hour single or multiple 24-urine measures</w:t>
      </w:r>
      <w:r>
        <w:t>; other measures of sodium intake were not eligible</w:t>
      </w:r>
      <w:r w:rsidRPr="007E42EA">
        <w:t>.</w:t>
      </w:r>
      <w:r>
        <w:t xml:space="preserve"> For blood pressure and other CVD outcomes, studies with concomitant interventions with the potential to affect the outcome of interest were excluded.</w:t>
      </w:r>
    </w:p>
    <w:p w14:paraId="4569C97A" w14:textId="77777777" w:rsidR="00C11956" w:rsidRDefault="00C11956" w:rsidP="00E532F6">
      <w:pPr>
        <w:pStyle w:val="Heading3"/>
        <w:spacing w:line="240" w:lineRule="auto"/>
      </w:pPr>
      <w:bookmarkStart w:id="52" w:name="_Toc234960843"/>
      <w:r>
        <w:t>NASEM (2019)</w:t>
      </w:r>
      <w:bookmarkEnd w:id="52"/>
    </w:p>
    <w:p w14:paraId="06633374" w14:textId="77777777" w:rsidR="00C11956" w:rsidRDefault="00C11956" w:rsidP="005D41BE">
      <w:pPr>
        <w:spacing w:line="276" w:lineRule="auto"/>
      </w:pPr>
      <w:r>
        <w:t xml:space="preserve">NASEM commissioned the </w:t>
      </w:r>
      <w:r w:rsidRPr="00F51D50">
        <w:t>Agency for</w:t>
      </w:r>
      <w:r>
        <w:t xml:space="preserve"> </w:t>
      </w:r>
      <w:r w:rsidRPr="00F51D50">
        <w:t>Healthcare Research and Quality (</w:t>
      </w:r>
      <w:r>
        <w:t>AHRQ) to review the evidence on the effect of sodium reduction (randomised controlled trials) on blood pressure, or the association between sodium intake and health outcomes (non-randomised or observational studies) among adults and children within the general population (</w:t>
      </w:r>
      <w:proofErr w:type="spellStart"/>
      <w:r>
        <w:t>ie</w:t>
      </w:r>
      <w:proofErr w:type="spellEnd"/>
      <w:r>
        <w:t>. not sampled on the basis of pre-existing disease)</w:t>
      </w:r>
      <w:r>
        <w:fldChar w:fldCharType="begin"/>
      </w:r>
      <w:r>
        <w:instrText xml:space="preserve"> ADDIN EN.CITE &lt;EndNote&gt;&lt;Cite&gt;&lt;Author&gt;Newberry&lt;/Author&gt;&lt;Year&gt;2018&lt;/Year&gt;&lt;RecNum&gt;621&lt;/RecNum&gt;&lt;DisplayText&gt;(Newberry et al., 2018)&lt;/DisplayText&gt;&lt;record&gt;&lt;rec-number&gt;621&lt;/rec-number&gt;&lt;foreign-keys&gt;&lt;key app="EN" db-id="wwsdv2wwp29fenerv0kx5tw9zxtx2fdrprx2" timestamp="1762743452"&gt;621&lt;/key&gt;&lt;/foreign-keys&gt;&lt;ref-type name="Book Section"&gt;5&lt;/ref-type&gt;&lt;contributors&gt;&lt;authors&gt;&lt;author&gt;Newberry, S. J.&lt;/author&gt;&lt;author&gt;Chung, M.&lt;/author&gt;&lt;author&gt;Anderson, C. A. M.&lt;/author&gt;&lt;author&gt;Chen, C.&lt;/author&gt;&lt;author&gt;Fu, Z.&lt;/author&gt;&lt;author&gt;Tang, A.&lt;/author&gt;&lt;author&gt;Zhao, N.&lt;/author&gt;&lt;author&gt;Booth, M.&lt;/author&gt;&lt;author&gt;Marks, J.&lt;/author&gt;&lt;author&gt;Hollands, S.&lt;/author&gt;&lt;author&gt;Motala, A.&lt;/author&gt;&lt;author&gt;Larkin, J.&lt;/author&gt;&lt;author&gt;Shanman, R.&lt;/author&gt;&lt;author&gt;Hempel, S.&lt;/author&gt;&lt;/authors&gt;&lt;/contributors&gt;&lt;auth-address&gt;RAND Southern California Evidence-based Practice Center&lt;/auth-address&gt;&lt;titles&gt;&lt;title&gt;Sodium and Potassium Intake: Effects on Chronic Disease Outcomes and Risks&lt;/title&gt;&lt;tertiary-title&gt;AHRQ Comparative Effectiveness Reviews&lt;/tertiary-title&gt;&lt;/titles&gt;&lt;dates&gt;&lt;year&gt;2018&lt;/year&gt;&lt;/dates&gt;&lt;pub-location&gt;Rockville (MD)&lt;/pub-location&gt;&lt;publisher&gt;Agency for Healthcare Research and Quality (US)&lt;/publisher&gt;&lt;accession-num&gt;30125063&lt;/accession-num&gt;&lt;urls&gt;&lt;/urls&gt;&lt;language&gt;eng&lt;/language&gt;&lt;/record&gt;&lt;/Cite&gt;&lt;/EndNote&gt;</w:instrText>
      </w:r>
      <w:r>
        <w:fldChar w:fldCharType="separate"/>
      </w:r>
      <w:r>
        <w:rPr>
          <w:noProof/>
        </w:rPr>
        <w:t>(Newberry et al., 2018)</w:t>
      </w:r>
      <w:r>
        <w:fldChar w:fldCharType="end"/>
      </w:r>
      <w:r>
        <w:t>. A broad range of health outcomes were considered including mortality (all-cause, CVD related and CKD related), various cardiovascular outcomes (blood pressure, hypertension, cardiovascular disease risk) and chronic kidney disease measures. For RCTs, both parallel and cross-over trials were included; crossover trials with a washout phase less than 2 weeks, or those that did not specify a washout period or assess carryover effects were excluded. A minimum study duration of 4 weeks was specified, with increased duration required for select study designs and outcomes, including: 3 months for RCTs measuring CVD outcomes and 12 months for observational studies on CVD; and 2 years for studies measuring kidney disease outcomes. Accepted sodium intake measures included validated dietary assessment measures or biomarkers including at least one 24-hour urinary analysis.</w:t>
      </w:r>
    </w:p>
    <w:p w14:paraId="56324B2F" w14:textId="77777777" w:rsidR="0082651E" w:rsidRDefault="0082651E" w:rsidP="0082651E">
      <w:pPr>
        <w:pStyle w:val="Heading4"/>
      </w:pPr>
      <w:r>
        <w:t>Summary of Findings</w:t>
      </w:r>
    </w:p>
    <w:p w14:paraId="627B3512" w14:textId="789E0C14" w:rsidR="0082651E" w:rsidRDefault="0082651E" w:rsidP="005D41BE">
      <w:pPr>
        <w:spacing w:line="276" w:lineRule="auto"/>
      </w:pPr>
      <w:r>
        <w:t xml:space="preserve">The AHRQ systematic review </w:t>
      </w:r>
      <w:r>
        <w:fldChar w:fldCharType="begin"/>
      </w:r>
      <w:r>
        <w:instrText xml:space="preserve"> ADDIN EN.CITE &lt;EndNote&gt;&lt;Cite&gt;&lt;Author&gt;Newberry&lt;/Author&gt;&lt;Year&gt;2018&lt;/Year&gt;&lt;RecNum&gt;621&lt;/RecNum&gt;&lt;DisplayText&gt;(Newberry et al., 2018)&lt;/DisplayText&gt;&lt;record&gt;&lt;rec-number&gt;621&lt;/rec-number&gt;&lt;foreign-keys&gt;&lt;key app="EN" db-id="wwsdv2wwp29fenerv0kx5tw9zxtx2fdrprx2" timestamp="1762743452"&gt;621&lt;/key&gt;&lt;/foreign-keys&gt;&lt;ref-type name="Book Section"&gt;5&lt;/ref-type&gt;&lt;contributors&gt;&lt;authors&gt;&lt;author&gt;Newberry, S. J.&lt;/author&gt;&lt;author&gt;Chung, M.&lt;/author&gt;&lt;author&gt;Anderson, C. A. M.&lt;/author&gt;&lt;author&gt;Chen, C.&lt;/author&gt;&lt;author&gt;Fu, Z.&lt;/author&gt;&lt;author&gt;Tang, A.&lt;/author&gt;&lt;author&gt;Zhao, N.&lt;/author&gt;&lt;author&gt;Booth, M.&lt;/author&gt;&lt;author&gt;Marks, J.&lt;/author&gt;&lt;author&gt;Hollands, S.&lt;/author&gt;&lt;author&gt;Motala, A.&lt;/author&gt;&lt;author&gt;Larkin, J.&lt;/author&gt;&lt;author&gt;Shanman, R.&lt;/author&gt;&lt;author&gt;Hempel, S.&lt;/author&gt;&lt;/authors&gt;&lt;/contributors&gt;&lt;auth-address&gt;RAND Southern California Evidence-based Practice Center&lt;/auth-address&gt;&lt;titles&gt;&lt;title&gt;Sodium and Potassium Intake: Effects on Chronic Disease Outcomes and Risks&lt;/title&gt;&lt;tertiary-title&gt;AHRQ Comparative Effectiveness Reviews&lt;/tertiary-title&gt;&lt;/titles&gt;&lt;dates&gt;&lt;year&gt;2018&lt;/year&gt;&lt;/dates&gt;&lt;pub-location&gt;Rockville (MD)&lt;/pub-location&gt;&lt;publisher&gt;Agency for Healthcare Research and Quality (US)&lt;/publisher&gt;&lt;accession-num&gt;30125063&lt;/accession-num&gt;&lt;urls&gt;&lt;/urls&gt;&lt;language&gt;eng&lt;/language&gt;&lt;/record&gt;&lt;/Cite&gt;&lt;/EndNote&gt;</w:instrText>
      </w:r>
      <w:r>
        <w:fldChar w:fldCharType="separate"/>
      </w:r>
      <w:r>
        <w:rPr>
          <w:noProof/>
        </w:rPr>
        <w:t>(Newberry et al., 2018)</w:t>
      </w:r>
      <w:r>
        <w:fldChar w:fldCharType="end"/>
      </w:r>
      <w:r>
        <w:t xml:space="preserve"> conducted to inform the 2019 NASEM dietary reference values for sodium evaluated the strength of evidence for key outcomes and comparisons. AHRQ Summary of Findings tables for key outcomes have been extracted from Newberry et al (2018) and presented in the relevant section, where suitable.</w:t>
      </w:r>
    </w:p>
    <w:p w14:paraId="2BAFE788" w14:textId="77777777" w:rsidR="0082651E" w:rsidRDefault="0082651E" w:rsidP="0082651E">
      <w:pPr>
        <w:pStyle w:val="Heading5"/>
      </w:pPr>
      <w:r>
        <w:t>AHRQ Strength of evidence assessment</w:t>
      </w:r>
    </w:p>
    <w:p w14:paraId="165206C7" w14:textId="2060980A" w:rsidR="0082651E" w:rsidRDefault="0082651E" w:rsidP="005D41BE">
      <w:pPr>
        <w:spacing w:line="276" w:lineRule="auto"/>
      </w:pPr>
      <w:r>
        <w:t xml:space="preserve">The AHRQ’s strength of evidence assessment </w:t>
      </w:r>
      <w:r w:rsidR="00747CCA">
        <w:t>evaluates</w:t>
      </w:r>
      <w:r>
        <w:t xml:space="preserve"> the body of evidence for each outcome against </w:t>
      </w:r>
      <w:r w:rsidR="006C7A17">
        <w:t>5</w:t>
      </w:r>
      <w:r>
        <w:t xml:space="preserve"> </w:t>
      </w:r>
      <w:r w:rsidR="006C7A17">
        <w:t>criteria</w:t>
      </w:r>
      <w:r>
        <w:t xml:space="preserve">: study limitations (risk of bias of included studies); directness; consistency; precision; and reporting bias. </w:t>
      </w:r>
      <w:r w:rsidR="00747CCA">
        <w:t>E</w:t>
      </w:r>
      <w:r>
        <w:t xml:space="preserve">vidence from RCTs starts at an assumed ‘high’ strength of evidence, with the strength of evidence downgraded by 1- or 2- levels depending on concerns </w:t>
      </w:r>
      <w:r>
        <w:lastRenderedPageBreak/>
        <w:t>identified across the evaluated domains. The various strengths of evidence are defined as follows:</w:t>
      </w:r>
    </w:p>
    <w:p w14:paraId="63DAC6E0" w14:textId="77777777" w:rsidR="0082651E" w:rsidRDefault="0082651E" w:rsidP="005411B7">
      <w:pPr>
        <w:pStyle w:val="ListParagraph"/>
        <w:numPr>
          <w:ilvl w:val="0"/>
          <w:numId w:val="7"/>
        </w:numPr>
        <w:spacing w:line="276" w:lineRule="auto"/>
      </w:pPr>
      <w:r w:rsidRPr="005965EF">
        <w:rPr>
          <w:b/>
          <w:bCs/>
        </w:rPr>
        <w:t>High:</w:t>
      </w:r>
      <w:r>
        <w:t xml:space="preserve"> </w:t>
      </w:r>
      <w:r w:rsidRPr="005965EF">
        <w:t>We are very confident that the estimate of effect lies close to the true effect for this outcome. The body of evidence has few or no deficiencies. We believe that the findings are stable, i.e., another study would not</w:t>
      </w:r>
      <w:r>
        <w:t xml:space="preserve"> </w:t>
      </w:r>
      <w:r w:rsidRPr="005965EF">
        <w:t>change the conclusions</w:t>
      </w:r>
    </w:p>
    <w:p w14:paraId="5B0C5D42" w14:textId="77777777" w:rsidR="0082651E" w:rsidRDefault="0082651E" w:rsidP="005411B7">
      <w:pPr>
        <w:pStyle w:val="ListParagraph"/>
        <w:numPr>
          <w:ilvl w:val="0"/>
          <w:numId w:val="7"/>
        </w:numPr>
        <w:spacing w:line="276" w:lineRule="auto"/>
      </w:pPr>
      <w:r w:rsidRPr="00B975DB">
        <w:rPr>
          <w:b/>
          <w:bCs/>
        </w:rPr>
        <w:t>Moderate:</w:t>
      </w:r>
      <w:r>
        <w:t xml:space="preserve"> We are moderately confident that the estimate of effect lies close to the true effect for this outcome. The body of evidence has some deficiencies. We believe that the findings are likely to be stable, but some doubt remains</w:t>
      </w:r>
    </w:p>
    <w:p w14:paraId="04629DAC" w14:textId="77777777" w:rsidR="0082651E" w:rsidRPr="00011116" w:rsidRDefault="0082651E" w:rsidP="005411B7">
      <w:pPr>
        <w:pStyle w:val="ListParagraph"/>
        <w:numPr>
          <w:ilvl w:val="0"/>
          <w:numId w:val="7"/>
        </w:numPr>
        <w:spacing w:line="276" w:lineRule="auto"/>
        <w:rPr>
          <w:b/>
          <w:bCs/>
        </w:rPr>
      </w:pPr>
      <w:r w:rsidRPr="00B975DB">
        <w:rPr>
          <w:b/>
          <w:bCs/>
        </w:rPr>
        <w:t>Low:</w:t>
      </w:r>
      <w:r>
        <w:rPr>
          <w:b/>
          <w:bCs/>
        </w:rPr>
        <w:t xml:space="preserve"> </w:t>
      </w:r>
      <w:r w:rsidRPr="005965EF">
        <w:t>We have limited confidence that the estimate of effect lies close to the true effect for this outcome. The body of evidence has major or numerous deficiencies (or both). We believe that additional evidence is needed before concluding either that the findings are stable or</w:t>
      </w:r>
      <w:r>
        <w:t xml:space="preserve"> </w:t>
      </w:r>
      <w:r w:rsidRPr="005965EF">
        <w:t>that the estimate of effect is close to the true effect</w:t>
      </w:r>
    </w:p>
    <w:p w14:paraId="2E7A369E" w14:textId="34B56A70" w:rsidR="00C11956" w:rsidRDefault="0082651E" w:rsidP="005411B7">
      <w:pPr>
        <w:pStyle w:val="ListParagraph"/>
        <w:numPr>
          <w:ilvl w:val="0"/>
          <w:numId w:val="7"/>
        </w:numPr>
        <w:spacing w:line="276" w:lineRule="auto"/>
      </w:pPr>
      <w:r w:rsidRPr="00B975DB">
        <w:rPr>
          <w:b/>
          <w:bCs/>
        </w:rPr>
        <w:t xml:space="preserve">Insufficient: </w:t>
      </w:r>
      <w:r w:rsidRPr="00B975DB">
        <w:t>We have no evidence, we are unable to estimate an effect, or we have no confidence in the estimate of effect for this outcome. No evidence is available or the body of evidence has unacceptable deficiencies, precluding reaching a conclusion</w:t>
      </w:r>
      <w:r w:rsidR="00747CCA">
        <w:t>.</w:t>
      </w:r>
    </w:p>
    <w:p w14:paraId="3F7CD4FE" w14:textId="39565597" w:rsidR="00747CCA" w:rsidRDefault="00747CCA" w:rsidP="00747CCA">
      <w:pPr>
        <w:spacing w:line="276" w:lineRule="auto"/>
      </w:pPr>
      <w:r>
        <w:t xml:space="preserve">This approach aligns broadly with the GRADE Working Group approach </w:t>
      </w:r>
      <w:r w:rsidR="000E4DFD">
        <w:t xml:space="preserve">to assessing the level of certainty of evidence </w:t>
      </w:r>
      <w:r w:rsidR="00FA3532">
        <w:t xml:space="preserve">outlined </w:t>
      </w:r>
      <w:r>
        <w:t>in the NHMRC Methodological Framework</w:t>
      </w:r>
      <w:r w:rsidR="00FA3532">
        <w:t xml:space="preserve"> </w:t>
      </w:r>
      <w:r w:rsidR="00FA3532">
        <w:fldChar w:fldCharType="begin"/>
      </w:r>
      <w:r w:rsidR="00FA3532">
        <w:instrText xml:space="preserve"> ADDIN EN.CITE &lt;EndNote&gt;&lt;Cite&gt;&lt;Author&gt;National Health and Medical Research Council&lt;/Author&gt;&lt;Year&gt;2026&lt;/Year&gt;&lt;RecNum&gt;4727&lt;/RecNum&gt;&lt;DisplayText&gt;(National Health and Medical Research Council, 2026)&lt;/DisplayText&gt;&lt;record&gt;&lt;rec-number&gt;4727&lt;/rec-number&gt;&lt;foreign-keys&gt;&lt;key app="EN" db-id="wwsdv2wwp29fenerv0kx5tw9zxtx2fdrprx2" timestamp="1780273346"&gt;4727&lt;/key&gt;&lt;/foreign-keys&gt;&lt;ref-type name="Government Document"&gt;46&lt;/ref-type&gt;&lt;contributors&gt;&lt;authors&gt;&lt;author&gt;National Health and Medical Research Council, NHMRC&lt;/author&gt;&lt;/authors&gt;&lt;/contributors&gt;&lt;titles&gt;&lt;title&gt;Methodological Framework for the Review of Nutrient Reference Values&lt;/title&gt;&lt;/titles&gt;&lt;edition&gt;V3.6 May 2026&lt;/edition&gt;&lt;dates&gt;&lt;year&gt;2026&lt;/year&gt;&lt;/dates&gt;&lt;pub-location&gt;Canberra, ACT&lt;/pub-location&gt;&lt;publisher&gt;NHMRC&lt;/publisher&gt;&lt;urls&gt;&lt;related-urls&gt;&lt;url&gt;URL TBC ONCE PUBLISHED&lt;/url&gt;&lt;/related-urls&gt;&lt;/urls&gt;&lt;/record&gt;&lt;/Cite&gt;&lt;/EndNote&gt;</w:instrText>
      </w:r>
      <w:r w:rsidR="00FA3532">
        <w:fldChar w:fldCharType="separate"/>
      </w:r>
      <w:r w:rsidR="00FA3532">
        <w:rPr>
          <w:noProof/>
        </w:rPr>
        <w:t>(National Health and Medical Research Council, 2026)</w:t>
      </w:r>
      <w:r w:rsidR="00FA3532">
        <w:fldChar w:fldCharType="end"/>
      </w:r>
      <w:r>
        <w:t>.</w:t>
      </w:r>
    </w:p>
    <w:p w14:paraId="52F23455" w14:textId="33BDEACA" w:rsidR="008571C5" w:rsidRPr="00C44EA6" w:rsidRDefault="005435E4" w:rsidP="00C44EA6">
      <w:pPr>
        <w:pStyle w:val="Heading2"/>
        <w:tabs>
          <w:tab w:val="left" w:pos="5546"/>
        </w:tabs>
        <w:rPr>
          <w:b/>
          <w:bCs/>
        </w:rPr>
      </w:pPr>
      <w:bookmarkStart w:id="53" w:name="_Toc234960844"/>
      <w:r w:rsidRPr="00C44EA6">
        <w:rPr>
          <w:b/>
          <w:bCs/>
        </w:rPr>
        <w:t>Physiological requirements</w:t>
      </w:r>
      <w:r w:rsidR="00492F7D" w:rsidRPr="00C44EA6">
        <w:rPr>
          <w:b/>
          <w:bCs/>
        </w:rPr>
        <w:t xml:space="preserve"> for adequacy</w:t>
      </w:r>
      <w:bookmarkEnd w:id="53"/>
    </w:p>
    <w:p w14:paraId="51C4AE7A" w14:textId="77777777" w:rsidR="00DF5270" w:rsidRDefault="00DF5270" w:rsidP="00E532F6">
      <w:pPr>
        <w:pStyle w:val="Heading3"/>
        <w:spacing w:line="240" w:lineRule="auto"/>
      </w:pPr>
      <w:bookmarkStart w:id="54" w:name="_Toc234960845"/>
      <w:bookmarkStart w:id="55" w:name="_Toc220944402"/>
      <w:r>
        <w:t>Balance studies</w:t>
      </w:r>
      <w:bookmarkEnd w:id="54"/>
    </w:p>
    <w:p w14:paraId="60DCC867" w14:textId="77777777" w:rsidR="00CB3CA3" w:rsidRDefault="00CB3CA3" w:rsidP="00DF5270">
      <w:pPr>
        <w:pStyle w:val="Heading4"/>
      </w:pPr>
      <w:r>
        <w:t>Evidence underpinning international recommendations</w:t>
      </w:r>
      <w:bookmarkEnd w:id="55"/>
    </w:p>
    <w:p w14:paraId="412DF8D2" w14:textId="41886A9B" w:rsidR="0092607C" w:rsidRDefault="000F6960" w:rsidP="005D41BE">
      <w:pPr>
        <w:spacing w:line="276" w:lineRule="auto"/>
      </w:pPr>
      <w:r>
        <w:t xml:space="preserve">Both </w:t>
      </w:r>
      <w:r w:rsidR="0092607C">
        <w:t xml:space="preserve">NASEM </w:t>
      </w:r>
      <w:r>
        <w:t xml:space="preserve">and EFSA have </w:t>
      </w:r>
      <w:r w:rsidR="0092607C">
        <w:t xml:space="preserve">noted the limitations of balance studies for reliably estimating </w:t>
      </w:r>
      <w:r w:rsidR="00DC021D">
        <w:t xml:space="preserve">sodium </w:t>
      </w:r>
      <w:r w:rsidR="0092607C">
        <w:t>requirements</w:t>
      </w:r>
      <w:r>
        <w:t xml:space="preserve">, although both considered evidence from </w:t>
      </w:r>
      <w:r w:rsidR="00D24F9F">
        <w:t>balance studies when deriving NRVs</w:t>
      </w:r>
      <w:r>
        <w:t xml:space="preserve"> </w:t>
      </w:r>
      <w:r>
        <w:fldChar w:fldCharType="begin"/>
      </w:r>
      <w:r w:rsidR="00185BC5">
        <w:instrText xml:space="preserve"> ADDIN EN.CITE &lt;EndNote&gt;&lt;Cite ExcludeAuth="1"&gt;&lt;Author&gt;National Academies of Sciences&lt;/Author&gt;&lt;Year&gt;2019&lt;/Year&gt;&lt;RecNum&gt;4618&lt;/RecNum&gt;&lt;Prefix&gt;NASEM`, &lt;/Prefix&gt;&lt;DisplayText&gt;(EFSA, 2019; NASEM, 2019)&lt;/DisplayText&gt;&lt;record&gt;&lt;rec-number&gt;4618&lt;/rec-number&gt;&lt;foreign-keys&gt;&lt;key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(US)&lt;/publisher&gt;&lt;urls&gt;&lt;related-urls&gt;&lt;url&gt;https://www.ncbi.nlm.nih.gov/sites/books/NBK545445/&lt;/url&gt;&lt;/related-urls&gt;&lt;/urls&gt;&lt;/record&gt;&lt;/Cite&gt;&lt;Cite ExcludeAuth="1"&gt;&lt;Author&gt;European Food Safety Authority&lt;/Author&gt;&lt;Year&gt;2019&lt;/Year&gt;&lt;RecNum&gt;1&lt;/RecNum&gt;&lt;Prefix&gt;EFSA`, &lt;/Prefix&gt;&lt;record&gt;&lt;rec-number&gt;1&lt;/rec-number&gt;&lt;foreign-keys&gt;&lt;key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fldChar w:fldCharType="separate"/>
      </w:r>
      <w:r>
        <w:rPr>
          <w:noProof/>
        </w:rPr>
        <w:t>(EFSA, 2019; NASEM, 2019)</w:t>
      </w:r>
      <w:r>
        <w:fldChar w:fldCharType="end"/>
      </w:r>
      <w:r w:rsidR="002746C8">
        <w:t xml:space="preserve">. </w:t>
      </w:r>
      <w:r w:rsidR="0056460E">
        <w:t xml:space="preserve">The NASEM Committee identified a subset of ‘better designed’ balance studies that – whilst insufficient for characterising sodium requirements on their own – may provide supportive evidence for the level of sodium intake required to support adequacy. These studies are summarised in Table 2 (adapted from NASEM 2019). </w:t>
      </w:r>
      <w:r w:rsidR="00FF5F97">
        <w:t>O</w:t>
      </w:r>
      <w:r w:rsidR="00EE0259">
        <w:t xml:space="preserve">nly </w:t>
      </w:r>
      <w:r w:rsidR="00E41047">
        <w:t xml:space="preserve">two studies </w:t>
      </w:r>
      <w:r w:rsidR="003C3722">
        <w:t xml:space="preserve">were identified </w:t>
      </w:r>
      <w:r w:rsidR="00E41047">
        <w:t xml:space="preserve">that </w:t>
      </w:r>
      <w:r w:rsidR="003C3722">
        <w:t xml:space="preserve">comprehensively </w:t>
      </w:r>
      <w:r w:rsidR="00E41047">
        <w:t>measured total sodium losses from urine faeces and sweat</w:t>
      </w:r>
      <w:r w:rsidR="00374BA1">
        <w:t xml:space="preserve"> </w:t>
      </w:r>
      <w:r w:rsidR="00374BA1">
        <w:fldChar w:fldCharType="begin">
          <w:fldData xml:space="preserve">PEVuZE5vdGU+PENpdGU+PEF1dGhvcj5BbGxzb3BwPC9BdXRob3I+PFllYXI+MTk5ODwvWWVhcj48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==
</w:fldData>
        </w:fldChar>
      </w:r>
      <w:r w:rsidR="00B059A4">
        <w:instrText xml:space="preserve"> ADDIN EN.CITE </w:instrText>
      </w:r>
      <w:r w:rsidR="00B059A4">
        <w:fldChar w:fldCharType="begin">
          <w:fldData xml:space="preserve">PEVuZE5vdGU+PENpdGU+PEF1dGhvcj5BbGxzb3BwPC9BdXRob3I+PFllYXI+MTk5ODwvWWVhcj48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==
</w:fldData>
        </w:fldChar>
      </w:r>
      <w:r w:rsidR="00B059A4">
        <w:instrText xml:space="preserve"> ADDIN EN.CITE.DATA </w:instrText>
      </w:r>
      <w:r w:rsidR="00B059A4">
        <w:fldChar w:fldCharType="end"/>
      </w:r>
      <w:r w:rsidR="00374BA1">
        <w:fldChar w:fldCharType="separate"/>
      </w:r>
      <w:r w:rsidR="00B059A4">
        <w:rPr>
          <w:noProof/>
        </w:rPr>
        <w:t>(Allsopp et al., 1998; Palacios et al., 2004)</w:t>
      </w:r>
      <w:r w:rsidR="00374BA1">
        <w:fldChar w:fldCharType="end"/>
      </w:r>
      <w:r w:rsidR="006525E2">
        <w:t xml:space="preserve">, only one of which </w:t>
      </w:r>
      <w:r w:rsidR="00E41047">
        <w:t>had robust intake measurement</w:t>
      </w:r>
      <w:r w:rsidR="006525E2">
        <w:t xml:space="preserve"> </w:t>
      </w:r>
      <w:r w:rsidR="006525E2">
        <w:fldChar w:fldCharType="begin"/>
      </w:r>
      <w:r w:rsidR="006525E2">
        <w:instrText xml:space="preserve"> ADDIN EN.CITE &lt;EndNote&gt;&lt;Cite&gt;&lt;Author&gt;Palacios&lt;/Author&gt;&lt;Year&gt;2004&lt;/Year&gt;&lt;RecNum&gt;4649&lt;/RecNum&gt;&lt;DisplayText&gt;(Palacios et al., 2004)&lt;/DisplayText&gt;&lt;record&gt;&lt;rec-number&gt;4649&lt;/rec-number&gt;&lt;foreign-keys&gt;&lt;key app="EN" db-id="wwsdv2wwp29fenerv0kx5tw9zxtx2fdrprx2" timestamp="1774936584"&gt;4649&lt;/key&gt;&lt;/foreign-keys&gt;&lt;ref-type name="Journal Article"&gt;17&lt;/ref-type&gt;&lt;contributors&gt;&lt;authors&gt;&lt;author&gt;Palacios, C.&lt;/author&gt;&lt;author&gt;Wigertz, K.&lt;/author&gt;&lt;author&gt;Martin, B. R.&lt;/author&gt;&lt;author&gt;Jackman, L.&lt;/author&gt;&lt;author&gt;Pratt, J. H.&lt;/author&gt;&lt;author&gt;Peacock, M.&lt;/author&gt;&lt;author&gt;McCabe, G.&lt;/author&gt;&lt;author&gt;Weaver, C. M.&lt;/author&gt;&lt;/authors&gt;&lt;/contributors&gt;&lt;auth-address&gt;Department of Foods and Nutrition, Purdue University, West Lafayette, Indiana 47907, USA.&lt;/auth-address&gt;&lt;titles&gt;&lt;title&gt;Sodium retention in black and white female adolescents in response to salt intake&lt;/title&gt;&lt;secondary-title&gt;J Clin Endocrinol Metab&lt;/secondary-title&gt;&lt;/titles&gt;&lt;periodical&gt;&lt;full-title&gt;J Clin Endocrinol Metab&lt;/full-title&gt;&lt;/periodical&gt;&lt;pages&gt;1858-63&lt;/pages&gt;&lt;volume&gt;89&lt;/volume&gt;&lt;number&gt;4&lt;/number&gt;&lt;keywords&gt;&lt;keyword&gt;Adolescent&lt;/keyword&gt;&lt;keyword&gt;*Black People&lt;/keyword&gt;&lt;keyword&gt;Diuresis/drug effects&lt;/keyword&gt;&lt;keyword&gt;Dose-Response Relationship, Drug&lt;/keyword&gt;&lt;keyword&gt;Energy Intake&lt;/keyword&gt;&lt;keyword&gt;Feces/chemistry&lt;/keyword&gt;&lt;keyword&gt;Female&lt;/keyword&gt;&lt;keyword&gt;Humans&lt;/keyword&gt;&lt;keyword&gt;Sodium/analysis/*pharmacokinetics&lt;/keyword&gt;&lt;keyword&gt;Sodium, Dietary/*administration &amp;amp; dosage&lt;/keyword&gt;&lt;keyword&gt;*White People&lt;/keyword&gt;&lt;/keywords&gt;&lt;dates&gt;&lt;year&gt;2004&lt;/year&gt;&lt;pub-dates&gt;&lt;date&gt;Apr&lt;/date&gt;&lt;/pub-dates&gt;&lt;/dates&gt;&lt;isbn&gt;0021-972X (Print)&amp;#xD;0021-972x&lt;/isbn&gt;&lt;accession-num&gt;15070956&lt;/accession-num&gt;&lt;urls&gt;&lt;/urls&gt;&lt;electronic-resource-num&gt;10.1210/jc.2003-031446&lt;/electronic-resource-num&gt;&lt;remote-database-provider&gt;NLM&lt;/remote-database-provider&gt;&lt;language&gt;eng&lt;/language&gt;&lt;/record&gt;&lt;/Cite&gt;&lt;/EndNote&gt;</w:instrText>
      </w:r>
      <w:r w:rsidR="006525E2">
        <w:fldChar w:fldCharType="separate"/>
      </w:r>
      <w:r w:rsidR="006525E2">
        <w:rPr>
          <w:noProof/>
        </w:rPr>
        <w:t>(Palacios et al., 2004)</w:t>
      </w:r>
      <w:r w:rsidR="006525E2">
        <w:fldChar w:fldCharType="end"/>
      </w:r>
      <w:r w:rsidR="00E41047">
        <w:t xml:space="preserve">. </w:t>
      </w:r>
      <w:r w:rsidR="00FF5F97">
        <w:t>Included balance studies typically ranged from 3 to 8 days duration, except for one study of 4-weeks duration</w:t>
      </w:r>
      <w:r w:rsidR="00597E82">
        <w:t xml:space="preserve"> </w:t>
      </w:r>
      <w:r w:rsidR="00597E82">
        <w:fldChar w:fldCharType="begin"/>
      </w:r>
      <w:r w:rsidR="00597E82">
        <w:instrText xml:space="preserve"> ADDIN EN.CITE &lt;EndNote&gt;&lt;Cite&gt;&lt;Author&gt;Kirkendall&lt;/Author&gt;&lt;Year&gt;1976&lt;/Year&gt;&lt;RecNum&gt;4650&lt;/RecNum&gt;&lt;DisplayText&gt;(Kirkendall et al., 1976)&lt;/DisplayText&gt;&lt;record&gt;&lt;rec-number&gt;4650&lt;/rec-number&gt;&lt;foreign-keys&gt;&lt;key app="EN" db-id="wwsdv2wwp29fenerv0kx5tw9zxtx2fdrprx2" timestamp="1774940913"&gt;4650&lt;/key&gt;&lt;/foreign-keys&gt;&lt;ref-type name="Journal Article"&gt;17&lt;/ref-type&gt;&lt;contributors&gt;&lt;authors&gt;&lt;author&gt;Kirkendall, A. M.&lt;/author&gt;&lt;author&gt;Connor, W. E.&lt;/author&gt;&lt;author&gt;Abboud, F.&lt;/author&gt;&lt;author&gt;Rastogi, S. P.&lt;/author&gt;&lt;author&gt;Anderson, T. A.&lt;/author&gt;&lt;author&gt;Fry, M.&lt;/author&gt;&lt;/authors&gt;&lt;/contributors&gt;&lt;titles&gt;&lt;title&gt;The effect of dietary sodium chloride on blood pressure, body fluids, electrolytes, renal function, and serum lipids of normotensive man&lt;/title&gt;&lt;secondary-title&gt;J Lab Clin Med&lt;/secondary-title&gt;&lt;/titles&gt;&lt;periodical&gt;&lt;full-title&gt;J Lab Clin Med&lt;/full-title&gt;&lt;/periodical&gt;&lt;pages&gt;411-34&lt;/pages&gt;&lt;volume&gt;87&lt;/volume&gt;&lt;number&gt;3&lt;/number&gt;&lt;keywords&gt;&lt;keyword&gt;Adult&lt;/keyword&gt;&lt;keyword&gt;Aldosterone/blood&lt;/keyword&gt;&lt;keyword&gt;Blood Pressure/*drug effects&lt;/keyword&gt;&lt;keyword&gt;Body Fluids/*drug effects&lt;/keyword&gt;&lt;keyword&gt;Body Weight&lt;/keyword&gt;&lt;keyword&gt;Cholesterol/blood&lt;/keyword&gt;&lt;keyword&gt;Diet, Sodium-Restricted&lt;/keyword&gt;&lt;keyword&gt;Glomerular Filtration Rate&lt;/keyword&gt;&lt;keyword&gt;Humans&lt;/keyword&gt;&lt;keyword&gt;Hypertension/etiology&lt;/keyword&gt;&lt;keyword&gt;Kidney/*physiology&lt;/keyword&gt;&lt;keyword&gt;Lipids/*blood&lt;/keyword&gt;&lt;keyword&gt;Male&lt;/keyword&gt;&lt;keyword&gt;Middle Aged&lt;/keyword&gt;&lt;keyword&gt;Potassium/metabolism&lt;/keyword&gt;&lt;keyword&gt;Renin/blood&lt;/keyword&gt;&lt;keyword&gt;Sodium Chloride/administration &amp;amp; dosage/*pharmacology&lt;/keyword&gt;&lt;keyword&gt;Triglycerides/blood&lt;/keyword&gt;&lt;keyword&gt;Water-Electrolyte Balance/*drug effects&lt;/keyword&gt;&lt;/keywords&gt;&lt;dates&gt;&lt;year&gt;1976&lt;/year&gt;&lt;pub-dates&gt;&lt;date&gt;Mar&lt;/date&gt;&lt;/pub-dates&gt;&lt;/dates&gt;&lt;isbn&gt;0022-2143 (Print)&amp;#xD;0022-2143&lt;/isbn&gt;&lt;accession-num&gt;1249473&lt;/accession-num&gt;&lt;urls&gt;&lt;/urls&gt;&lt;remote-database-provider&gt;NLM&lt;/remote-database-provider&gt;&lt;language&gt;eng&lt;/language&gt;&lt;/record&gt;&lt;/Cite&gt;&lt;/EndNote&gt;</w:instrText>
      </w:r>
      <w:r w:rsidR="00597E82">
        <w:fldChar w:fldCharType="separate"/>
      </w:r>
      <w:r w:rsidR="00597E82">
        <w:rPr>
          <w:noProof/>
        </w:rPr>
        <w:t>(Kirkendall et al., 1976)</w:t>
      </w:r>
      <w:r w:rsidR="00597E82">
        <w:fldChar w:fldCharType="end"/>
      </w:r>
      <w:r w:rsidR="00FF5F97">
        <w:t xml:space="preserve">. </w:t>
      </w:r>
      <w:r w:rsidR="00E41047">
        <w:t>The</w:t>
      </w:r>
      <w:r w:rsidR="00E54480">
        <w:t xml:space="preserve"> </w:t>
      </w:r>
      <w:r w:rsidR="00376FCE">
        <w:t xml:space="preserve">short duration </w:t>
      </w:r>
      <w:r w:rsidR="00675185">
        <w:t xml:space="preserve">of most balance </w:t>
      </w:r>
      <w:r w:rsidR="00376FCE">
        <w:t>studies</w:t>
      </w:r>
      <w:r w:rsidR="0080522B">
        <w:t xml:space="preserve"> </w:t>
      </w:r>
      <w:r w:rsidR="006525E2">
        <w:t xml:space="preserve">was noted as a limitation, as it </w:t>
      </w:r>
      <w:r w:rsidR="00675185">
        <w:t xml:space="preserve">may be insufficient to account for </w:t>
      </w:r>
      <w:r w:rsidR="001D30FE">
        <w:t xml:space="preserve">individual variability and </w:t>
      </w:r>
      <w:r w:rsidR="0084568E">
        <w:t>the</w:t>
      </w:r>
      <w:r w:rsidR="001D30FE">
        <w:t xml:space="preserve"> </w:t>
      </w:r>
      <w:proofErr w:type="spellStart"/>
      <w:r w:rsidR="001D30FE">
        <w:t>infradian</w:t>
      </w:r>
      <w:proofErr w:type="spellEnd"/>
      <w:r w:rsidR="001D30FE">
        <w:t xml:space="preserve"> rhythm</w:t>
      </w:r>
      <w:r w:rsidR="006E6598">
        <w:t xml:space="preserve"> </w:t>
      </w:r>
      <w:r w:rsidR="0084568E">
        <w:t xml:space="preserve">of total-body sodium </w:t>
      </w:r>
      <w:r w:rsidR="005E2BFA">
        <w:t>with sufficient accuracy</w:t>
      </w:r>
      <w:r w:rsidR="00601F59">
        <w:t xml:space="preserve"> </w:t>
      </w:r>
      <w:r w:rsidR="00601F59">
        <w:fldChar w:fldCharType="begin">
          <w:fldData xml:space="preserve">PEVuZE5vdGU+PENpdGU+PEF1dGhvcj5OYXRpb25hbCBBY2FkZW1pZXMgb2YgU2NpZW5jZXM8L0F1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</w:fldData>
        </w:fldChar>
      </w:r>
      <w:r w:rsidR="00CD1E0C">
        <w:instrText xml:space="preserve"> ADDIN EN.CITE </w:instrText>
      </w:r>
      <w:r w:rsidR="00CD1E0C">
        <w:fldChar w:fldCharType="begin">
          <w:fldData xml:space="preserve">PEVuZE5vdGU+PENpdGU+PEF1dGhvcj5OYXRpb25hbCBBY2FkZW1pZXMgb2YgU2NpZW5jZXM8L0F1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</w:fldData>
        </w:fldChar>
      </w:r>
      <w:r w:rsidR="00CD1E0C">
        <w:instrText xml:space="preserve"> ADDIN EN.CITE.DATA </w:instrText>
      </w:r>
      <w:r w:rsidR="00CD1E0C">
        <w:fldChar w:fldCharType="end"/>
      </w:r>
      <w:r w:rsidR="00601F59">
        <w:fldChar w:fldCharType="separate"/>
      </w:r>
      <w:r w:rsidR="00CD1E0C">
        <w:rPr>
          <w:noProof/>
        </w:rPr>
        <w:t>(Lerchl et al., 2015; National Academies of Sciences, 2019)</w:t>
      </w:r>
      <w:r w:rsidR="00601F59">
        <w:fldChar w:fldCharType="end"/>
      </w:r>
      <w:r w:rsidR="006E6598">
        <w:t>.</w:t>
      </w:r>
      <w:r w:rsidR="003E338E">
        <w:t xml:space="preserve"> </w:t>
      </w:r>
      <w:r w:rsidR="00402117">
        <w:t>Concerns about the potential for unmeasured sequestration to confound estimates from balance studies were also raised, citing e</w:t>
      </w:r>
      <w:r w:rsidR="003E338E">
        <w:t>merging evidence on sodium sequestration in skin and muscle</w:t>
      </w:r>
      <w:r w:rsidR="00F82DEB">
        <w:t xml:space="preserve"> </w:t>
      </w:r>
      <w:r w:rsidR="00F82DEB">
        <w:fldChar w:fldCharType="begin">
          <w:fldData xml:space="preserve">PEVuZE5vdGU+PENpdGU+PEF1dGhvcj5XYW5nPC9BdXRob3I+PFllYXI+MjAxNzwvWWVhcj48UmVj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</w:fldData>
        </w:fldChar>
      </w:r>
      <w:r w:rsidR="00F82DEB">
        <w:instrText xml:space="preserve"> ADDIN EN.CITE </w:instrText>
      </w:r>
      <w:r w:rsidR="00F82DEB">
        <w:fldChar w:fldCharType="begin">
          <w:fldData xml:space="preserve">PEVuZE5vdGU+PENpdGU+PEF1dGhvcj5XYW5nPC9BdXRob3I+PFllYXI+MjAxNzwvWWVhcj48UmVj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</w:fldData>
        </w:fldChar>
      </w:r>
      <w:r w:rsidR="00F82DEB">
        <w:instrText xml:space="preserve"> ADDIN EN.CITE.DATA </w:instrText>
      </w:r>
      <w:r w:rsidR="00F82DEB">
        <w:fldChar w:fldCharType="end"/>
      </w:r>
      <w:r w:rsidR="00F82DEB">
        <w:fldChar w:fldCharType="separate"/>
      </w:r>
      <w:r w:rsidR="00F82DEB">
        <w:rPr>
          <w:noProof/>
        </w:rPr>
        <w:t>(Wang et al., 2017)</w:t>
      </w:r>
      <w:r w:rsidR="00F82DEB">
        <w:fldChar w:fldCharType="end"/>
      </w:r>
      <w:r w:rsidR="00655BAE">
        <w:t xml:space="preserve">. </w:t>
      </w:r>
    </w:p>
    <w:p w14:paraId="7C218F75" w14:textId="103AF1F1" w:rsidR="006B3AAA" w:rsidRDefault="00CC7464" w:rsidP="005D41BE">
      <w:pPr>
        <w:spacing w:line="276" w:lineRule="auto"/>
      </w:pPr>
      <w:r>
        <w:t>Overall, the</w:t>
      </w:r>
      <w:r w:rsidR="00D71DDB">
        <w:t xml:space="preserve"> reports noted</w:t>
      </w:r>
      <w:r>
        <w:t xml:space="preserve"> significant variability across studies, with negative </w:t>
      </w:r>
      <w:r w:rsidR="00DC5C25">
        <w:t>balance reported with intakes from 230 to 2,210 mg/day (3 studies),</w:t>
      </w:r>
      <w:r w:rsidR="00D35DE0">
        <w:t xml:space="preserve"> and positive balance reported with intakes ranging from 1,</w:t>
      </w:r>
      <w:r w:rsidR="009F1C37">
        <w:t>525</w:t>
      </w:r>
      <w:r w:rsidR="00D35DE0">
        <w:t xml:space="preserve"> to 15,180 mg/day </w:t>
      </w:r>
      <w:r w:rsidR="009F1C37">
        <w:t xml:space="preserve">in adults </w:t>
      </w:r>
      <w:r w:rsidR="00D35DE0">
        <w:t>(8 studies).</w:t>
      </w:r>
      <w:r w:rsidR="00F80443">
        <w:t xml:space="preserve"> One study reported neutral balance with</w:t>
      </w:r>
      <w:r w:rsidR="005803F9">
        <w:t xml:space="preserve"> intakes of 1,525 mg/day under heat stress conditions </w:t>
      </w:r>
      <w:r w:rsidR="005803F9" w:rsidRPr="005803F9">
        <w:t xml:space="preserve">(40ºC for 10hrs/day for 5 days) </w:t>
      </w:r>
      <w:r w:rsidR="005803F9">
        <w:t xml:space="preserve">whereas </w:t>
      </w:r>
      <w:r w:rsidR="00BC4626">
        <w:t xml:space="preserve">strong </w:t>
      </w:r>
      <w:r w:rsidR="005803F9" w:rsidRPr="005803F9">
        <w:t xml:space="preserve">positive balance </w:t>
      </w:r>
      <w:r w:rsidR="00BC4626">
        <w:t xml:space="preserve">was observed </w:t>
      </w:r>
      <w:r w:rsidR="005803F9" w:rsidRPr="005803F9">
        <w:t xml:space="preserve">under </w:t>
      </w:r>
      <w:r w:rsidR="00BC4626">
        <w:t xml:space="preserve">more typical environmental </w:t>
      </w:r>
      <w:r w:rsidR="005803F9" w:rsidRPr="005803F9">
        <w:t>conditions (25ºC for 3 days)</w:t>
      </w:r>
      <w:r w:rsidR="0056460E">
        <w:fldChar w:fldCharType="begin"/>
      </w:r>
      <w:r w:rsidR="0056460E">
        <w:instrText xml:space="preserve"> ADDIN EN.CITE &lt;EndNote&gt;&lt;Cite&gt;&lt;Author&gt;Allsopp&lt;/Author&gt;&lt;Year&gt;1998&lt;/Year&gt;&lt;RecNum&gt;4634&lt;/RecNum&gt;&lt;DisplayText&gt;(Allsopp et al., 1998)&lt;/DisplayText&gt;&lt;record&gt;&lt;rec-number&gt;4634&lt;/rec-number&gt;&lt;foreign-keys&gt;&lt;key app="EN" db-id="wwsdv2wwp29fenerv0kx5tw9zxtx2fdrprx2" timestamp="1774926752"&gt;4634&lt;/key&gt;&lt;/foreign-keys&gt;&lt;ref-type name="Journal Article"&gt;17&lt;/ref-type&gt;&lt;contributors&gt;&lt;authors&gt;&lt;author&gt;Allsopp, A. J.&lt;/author&gt;&lt;author&gt;Sutherland, R.&lt;/author&gt;&lt;author&gt;Wood, P.&lt;/author&gt;&lt;author&gt;Wootton, S. A.&lt;/author&gt;&lt;/authors&gt;&lt;/contributors&gt;&lt;auth-address&gt;Institute of Naval Medicine, Gosport, Hampshire, UK.&lt;/auth-address&gt;&lt;titles&gt;&lt;title&gt;The effect of sodium balance on sweat sodium secretion and plasma aldosterone concentration&lt;/title&gt;&lt;secondary-title&gt;Eur J Appl Physiol Occup Physiol&lt;/secondary-title&gt;&lt;/titles&gt;&lt;periodical&gt;&lt;full-title&gt;Eur J Appl Physiol Occup Physiol&lt;/full-title&gt;&lt;/periodical&gt;&lt;pages&gt;516-21&lt;/pages&gt;&lt;volume&gt;78&lt;/volume&gt;&lt;number&gt;6&lt;/number&gt;&lt;keywords&gt;&lt;keyword&gt;Adaptation, Physiological/*physiology&lt;/keyword&gt;&lt;keyword&gt;Adolescent&lt;/keyword&gt;&lt;keyword&gt;Adult&lt;/keyword&gt;&lt;keyword&gt;Aldosterone/*blood&lt;/keyword&gt;&lt;keyword&gt;Hot Temperature&lt;/keyword&gt;&lt;keyword&gt;Humans&lt;/keyword&gt;&lt;keyword&gt;Male&lt;/keyword&gt;&lt;keyword&gt;Sodium, Dietary/*metabolism/pharmacokinetics&lt;/keyword&gt;&lt;keyword&gt;Sweating/drug effects/*physiology&lt;/keyword&gt;&lt;keyword&gt;Water-Electrolyte Balance/physiology&lt;/keyword&gt;&lt;keyword&gt;Weight Loss&lt;/keyword&gt;&lt;/keywords&gt;&lt;dates&gt;&lt;year&gt;1998&lt;/year&gt;&lt;pub-dates&gt;&lt;date&gt;Nov&lt;/date&gt;&lt;/pub-dates&gt;&lt;/dates&gt;&lt;isbn&gt;0301-5548 (Print)&amp;#xD;0301-5548&lt;/isbn&gt;&lt;accession-num&gt;9840406&lt;/accession-num&gt;&lt;urls&gt;&lt;/urls&gt;&lt;electronic-resource-num&gt;10.1007/s004210050454&lt;/electronic-resource-num&gt;&lt;remote-database-provider&gt;NLM&lt;/remote-database-provider&gt;&lt;language&gt;eng&lt;/language&gt;&lt;/record&gt;&lt;/Cite&gt;&lt;/EndNote&gt;</w:instrText>
      </w:r>
      <w:r w:rsidR="0056460E">
        <w:fldChar w:fldCharType="separate"/>
      </w:r>
      <w:r w:rsidR="0056460E">
        <w:rPr>
          <w:noProof/>
        </w:rPr>
        <w:t>(Allsopp et al., 1998)</w:t>
      </w:r>
      <w:r w:rsidR="0056460E">
        <w:fldChar w:fldCharType="end"/>
      </w:r>
      <w:r w:rsidR="00F80443">
        <w:t>.</w:t>
      </w:r>
      <w:r>
        <w:t xml:space="preserve"> </w:t>
      </w:r>
      <w:r w:rsidR="009F1C37">
        <w:t xml:space="preserve">The only study to rigorously measure intake and losses </w:t>
      </w:r>
      <w:r w:rsidR="009F1C37">
        <w:lastRenderedPageBreak/>
        <w:t>was conducted in girls aged 11 to 15 years, reporting positive balance with intakes between 1,300 and 4,000 mg/da</w:t>
      </w:r>
      <w:r w:rsidR="003F4A3B">
        <w:t xml:space="preserve">y </w:t>
      </w:r>
      <w:r w:rsidR="003F4A3B">
        <w:fldChar w:fldCharType="begin"/>
      </w:r>
      <w:r w:rsidR="003F4A3B">
        <w:instrText xml:space="preserve"> ADDIN EN.CITE &lt;EndNote&gt;&lt;Cite&gt;&lt;Author&gt;Palacios&lt;/Author&gt;&lt;Year&gt;2004&lt;/Year&gt;&lt;RecNum&gt;4649&lt;/RecNum&gt;&lt;DisplayText&gt;(Palacios et al., 2004)&lt;/DisplayText&gt;&lt;record&gt;&lt;rec-number&gt;4649&lt;/rec-number&gt;&lt;foreign-keys&gt;&lt;key app="EN" db-id="wwsdv2wwp29fenerv0kx5tw9zxtx2fdrprx2" timestamp="1774936584"&gt;4649&lt;/key&gt;&lt;/foreign-keys&gt;&lt;ref-type name="Journal Article"&gt;17&lt;/ref-type&gt;&lt;contributors&gt;&lt;authors&gt;&lt;author&gt;Palacios, C.&lt;/author&gt;&lt;author&gt;Wigertz, K.&lt;/author&gt;&lt;author&gt;Martin, B. R.&lt;/author&gt;&lt;author&gt;Jackman, L.&lt;/author&gt;&lt;author&gt;Pratt, J. H.&lt;/author&gt;&lt;author&gt;Peacock, M.&lt;/author&gt;&lt;author&gt;McCabe, G.&lt;/author&gt;&lt;author&gt;Weaver, C. M.&lt;/author&gt;&lt;/authors&gt;&lt;/contributors&gt;&lt;auth-address&gt;Department of Foods and Nutrition, Purdue University, West Lafayette, Indiana 47907, USA.&lt;/auth-address&gt;&lt;titles&gt;&lt;title&gt;Sodium retention in black and white female adolescents in response to salt intake&lt;/title&gt;&lt;secondary-title&gt;J Clin Endocrinol Metab&lt;/secondary-title&gt;&lt;/titles&gt;&lt;periodical&gt;&lt;full-title&gt;J Clin Endocrinol Metab&lt;/full-title&gt;&lt;/periodical&gt;&lt;pages&gt;1858-63&lt;/pages&gt;&lt;volume&gt;89&lt;/volume&gt;&lt;number&gt;4&lt;/number&gt;&lt;keywords&gt;&lt;keyword&gt;Adolescent&lt;/keyword&gt;&lt;keyword&gt;*Black People&lt;/keyword&gt;&lt;keyword&gt;Diuresis/drug effects&lt;/keyword&gt;&lt;keyword&gt;Dose-Response Relationship, Drug&lt;/keyword&gt;&lt;keyword&gt;Energy Intake&lt;/keyword&gt;&lt;keyword&gt;Feces/chemistry&lt;/keyword&gt;&lt;keyword&gt;Female&lt;/keyword&gt;&lt;keyword&gt;Humans&lt;/keyword&gt;&lt;keyword&gt;Sodium/analysis/*pharmacokinetics&lt;/keyword&gt;&lt;keyword&gt;Sodium, Dietary/*administration &amp;amp; dosage&lt;/keyword&gt;&lt;keyword&gt;*White People&lt;/keyword&gt;&lt;/keywords&gt;&lt;dates&gt;&lt;year&gt;2004&lt;/year&gt;&lt;pub-dates&gt;&lt;date&gt;Apr&lt;/date&gt;&lt;/pub-dates&gt;&lt;/dates&gt;&lt;isbn&gt;0021-972X (Print)&amp;#xD;0021-972x&lt;/isbn&gt;&lt;accession-num&gt;15070956&lt;/accession-num&gt;&lt;urls&gt;&lt;/urls&gt;&lt;electronic-resource-num&gt;10.1210/jc.2003-031446&lt;/electronic-resource-num&gt;&lt;remote-database-provider&gt;NLM&lt;/remote-database-provider&gt;&lt;language&gt;eng&lt;/language&gt;&lt;/record&gt;&lt;/Cite&gt;&lt;/EndNote&gt;</w:instrText>
      </w:r>
      <w:r w:rsidR="003F4A3B">
        <w:fldChar w:fldCharType="separate"/>
      </w:r>
      <w:r w:rsidR="003F4A3B">
        <w:rPr>
          <w:noProof/>
        </w:rPr>
        <w:t>(Palacios et al., 2004)</w:t>
      </w:r>
      <w:r w:rsidR="003F4A3B">
        <w:fldChar w:fldCharType="end"/>
      </w:r>
      <w:r w:rsidR="009F1C37">
        <w:t>.</w:t>
      </w:r>
    </w:p>
    <w:p w14:paraId="4E0D7DEE" w14:textId="53722CBC" w:rsidR="00015966" w:rsidRDefault="00015966" w:rsidP="005D41BE">
      <w:pPr>
        <w:spacing w:line="276" w:lineRule="auto"/>
      </w:pPr>
      <w:r>
        <w:t xml:space="preserve">EFSA examined balance studies comparing </w:t>
      </w:r>
      <w:r w:rsidRPr="00D3172D">
        <w:t xml:space="preserve">sodium intake and excretion </w:t>
      </w:r>
      <w:r>
        <w:t xml:space="preserve">if the study </w:t>
      </w:r>
      <w:r w:rsidRPr="00D3172D">
        <w:t>allowed for an adaptation period</w:t>
      </w:r>
      <w:r>
        <w:t>, although criteria for determining this were not explicitly specified</w:t>
      </w:r>
      <w:r w:rsidR="00F21BB4">
        <w:t xml:space="preserve"> </w:t>
      </w:r>
      <w:r w:rsidR="00F21BB4">
        <w:fldChar w:fldCharType="begin"/>
      </w:r>
      <w:r w:rsidR="00185BC5">
        <w:instrText xml:space="preserve"> ADDIN EN.CITE &lt;EndNote&gt;&lt;Cite ExcludeAuth="1"&gt;&lt;Author&gt;European Food Safety Authority&lt;/Author&gt;&lt;Year&gt;2019&lt;/Year&gt;&lt;RecNum&gt;1&lt;/RecNum&gt;&lt;Prefix&gt;EFSA`, &lt;/Prefix&gt;&lt;DisplayText&gt;(EFSA, 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rsidR="00F21BB4">
        <w:fldChar w:fldCharType="separate"/>
      </w:r>
      <w:r w:rsidR="00F21BB4">
        <w:rPr>
          <w:noProof/>
        </w:rPr>
        <w:t>(EFSA, 2019)</w:t>
      </w:r>
      <w:r w:rsidR="00F21BB4">
        <w:fldChar w:fldCharType="end"/>
      </w:r>
      <w:r>
        <w:t xml:space="preserve">. It </w:t>
      </w:r>
      <w:r w:rsidR="00713F27">
        <w:t xml:space="preserve">summarised the evidence from </w:t>
      </w:r>
      <w:r w:rsidRPr="00015966">
        <w:t xml:space="preserve">Holbrook et al </w:t>
      </w:r>
      <w:r w:rsidR="00713F27">
        <w:t>(</w:t>
      </w:r>
      <w:r w:rsidRPr="00015966">
        <w:t>1984</w:t>
      </w:r>
      <w:r w:rsidR="00713F27">
        <w:t>)</w:t>
      </w:r>
      <w:r>
        <w:t xml:space="preserve">, Allsopp et al </w:t>
      </w:r>
      <w:r w:rsidR="00713F27">
        <w:t>(</w:t>
      </w:r>
      <w:r>
        <w:t>1998</w:t>
      </w:r>
      <w:r w:rsidR="00713F27">
        <w:t xml:space="preserve">), </w:t>
      </w:r>
      <w:r w:rsidRPr="00015966">
        <w:t xml:space="preserve">Kodama et al </w:t>
      </w:r>
      <w:r w:rsidR="00713F27">
        <w:t>(</w:t>
      </w:r>
      <w:r w:rsidRPr="00015966">
        <w:t>2005</w:t>
      </w:r>
      <w:r w:rsidR="00713F27">
        <w:t>), and Palacios et al (2004</w:t>
      </w:r>
      <w:r w:rsidR="004B1462">
        <w:t xml:space="preserve">). </w:t>
      </w:r>
      <w:proofErr w:type="gramStart"/>
      <w:r w:rsidR="004B1462">
        <w:t>Similar to</w:t>
      </w:r>
      <w:proofErr w:type="gramEnd"/>
      <w:r w:rsidR="004B1462">
        <w:t xml:space="preserve"> NASEM, the EFSA Panel also raised </w:t>
      </w:r>
      <w:r w:rsidR="001E30BA">
        <w:t xml:space="preserve">concerns about the </w:t>
      </w:r>
      <w:r w:rsidR="009F4C50">
        <w:t xml:space="preserve">validity of </w:t>
      </w:r>
      <w:r w:rsidR="004B1462">
        <w:t>balance studies for determining sodium requirements</w:t>
      </w:r>
      <w:r w:rsidR="002D0EF8">
        <w:t xml:space="preserve">, </w:t>
      </w:r>
      <w:r w:rsidR="007E62D0">
        <w:t xml:space="preserve">concluding that </w:t>
      </w:r>
      <w:r w:rsidR="002D0EF8">
        <w:t xml:space="preserve">they </w:t>
      </w:r>
      <w:r w:rsidR="007E62D0">
        <w:t xml:space="preserve">could not be used to </w:t>
      </w:r>
      <w:r w:rsidR="002D0EF8">
        <w:t xml:space="preserve">derive </w:t>
      </w:r>
      <w:r w:rsidR="007E62D0">
        <w:t>sodium requirements</w:t>
      </w:r>
      <w:r w:rsidR="003140BD">
        <w:t xml:space="preserve">, although they </w:t>
      </w:r>
      <w:r w:rsidR="002D0EF8">
        <w:t xml:space="preserve">provide supportive evidence about the </w:t>
      </w:r>
      <w:r w:rsidR="003140BD">
        <w:t xml:space="preserve">intake level </w:t>
      </w:r>
      <w:r w:rsidR="002D0EF8">
        <w:t xml:space="preserve">that is adequate for null sodium </w:t>
      </w:r>
      <w:r w:rsidR="003140BD">
        <w:t>balance.</w:t>
      </w:r>
    </w:p>
    <w:p w14:paraId="1AD36D31" w14:textId="77777777" w:rsidR="00C26ABB" w:rsidRPr="00047809" w:rsidRDefault="00C26ABB" w:rsidP="00C26ABB">
      <w:pPr>
        <w:pStyle w:val="Heading4"/>
      </w:pPr>
      <w:r w:rsidRPr="00047809">
        <w:t>Supplementary evidence</w:t>
      </w:r>
    </w:p>
    <w:p w14:paraId="649AD38D" w14:textId="47279980" w:rsidR="00C26ABB" w:rsidRPr="00047809" w:rsidRDefault="00C26ABB" w:rsidP="005D41BE">
      <w:pPr>
        <w:spacing w:line="276" w:lineRule="auto"/>
      </w:pPr>
      <w:r w:rsidRPr="00047809">
        <w:t>No s</w:t>
      </w:r>
      <w:r w:rsidR="0090467D">
        <w:t>upplementary</w:t>
      </w:r>
      <w:r w:rsidRPr="00047809">
        <w:t xml:space="preserve"> systematic reviews were identified that included balance studies published since 2018.</w:t>
      </w:r>
    </w:p>
    <w:p w14:paraId="12D1310F" w14:textId="77777777" w:rsidR="00AE1303" w:rsidRDefault="00AE1303" w:rsidP="00AE1303">
      <w:pPr>
        <w:pStyle w:val="Heading3"/>
        <w:spacing w:line="240" w:lineRule="auto"/>
      </w:pPr>
      <w:bookmarkStart w:id="56" w:name="_Toc234960846"/>
      <w:r w:rsidRPr="00C06CB6">
        <w:t>Requirements during pregnancy or lactation</w:t>
      </w:r>
      <w:bookmarkEnd w:id="56"/>
    </w:p>
    <w:p w14:paraId="7E53BE6C" w14:textId="77777777" w:rsidR="00AE1303" w:rsidRDefault="00AE1303" w:rsidP="00AE1303">
      <w:pPr>
        <w:pStyle w:val="Heading4"/>
      </w:pPr>
      <w:r>
        <w:t>Evidence underpinning international recommendations</w:t>
      </w:r>
    </w:p>
    <w:p w14:paraId="6DBD3B5B" w14:textId="77777777" w:rsidR="00AE1303" w:rsidRDefault="00AE1303" w:rsidP="00AE1303">
      <w:pPr>
        <w:spacing w:line="276" w:lineRule="auto"/>
      </w:pPr>
      <w:r>
        <w:t xml:space="preserve">Both EFSA and NASEM estimated total body sodium requirements throughout pregnancy at around 23g, with requirements unevenly distributed throughout pregnancy </w:t>
      </w:r>
      <w:r>
        <w:fldChar w:fldCharType="begin">
          <w:fldData xml:space="preserve">PEVuZE5vdGU+PENpdGU+PEF1dGhvcj5QaXRraW48L0F1dGhvcj48WWVhcj4xOTcyPC9ZZWFyPjxS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==
</w:fldData>
        </w:fldChar>
      </w:r>
      <w:r>
        <w:instrText xml:space="preserve"> ADDIN EN.CITE </w:instrText>
      </w:r>
      <w:r>
        <w:fldChar w:fldCharType="begin">
          <w:fldData xml:space="preserve">PEVuZE5vdGU+PENpdGU+PEF1dGhvcj5QaXRraW48L0F1dGhvcj48WWVhcj4xOTcyPC9ZZWFyPjxS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==
</w:fldData>
        </w:fldChar>
      </w:r>
      <w:r>
        <w:instrText xml:space="preserve"> ADDIN EN.CITE.DATA </w:instrText>
      </w:r>
      <w:r>
        <w:fldChar w:fldCharType="end"/>
      </w:r>
      <w:r>
        <w:fldChar w:fldCharType="separate"/>
      </w:r>
      <w:r>
        <w:rPr>
          <w:noProof/>
        </w:rPr>
        <w:t>(EFSA, 2019; NASEM, 2019; Pitkin et al., 1972)</w:t>
      </w:r>
      <w:r>
        <w:fldChar w:fldCharType="end"/>
      </w:r>
      <w:r>
        <w:t xml:space="preserve">. The EFSA Panel reported a study in two groups of pregnant adults living in a salt-poor environment, with sodium requirements met via homeostatic mechanisms to increase sodium retention </w:t>
      </w:r>
      <w:r>
        <w:fldChar w:fldCharType="begin"/>
      </w:r>
      <w:r>
        <w:instrText xml:space="preserve"> ADDIN EN.CITE &lt;EndNote&gt;&lt;Cite&gt;&lt;Author&gt;Oliver&lt;/Author&gt;&lt;Year&gt;1981&lt;/Year&gt;&lt;RecNum&gt;4659&lt;/RecNum&gt;&lt;DisplayText&gt;(Oliver et al., 1981)&lt;/DisplayText&gt;&lt;record&gt;&lt;rec-number&gt;4659&lt;/rec-number&gt;&lt;foreign-keys&gt;&lt;key app="EN" db-id="wwsdv2wwp29fenerv0kx5tw9zxtx2fdrprx2" timestamp="1774951827"&gt;4659&lt;/key&gt;&lt;/foreign-keys&gt;&lt;ref-type name="Journal Article"&gt;17&lt;/ref-type&gt;&lt;contributors&gt;&lt;authors&gt;&lt;author&gt;Oliver, W. J.&lt;/author&gt;&lt;author&gt;Neel, J. V.&lt;/author&gt;&lt;author&gt;Grekin, R. J.&lt;/author&gt;&lt;author&gt;Cohen, E. L.&lt;/author&gt;&lt;/authors&gt;&lt;/contributors&gt;&lt;titles&gt;&lt;title&gt;Hormonal adaptation to the stresses imposed upon sodium balance by pregnancy and lactation in the Yanomama Indians, a culture without salt&lt;/title&gt;&lt;secondary-title&gt;Circulation&lt;/secondary-title&gt;&lt;/titles&gt;&lt;periodical&gt;&lt;full-title&gt;Circulation&lt;/full-title&gt;&lt;/periodical&gt;&lt;pages&gt;110-6&lt;/pages&gt;&lt;volume&gt;63&lt;/volume&gt;&lt;number&gt;1&lt;/number&gt;&lt;keywords&gt;&lt;keyword&gt;Adult&lt;/keyword&gt;&lt;keyword&gt;Aldosterone/*blood/urine&lt;/keyword&gt;&lt;keyword&gt;Angiotensins/*blood&lt;/keyword&gt;&lt;keyword&gt;Blood Pressure&lt;/keyword&gt;&lt;keyword&gt;Brazil&lt;/keyword&gt;&lt;keyword&gt;Creatinine/urine&lt;/keyword&gt;&lt;keyword&gt;Female&lt;/keyword&gt;&lt;keyword&gt;Humans&lt;/keyword&gt;&lt;keyword&gt;Indians, South American&lt;/keyword&gt;&lt;keyword&gt;Lactation&lt;/keyword&gt;&lt;keyword&gt;Male&lt;/keyword&gt;&lt;keyword&gt;Milk, Human&lt;/keyword&gt;&lt;keyword&gt;Potassium/blood/urine&lt;/keyword&gt;&lt;keyword&gt;Pregnancy&lt;/keyword&gt;&lt;keyword&gt;Renin/*blood&lt;/keyword&gt;&lt;keyword&gt;Sodium/*blood/urine&lt;/keyword&gt;&lt;keyword&gt;Venezuela&lt;/keyword&gt;&lt;/keywords&gt;&lt;dates&gt;&lt;year&gt;1981&lt;/year&gt;&lt;pub-dates&gt;&lt;date&gt;Jan&lt;/date&gt;&lt;/pub-dates&gt;&lt;/dates&gt;&lt;isbn&gt;0009-7322 (Print)&amp;#xD;0009-7322&lt;/isbn&gt;&lt;accession-num&gt;7002359&lt;/accession-num&gt;&lt;urls&gt;&lt;/urls&gt;&lt;electronic-resource-num&gt;10.1161/01.cir.63.1.110&lt;/electronic-resource-num&gt;&lt;remote-database-provider&gt;NLM&lt;/remote-database-provider&gt;&lt;language&gt;eng&lt;/language&gt;&lt;/record&gt;&lt;/Cite&gt;&lt;/EndNote&gt;</w:instrText>
      </w:r>
      <w:r>
        <w:fldChar w:fldCharType="separate"/>
      </w:r>
      <w:r>
        <w:rPr>
          <w:noProof/>
        </w:rPr>
        <w:t>(Oliver et al., 1981)</w:t>
      </w:r>
      <w:r>
        <w:fldChar w:fldCharType="end"/>
      </w:r>
      <w:r>
        <w:t>. Overall, both EFSA and NASEM concluded that sodium requirements during pregnancy could be met by adaptive changes during pregnancy.</w:t>
      </w:r>
    </w:p>
    <w:p w14:paraId="0F9AF14C" w14:textId="1456FB66" w:rsidR="00AE1303" w:rsidRDefault="00AE1303" w:rsidP="00AE1303">
      <w:pPr>
        <w:spacing w:line="276" w:lineRule="auto"/>
      </w:pPr>
      <w:r>
        <w:t xml:space="preserve">Regarding lactation, both guideline groups noted evidence suggesting that sodium losses through human milk are small, estimated at a few mmol/day </w:t>
      </w:r>
      <w:r>
        <w:fldChar w:fldCharType="begin">
          <w:fldData xml:space="preserve">PEVuZE5vdGU+PENpdGU+PEF1dGhvcj5Hcm9zczwvQXV0aG9yPjxZZWFyPjE5ODA8L1llYXI+PFJl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</w:fldData>
        </w:fldChar>
      </w:r>
      <w:r>
        <w:instrText xml:space="preserve"> ADDIN EN.CITE </w:instrText>
      </w:r>
      <w:r>
        <w:fldChar w:fldCharType="begin">
          <w:fldData xml:space="preserve">PEVuZE5vdGU+PENpdGU+PEF1dGhvcj5Hcm9zczwvQXV0aG9yPjxZZWFyPjE5ODA8L1llYXI+PFJl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</w:fldData>
        </w:fldChar>
      </w:r>
      <w:r>
        <w:instrText xml:space="preserve"> ADDIN EN.CITE.DATA </w:instrText>
      </w:r>
      <w:r>
        <w:fldChar w:fldCharType="end"/>
      </w:r>
      <w:r>
        <w:fldChar w:fldCharType="separate"/>
      </w:r>
      <w:r>
        <w:rPr>
          <w:noProof/>
        </w:rPr>
        <w:t>(Allen et al., 1991; Bauer &amp; Gerss, 2011; Butte et al., 1984; Dewey et al., 1984; Dewey &amp; Lönnerdal, 1983; Garza et al., 1983; Gross et al., 1980; Holt, 1993; Lemons et al., 1982; Morriss et al., 1986; Motil et al., 1997; Perrin et al., 2017; Picciano et al., 1981; Wack et al., 1997)</w:t>
      </w:r>
      <w:r>
        <w:fldChar w:fldCharType="end"/>
      </w:r>
      <w:r>
        <w:t xml:space="preserve"> Furthermore, it was noted that the sodium content in human milk is regulated via membrane transport pathways</w:t>
      </w:r>
      <w:r>
        <w:fldChar w:fldCharType="begin">
          <w:fldData xml:space="preserve">PEVuZE5vdGU+PENpdGU+PEF1dGhvcj5XYWNrPC9BdXRob3I+PFllYXI+MTk5NzwvWWVhcj48UmVj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</w:fldData>
        </w:fldChar>
      </w:r>
      <w:r>
        <w:instrText xml:space="preserve"> ADDIN EN.CITE </w:instrText>
      </w:r>
      <w:r>
        <w:fldChar w:fldCharType="begin">
          <w:fldData xml:space="preserve">PEVuZE5vdGU+PENpdGU+PEF1dGhvcj5XYWNrPC9BdXRob3I+PFllYXI+MTk5NzwvWWVhcj48UmVj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</w:fldData>
        </w:fldChar>
      </w:r>
      <w:r>
        <w:instrText xml:space="preserve"> ADDIN EN.CITE.DATA </w:instrText>
      </w:r>
      <w:r>
        <w:fldChar w:fldCharType="end"/>
      </w:r>
      <w:r>
        <w:fldChar w:fldCharType="separate"/>
      </w:r>
      <w:r>
        <w:rPr>
          <w:noProof/>
        </w:rPr>
        <w:t>(Truchet &amp; Honvo-Houéto, 2017; Wack et al., 1997)</w:t>
      </w:r>
      <w:r>
        <w:fldChar w:fldCharType="end"/>
      </w:r>
      <w:r>
        <w:t xml:space="preserve"> and is not influenced by maternal intake </w:t>
      </w:r>
      <w:r>
        <w:fldChar w:fldCharType="begin">
          <w:fldData xml:space="preserve">PEVuZE5vdGU+PENpdGU+PEF1dGhvcj5GaWxpcHBpPC9BdXRob3I+PFllYXI+MTk4MTwvWWVhcj48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</w:fldData>
        </w:fldChar>
      </w:r>
      <w:r>
        <w:instrText xml:space="preserve"> ADDIN EN.CITE </w:instrText>
      </w:r>
      <w:r>
        <w:fldChar w:fldCharType="begin">
          <w:fldData xml:space="preserve">PEVuZE5vdGU+PENpdGU+PEF1dGhvcj5GaWxpcHBpPC9BdXRob3I+PFllYXI+MTk4MTwvWWVhcj48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</w:fldData>
        </w:fldChar>
      </w:r>
      <w:r>
        <w:instrText xml:space="preserve"> ADDIN EN.CITE.DATA </w:instrText>
      </w:r>
      <w:r>
        <w:fldChar w:fldCharType="end"/>
      </w:r>
      <w:r>
        <w:fldChar w:fldCharType="separate"/>
      </w:r>
      <w:r>
        <w:rPr>
          <w:noProof/>
        </w:rPr>
        <w:t>(Ereman et al., 1987; Filippi et al., 1981; Keenan et al., 1982)</w:t>
      </w:r>
      <w:r>
        <w:fldChar w:fldCharType="end"/>
      </w:r>
      <w:r>
        <w:t xml:space="preserve">. On this basis, both EFSA and NASEM concluded that the sodium requirement of lactating </w:t>
      </w:r>
      <w:r w:rsidR="00A0102C">
        <w:t>females</w:t>
      </w:r>
      <w:r>
        <w:t xml:space="preserve"> was unlikely to differ to that of non-lactating </w:t>
      </w:r>
      <w:r w:rsidR="00A0102C">
        <w:t>females</w:t>
      </w:r>
      <w:r>
        <w:t>.</w:t>
      </w:r>
    </w:p>
    <w:p w14:paraId="46279EFD" w14:textId="77777777" w:rsidR="00AE1303" w:rsidRDefault="00AE1303" w:rsidP="00AE1303">
      <w:pPr>
        <w:pStyle w:val="Heading4"/>
      </w:pPr>
      <w:r>
        <w:t>Supplementary evidence</w:t>
      </w:r>
    </w:p>
    <w:p w14:paraId="790B3A74" w14:textId="707E013D" w:rsidR="00AE1303" w:rsidRPr="002C5CEA" w:rsidRDefault="00AE1303" w:rsidP="00AE1303">
      <w:pPr>
        <w:spacing w:line="276" w:lineRule="auto"/>
      </w:pPr>
      <w:r w:rsidRPr="002C5CEA">
        <w:t xml:space="preserve">No </w:t>
      </w:r>
      <w:r w:rsidR="0090467D">
        <w:t>supplementary</w:t>
      </w:r>
      <w:r w:rsidRPr="002C5CEA">
        <w:t xml:space="preserve"> systematic reviews were identified that examined </w:t>
      </w:r>
      <w:r>
        <w:t xml:space="preserve">physiological </w:t>
      </w:r>
      <w:r w:rsidRPr="002C5CEA">
        <w:t>requirements</w:t>
      </w:r>
      <w:r>
        <w:t xml:space="preserve"> for sodium</w:t>
      </w:r>
      <w:r w:rsidRPr="002C5CEA">
        <w:t xml:space="preserve"> </w:t>
      </w:r>
      <w:r>
        <w:t xml:space="preserve">during pregnancy or lactation </w:t>
      </w:r>
      <w:r w:rsidRPr="002C5CEA">
        <w:t>published since 2018</w:t>
      </w:r>
      <w:r>
        <w:t>.</w:t>
      </w:r>
    </w:p>
    <w:p w14:paraId="30020C98" w14:textId="78185C8F" w:rsidR="00015966" w:rsidRDefault="00015966" w:rsidP="0092607C">
      <w:pPr>
        <w:sectPr w:rsidR="00015966" w:rsidSect="00C6544D">
          <w:headerReference w:type="default" r:id="rId45"/>
          <w:footerReference w:type="default" r:id="rId46"/>
          <w:footnotePr>
            <w:pos w:val="beneathText"/>
          </w:footnotePr>
          <w:type w:val="continuous"/>
          <w:pgSz w:w="11906" w:h="16838"/>
          <w:pgMar w:top="1440" w:right="1440" w:bottom="1134" w:left="1440" w:header="708" w:footer="708" w:gutter="0"/>
          <w:cols w:space="708"/>
          <w:docGrid w:linePitch="360"/>
        </w:sectPr>
      </w:pPr>
    </w:p>
    <w:p w14:paraId="270F627A" w14:textId="352B8062" w:rsidR="00751DBA" w:rsidRDefault="00751DBA" w:rsidP="00751DBA">
      <w:pPr>
        <w:pStyle w:val="Caption"/>
        <w:keepNext/>
      </w:pPr>
      <w:r>
        <w:lastRenderedPageBreak/>
        <w:t xml:space="preserve">Table </w:t>
      </w:r>
      <w:r>
        <w:fldChar w:fldCharType="begin"/>
      </w:r>
      <w:r>
        <w:instrText>SEQ Table \* ARABIC</w:instrText>
      </w:r>
      <w:r>
        <w:fldChar w:fldCharType="separate"/>
      </w:r>
      <w:r w:rsidR="00B90577">
        <w:rPr>
          <w:noProof/>
        </w:rPr>
        <w:t>9</w:t>
      </w:r>
      <w:r>
        <w:fldChar w:fldCharType="end"/>
      </w:r>
      <w:r>
        <w:t xml:space="preserve"> – Summary of balance studies included in NASEM (2019) </w:t>
      </w:r>
    </w:p>
    <w:tbl>
      <w:tblPr>
        <w:tblStyle w:val="ListTable3-Accent1"/>
        <w:tblW w:w="14596" w:type="dxa"/>
        <w:tblLook w:val="04A0" w:firstRow="1" w:lastRow="0" w:firstColumn="1" w:lastColumn="0" w:noHBand="0" w:noVBand="1"/>
      </w:tblPr>
      <w:tblGrid>
        <w:gridCol w:w="1563"/>
        <w:gridCol w:w="3535"/>
        <w:gridCol w:w="993"/>
        <w:gridCol w:w="992"/>
        <w:gridCol w:w="1559"/>
        <w:gridCol w:w="5954"/>
      </w:tblGrid>
      <w:tr w:rsidR="00EF3D37" w:rsidRPr="00AF7E6E" w14:paraId="1D13D858" w14:textId="54A92924" w:rsidTr="00762F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63" w:type="dxa"/>
            <w:vMerge w:val="restart"/>
          </w:tcPr>
          <w:p w14:paraId="486B14BB" w14:textId="2A24CF1D" w:rsidR="00EF3D37" w:rsidRPr="00AF7E6E" w:rsidRDefault="00EF3D37" w:rsidP="0092607C">
            <w:pPr>
              <w:rPr>
                <w:b w:val="0"/>
                <w:bCs w:val="0"/>
                <w:sz w:val="20"/>
                <w:szCs w:val="20"/>
              </w:rPr>
            </w:pPr>
            <w:r w:rsidRPr="00AF7E6E">
              <w:rPr>
                <w:b w:val="0"/>
                <w:bCs w:val="0"/>
                <w:sz w:val="20"/>
                <w:szCs w:val="20"/>
              </w:rPr>
              <w:t>Reference</w:t>
            </w:r>
          </w:p>
        </w:tc>
        <w:tc>
          <w:tcPr>
            <w:tcW w:w="3535" w:type="dxa"/>
            <w:vMerge w:val="restart"/>
          </w:tcPr>
          <w:p w14:paraId="4F072A11" w14:textId="07D29475" w:rsidR="00EF3D37" w:rsidRPr="00AF7E6E" w:rsidRDefault="00EF3D37" w:rsidP="006B3AA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AF7E6E">
              <w:rPr>
                <w:b w:val="0"/>
                <w:bCs w:val="0"/>
                <w:sz w:val="20"/>
                <w:szCs w:val="20"/>
              </w:rPr>
              <w:t>Population</w:t>
            </w:r>
          </w:p>
        </w:tc>
        <w:tc>
          <w:tcPr>
            <w:tcW w:w="3544" w:type="dxa"/>
            <w:gridSpan w:val="3"/>
          </w:tcPr>
          <w:p w14:paraId="4E7FEF80" w14:textId="30A785C0" w:rsidR="00EF3D37" w:rsidRPr="00AF7E6E" w:rsidRDefault="00EF3D37" w:rsidP="006B3AA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AF7E6E">
              <w:rPr>
                <w:b w:val="0"/>
                <w:bCs w:val="0"/>
                <w:sz w:val="20"/>
                <w:szCs w:val="20"/>
              </w:rPr>
              <w:t>Sodium intake (mg/day)</w:t>
            </w:r>
          </w:p>
        </w:tc>
        <w:tc>
          <w:tcPr>
            <w:tcW w:w="5954" w:type="dxa"/>
            <w:vMerge w:val="restart"/>
          </w:tcPr>
          <w:p w14:paraId="24A1DD04" w14:textId="348F9E57" w:rsidR="00EF3D37" w:rsidRPr="00AF7E6E" w:rsidRDefault="00EF3D37" w:rsidP="006B3AA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AF7E6E">
              <w:rPr>
                <w:b w:val="0"/>
                <w:bCs w:val="0"/>
                <w:sz w:val="20"/>
                <w:szCs w:val="20"/>
              </w:rPr>
              <w:t>Comment</w:t>
            </w:r>
          </w:p>
        </w:tc>
      </w:tr>
      <w:tr w:rsidR="00EF3D37" w:rsidRPr="00AF7E6E" w14:paraId="31EF1D91" w14:textId="5A46BEE5" w:rsidTr="0076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vMerge/>
          </w:tcPr>
          <w:p w14:paraId="1D5F6F74" w14:textId="77777777" w:rsidR="00EF3D37" w:rsidRPr="00AF7E6E" w:rsidRDefault="00EF3D37" w:rsidP="0092607C">
            <w:pPr>
              <w:rPr>
                <w:sz w:val="20"/>
                <w:szCs w:val="20"/>
              </w:rPr>
            </w:pPr>
          </w:p>
        </w:tc>
        <w:tc>
          <w:tcPr>
            <w:tcW w:w="3535" w:type="dxa"/>
            <w:vMerge/>
          </w:tcPr>
          <w:p w14:paraId="7143738E" w14:textId="77777777" w:rsidR="00EF3D37" w:rsidRPr="00AF7E6E" w:rsidRDefault="00EF3D37" w:rsidP="006B3AAA">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993" w:type="dxa"/>
            <w:shd w:val="clear" w:color="auto" w:fill="156082" w:themeFill="accent1"/>
          </w:tcPr>
          <w:p w14:paraId="43B4F430" w14:textId="61F6DFF5" w:rsidR="00EF3D37" w:rsidRPr="00AF7E6E" w:rsidRDefault="00EF3D37" w:rsidP="00751DBA">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0"/>
                <w:szCs w:val="20"/>
              </w:rPr>
            </w:pPr>
            <w:r w:rsidRPr="00AF7E6E">
              <w:rPr>
                <w:color w:val="FFFFFF" w:themeColor="background1"/>
                <w:sz w:val="20"/>
                <w:szCs w:val="20"/>
              </w:rPr>
              <w:t>Negative balance</w:t>
            </w:r>
          </w:p>
        </w:tc>
        <w:tc>
          <w:tcPr>
            <w:tcW w:w="992" w:type="dxa"/>
            <w:shd w:val="clear" w:color="auto" w:fill="156082" w:themeFill="accent1"/>
          </w:tcPr>
          <w:p w14:paraId="1008BAF8" w14:textId="7220CAE5" w:rsidR="00EF3D37" w:rsidRPr="00AF7E6E" w:rsidRDefault="00EF3D37" w:rsidP="00751DBA">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0"/>
                <w:szCs w:val="20"/>
              </w:rPr>
            </w:pPr>
            <w:r w:rsidRPr="00AF7E6E">
              <w:rPr>
                <w:color w:val="FFFFFF" w:themeColor="background1"/>
                <w:sz w:val="20"/>
                <w:szCs w:val="20"/>
              </w:rPr>
              <w:t>Neutral balance</w:t>
            </w:r>
          </w:p>
        </w:tc>
        <w:tc>
          <w:tcPr>
            <w:tcW w:w="1559" w:type="dxa"/>
            <w:shd w:val="clear" w:color="auto" w:fill="156082" w:themeFill="accent1"/>
          </w:tcPr>
          <w:p w14:paraId="39F9744A" w14:textId="1A7DE363" w:rsidR="00EF3D37" w:rsidRPr="00AF7E6E" w:rsidRDefault="00EF3D37" w:rsidP="00751DBA">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0"/>
                <w:szCs w:val="20"/>
              </w:rPr>
            </w:pPr>
            <w:r w:rsidRPr="00AF7E6E">
              <w:rPr>
                <w:color w:val="FFFFFF" w:themeColor="background1"/>
                <w:sz w:val="20"/>
                <w:szCs w:val="20"/>
              </w:rPr>
              <w:t>Positive balance</w:t>
            </w:r>
          </w:p>
        </w:tc>
        <w:tc>
          <w:tcPr>
            <w:tcW w:w="5954" w:type="dxa"/>
            <w:vMerge/>
          </w:tcPr>
          <w:p w14:paraId="7CBCD7FE" w14:textId="77777777" w:rsidR="00EF3D37" w:rsidRPr="00AF7E6E" w:rsidRDefault="00EF3D37" w:rsidP="006B3AAA">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F3D37" w:rsidRPr="00AF7E6E" w14:paraId="49F7B22A" w14:textId="77777777" w:rsidTr="00762FC4">
        <w:tc>
          <w:tcPr>
            <w:cnfStyle w:val="001000000000" w:firstRow="0" w:lastRow="0" w:firstColumn="1" w:lastColumn="0" w:oddVBand="0" w:evenVBand="0" w:oddHBand="0" w:evenHBand="0" w:firstRowFirstColumn="0" w:firstRowLastColumn="0" w:lastRowFirstColumn="0" w:lastRowLastColumn="0"/>
            <w:tcW w:w="14596" w:type="dxa"/>
            <w:gridSpan w:val="6"/>
          </w:tcPr>
          <w:p w14:paraId="7F529A2C" w14:textId="40E6D7D1" w:rsidR="00EF3D37" w:rsidRPr="00AF7E6E" w:rsidRDefault="00EF3D37" w:rsidP="00751DBA">
            <w:pPr>
              <w:rPr>
                <w:i/>
                <w:iCs/>
                <w:kern w:val="0"/>
                <w:sz w:val="20"/>
                <w:szCs w:val="20"/>
                <w14:ligatures w14:val="none"/>
              </w:rPr>
            </w:pPr>
            <w:r w:rsidRPr="00AF7E6E">
              <w:rPr>
                <w:i/>
                <w:iCs/>
                <w:sz w:val="20"/>
                <w:szCs w:val="20"/>
              </w:rPr>
              <w:t>Rigorous and complete balance studies</w:t>
            </w:r>
            <w:r w:rsidR="004C658C" w:rsidRPr="00AF7E6E">
              <w:rPr>
                <w:i/>
                <w:iCs/>
                <w:sz w:val="20"/>
                <w:szCs w:val="20"/>
              </w:rPr>
              <w:t xml:space="preserve"> </w:t>
            </w:r>
            <w:r w:rsidRPr="00AF7E6E">
              <w:rPr>
                <w:b w:val="0"/>
                <w:bCs w:val="0"/>
                <w:i/>
                <w:iCs/>
                <w:sz w:val="20"/>
                <w:szCs w:val="20"/>
                <w:vertAlign w:val="superscript"/>
              </w:rPr>
              <w:t>a</w:t>
            </w:r>
          </w:p>
        </w:tc>
      </w:tr>
      <w:tr w:rsidR="00EF3D37" w:rsidRPr="00AF7E6E" w14:paraId="153CC479" w14:textId="04079947" w:rsidTr="0076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3D4DFF9E" w14:textId="5008B3A3" w:rsidR="00EF3D37" w:rsidRPr="00AF7E6E" w:rsidRDefault="002641B9" w:rsidP="0092607C">
            <w:pPr>
              <w:rPr>
                <w:sz w:val="20"/>
                <w:szCs w:val="20"/>
              </w:rPr>
            </w:pPr>
            <w:r>
              <w:rPr>
                <w:sz w:val="20"/>
                <w:szCs w:val="20"/>
              </w:rPr>
              <w:fldChar w:fldCharType="begin"/>
            </w:r>
            <w:r>
              <w:rPr>
                <w:sz w:val="20"/>
                <w:szCs w:val="20"/>
              </w:rPr>
              <w:instrText xml:space="preserve"> ADDIN EN.CITE &lt;EndNote&gt;&lt;Cite AuthorYear="1"&gt;&lt;Author&gt;Palacios&lt;/Author&gt;&lt;Year&gt;2004&lt;/Year&gt;&lt;RecNum&gt;4649&lt;/RecNum&gt;&lt;DisplayText&gt;Palacios et al. (2004)&lt;/DisplayText&gt;&lt;record&gt;&lt;rec-number&gt;4649&lt;/rec-number&gt;&lt;foreign-keys&gt;&lt;key app="EN" db-id="wwsdv2wwp29fenerv0kx5tw9zxtx2fdrprx2" timestamp="1774936584"&gt;4649&lt;/key&gt;&lt;/foreign-keys&gt;&lt;ref-type name="Journal Article"&gt;17&lt;/ref-type&gt;&lt;contributors&gt;&lt;authors&gt;&lt;author&gt;Palacios, C.&lt;/author&gt;&lt;author&gt;Wigertz, K.&lt;/author&gt;&lt;author&gt;Martin, B. R.&lt;/author&gt;&lt;author&gt;Jackman, L.&lt;/author&gt;&lt;author&gt;Pratt, J. H.&lt;/author&gt;&lt;author&gt;Peacock, M.&lt;/author&gt;&lt;author&gt;McCabe, G.&lt;/author&gt;&lt;author&gt;Weaver, C. M.&lt;/author&gt;&lt;/authors&gt;&lt;/contributors&gt;&lt;auth-address&gt;Department of Foods and Nutrition, Purdue University, West Lafayette, Indiana 47907, USA.&lt;/auth-address&gt;&lt;titles&gt;&lt;title&gt;Sodium retention in black and white female adolescents in response to salt intake&lt;/title&gt;&lt;secondary-title&gt;J Clin Endocrinol Metab&lt;/secondary-title&gt;&lt;/titles&gt;&lt;periodical&gt;&lt;full-title&gt;J Clin Endocrinol Metab&lt;/full-title&gt;&lt;/periodical&gt;&lt;pages&gt;1858-63&lt;/pages&gt;&lt;volume&gt;89&lt;/volume&gt;&lt;number&gt;4&lt;/number&gt;&lt;keywords&gt;&lt;keyword&gt;Adolescent&lt;/keyword&gt;&lt;keyword&gt;*Black People&lt;/keyword&gt;&lt;keyword&gt;Diuresis/drug effects&lt;/keyword&gt;&lt;keyword&gt;Dose-Response Relationship, Drug&lt;/keyword&gt;&lt;keyword&gt;Energy Intake&lt;/keyword&gt;&lt;keyword&gt;Feces/chemistry&lt;/keyword&gt;&lt;keyword&gt;Female&lt;/keyword&gt;&lt;keyword&gt;Humans&lt;/keyword&gt;&lt;keyword&gt;Sodium/analysis/*pharmacokinetics&lt;/keyword&gt;&lt;keyword&gt;Sodium, Dietary/*administration &amp;amp; dosage&lt;/keyword&gt;&lt;keyword&gt;*White People&lt;/keyword&gt;&lt;/keywords&gt;&lt;dates&gt;&lt;year&gt;2004&lt;/year&gt;&lt;pub-dates&gt;&lt;date&gt;Apr&lt;/date&gt;&lt;/pub-dates&gt;&lt;/dates&gt;&lt;isbn&gt;0021-972X (Print)&amp;#xD;0021-972x&lt;/isbn&gt;&lt;accession-num&gt;15070956&lt;/accession-num&gt;&lt;urls&gt;&lt;/urls&gt;&lt;electronic-resource-num&gt;10.1210/jc.2003-031446&lt;/electronic-resource-num&gt;&lt;remote-database-provider&gt;NLM&lt;/remote-database-provider&gt;&lt;language&gt;eng&lt;/language&gt;&lt;/record&gt;&lt;/Cite&gt;&lt;/EndNote&gt;</w:instrText>
            </w:r>
            <w:r>
              <w:rPr>
                <w:sz w:val="20"/>
                <w:szCs w:val="20"/>
              </w:rPr>
              <w:fldChar w:fldCharType="separate"/>
            </w:r>
            <w:r>
              <w:rPr>
                <w:noProof/>
                <w:sz w:val="20"/>
                <w:szCs w:val="20"/>
              </w:rPr>
              <w:t>Palacios et al. (2004)</w:t>
            </w:r>
            <w:r>
              <w:rPr>
                <w:sz w:val="20"/>
                <w:szCs w:val="20"/>
              </w:rPr>
              <w:fldChar w:fldCharType="end"/>
            </w:r>
          </w:p>
        </w:tc>
        <w:tc>
          <w:tcPr>
            <w:tcW w:w="3535" w:type="dxa"/>
          </w:tcPr>
          <w:p w14:paraId="74543639" w14:textId="4E7E831E" w:rsidR="00EF3D37" w:rsidRPr="00AF7E6E" w:rsidRDefault="00EF3D37" w:rsidP="00AA644B">
            <w:pPr>
              <w:cnfStyle w:val="000000100000" w:firstRow="0" w:lastRow="0" w:firstColumn="0" w:lastColumn="0" w:oddVBand="0" w:evenVBand="0" w:oddHBand="1" w:evenHBand="0" w:firstRowFirstColumn="0" w:firstRowLastColumn="0" w:lastRowFirstColumn="0" w:lastRowLastColumn="0"/>
              <w:rPr>
                <w:sz w:val="20"/>
                <w:szCs w:val="20"/>
              </w:rPr>
            </w:pPr>
            <w:r w:rsidRPr="00AA644B">
              <w:rPr>
                <w:kern w:val="0"/>
                <w:sz w:val="20"/>
                <w:szCs w:val="20"/>
                <w14:ligatures w14:val="none"/>
              </w:rPr>
              <w:t>36 white and black</w:t>
            </w:r>
            <w:r w:rsidRPr="00AF7E6E">
              <w:rPr>
                <w:sz w:val="20"/>
                <w:szCs w:val="20"/>
              </w:rPr>
              <w:t xml:space="preserve"> </w:t>
            </w:r>
            <w:r w:rsidRPr="00AA644B">
              <w:rPr>
                <w:kern w:val="0"/>
                <w:sz w:val="20"/>
                <w:szCs w:val="20"/>
                <w14:ligatures w14:val="none"/>
              </w:rPr>
              <w:t>American adolescent</w:t>
            </w:r>
            <w:r w:rsidRPr="00AF7E6E">
              <w:rPr>
                <w:sz w:val="20"/>
                <w:szCs w:val="20"/>
              </w:rPr>
              <w:t xml:space="preserve"> </w:t>
            </w:r>
            <w:r w:rsidRPr="00AA644B">
              <w:rPr>
                <w:kern w:val="0"/>
                <w:sz w:val="20"/>
                <w:szCs w:val="20"/>
                <w14:ligatures w14:val="none"/>
              </w:rPr>
              <w:t>females, 11</w:t>
            </w:r>
            <w:r w:rsidRPr="00AA644B">
              <w:rPr>
                <w:rFonts w:hint="eastAsia"/>
                <w:kern w:val="0"/>
                <w:sz w:val="20"/>
                <w:szCs w:val="20"/>
                <w14:ligatures w14:val="none"/>
              </w:rPr>
              <w:t>–</w:t>
            </w:r>
            <w:r w:rsidRPr="00AA644B">
              <w:rPr>
                <w:kern w:val="0"/>
                <w:sz w:val="20"/>
                <w:szCs w:val="20"/>
                <w14:ligatures w14:val="none"/>
              </w:rPr>
              <w:t>15 year</w:t>
            </w:r>
            <w:r w:rsidRPr="00AF7E6E">
              <w:rPr>
                <w:sz w:val="20"/>
                <w:szCs w:val="20"/>
              </w:rPr>
              <w:t>s of age</w:t>
            </w:r>
          </w:p>
        </w:tc>
        <w:tc>
          <w:tcPr>
            <w:tcW w:w="993" w:type="dxa"/>
          </w:tcPr>
          <w:p w14:paraId="5DB12323" w14:textId="77777777" w:rsidR="00EF3D37" w:rsidRPr="00AF7E6E" w:rsidRDefault="00EF3D37"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992" w:type="dxa"/>
          </w:tcPr>
          <w:p w14:paraId="6F9DEE6C" w14:textId="77777777" w:rsidR="00EF3D37" w:rsidRPr="00AF7E6E" w:rsidRDefault="00EF3D37"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5BF6F764" w14:textId="77777777" w:rsidR="00EF3D37" w:rsidRPr="006B3AAA" w:rsidRDefault="00EF3D37" w:rsidP="00751DBA">
            <w:pPr>
              <w:jc w:val="center"/>
              <w:cnfStyle w:val="000000100000" w:firstRow="0" w:lastRow="0" w:firstColumn="0" w:lastColumn="0" w:oddVBand="0" w:evenVBand="0" w:oddHBand="1" w:evenHBand="0" w:firstRowFirstColumn="0" w:firstRowLastColumn="0" w:lastRowFirstColumn="0" w:lastRowLastColumn="0"/>
              <w:rPr>
                <w:kern w:val="0"/>
                <w:sz w:val="20"/>
                <w:szCs w:val="20"/>
                <w14:ligatures w14:val="none"/>
              </w:rPr>
            </w:pPr>
            <w:r w:rsidRPr="006B3AAA">
              <w:rPr>
                <w:kern w:val="0"/>
                <w:sz w:val="20"/>
                <w:szCs w:val="20"/>
                <w14:ligatures w14:val="none"/>
              </w:rPr>
              <w:t>1,300</w:t>
            </w:r>
          </w:p>
          <w:p w14:paraId="18D096FA" w14:textId="2C7DAC84" w:rsidR="00EF3D37" w:rsidRPr="00AF7E6E" w:rsidRDefault="00EF3D37"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6E">
              <w:rPr>
                <w:sz w:val="20"/>
                <w:szCs w:val="20"/>
              </w:rPr>
              <w:t>4,000</w:t>
            </w:r>
          </w:p>
        </w:tc>
        <w:tc>
          <w:tcPr>
            <w:tcW w:w="5954" w:type="dxa"/>
          </w:tcPr>
          <w:p w14:paraId="788A3BAE" w14:textId="77777777" w:rsidR="00EF3D37" w:rsidRPr="00AF7E6E" w:rsidRDefault="00EF3D37" w:rsidP="006B3AAA">
            <w:pPr>
              <w:cnfStyle w:val="000000100000" w:firstRow="0" w:lastRow="0" w:firstColumn="0" w:lastColumn="0" w:oddVBand="0" w:evenVBand="0" w:oddHBand="1" w:evenHBand="0" w:firstRowFirstColumn="0" w:firstRowLastColumn="0" w:lastRowFirstColumn="0" w:lastRowLastColumn="0"/>
              <w:rPr>
                <w:kern w:val="0"/>
                <w:sz w:val="20"/>
                <w:szCs w:val="20"/>
                <w14:ligatures w14:val="none"/>
              </w:rPr>
            </w:pPr>
          </w:p>
        </w:tc>
      </w:tr>
      <w:tr w:rsidR="00EF3D37" w:rsidRPr="00AF7E6E" w14:paraId="56CE4D7F" w14:textId="77777777" w:rsidTr="00762FC4">
        <w:tc>
          <w:tcPr>
            <w:cnfStyle w:val="001000000000" w:firstRow="0" w:lastRow="0" w:firstColumn="1" w:lastColumn="0" w:oddVBand="0" w:evenVBand="0" w:oddHBand="0" w:evenHBand="0" w:firstRowFirstColumn="0" w:firstRowLastColumn="0" w:lastRowFirstColumn="0" w:lastRowLastColumn="0"/>
            <w:tcW w:w="14596" w:type="dxa"/>
            <w:gridSpan w:val="6"/>
          </w:tcPr>
          <w:p w14:paraId="14F96B13" w14:textId="096F106A" w:rsidR="00EF3D37" w:rsidRPr="00AF7E6E" w:rsidRDefault="00EF3D37" w:rsidP="00751DBA">
            <w:pPr>
              <w:rPr>
                <w:b w:val="0"/>
                <w:bCs w:val="0"/>
                <w:kern w:val="0"/>
                <w:sz w:val="20"/>
                <w:szCs w:val="20"/>
                <w14:ligatures w14:val="none"/>
              </w:rPr>
            </w:pPr>
            <w:r w:rsidRPr="00AF7E6E">
              <w:rPr>
                <w:i/>
                <w:iCs/>
                <w:sz w:val="20"/>
                <w:szCs w:val="20"/>
              </w:rPr>
              <w:t xml:space="preserve">Incomplete </w:t>
            </w:r>
            <w:r w:rsidR="004C658C" w:rsidRPr="00AF7E6E">
              <w:rPr>
                <w:i/>
                <w:iCs/>
                <w:sz w:val="20"/>
                <w:szCs w:val="20"/>
              </w:rPr>
              <w:t>b</w:t>
            </w:r>
            <w:r w:rsidRPr="00AF7E6E">
              <w:rPr>
                <w:i/>
                <w:iCs/>
                <w:sz w:val="20"/>
                <w:szCs w:val="20"/>
              </w:rPr>
              <w:t xml:space="preserve">alance—Limitation on </w:t>
            </w:r>
            <w:r w:rsidR="00D25C87" w:rsidRPr="00AF7E6E">
              <w:rPr>
                <w:i/>
                <w:iCs/>
                <w:sz w:val="20"/>
                <w:szCs w:val="20"/>
              </w:rPr>
              <w:t>i</w:t>
            </w:r>
            <w:r w:rsidRPr="00AF7E6E">
              <w:rPr>
                <w:i/>
                <w:iCs/>
                <w:sz w:val="20"/>
                <w:szCs w:val="20"/>
              </w:rPr>
              <w:t xml:space="preserve">ntake </w:t>
            </w:r>
            <w:r w:rsidR="00D25C87" w:rsidRPr="00AF7E6E">
              <w:rPr>
                <w:i/>
                <w:iCs/>
                <w:sz w:val="20"/>
                <w:szCs w:val="20"/>
              </w:rPr>
              <w:t>a</w:t>
            </w:r>
            <w:r w:rsidR="004C658C" w:rsidRPr="00AF7E6E">
              <w:rPr>
                <w:i/>
                <w:iCs/>
                <w:sz w:val="20"/>
                <w:szCs w:val="20"/>
              </w:rPr>
              <w:t>ssessment</w:t>
            </w:r>
            <w:r w:rsidR="004C658C" w:rsidRPr="00AF7E6E">
              <w:rPr>
                <w:b w:val="0"/>
                <w:bCs w:val="0"/>
                <w:i/>
                <w:iCs/>
                <w:sz w:val="20"/>
                <w:szCs w:val="20"/>
              </w:rPr>
              <w:t xml:space="preserve"> </w:t>
            </w:r>
            <w:r w:rsidR="004C658C" w:rsidRPr="00AF7E6E">
              <w:rPr>
                <w:b w:val="0"/>
                <w:bCs w:val="0"/>
                <w:i/>
                <w:iCs/>
                <w:sz w:val="20"/>
                <w:szCs w:val="20"/>
                <w:vertAlign w:val="superscript"/>
              </w:rPr>
              <w:t>b</w:t>
            </w:r>
          </w:p>
        </w:tc>
      </w:tr>
      <w:tr w:rsidR="00EF3D37" w:rsidRPr="00AF7E6E" w14:paraId="4D7371BE" w14:textId="4B0EAA3D" w:rsidTr="0076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574A0CA7" w14:textId="7567BF14" w:rsidR="00EF3D37" w:rsidRPr="00AF7E6E" w:rsidRDefault="002641B9" w:rsidP="0092607C">
            <w:pPr>
              <w:rPr>
                <w:sz w:val="20"/>
                <w:szCs w:val="20"/>
              </w:rPr>
            </w:pPr>
            <w:r>
              <w:rPr>
                <w:sz w:val="20"/>
                <w:szCs w:val="20"/>
              </w:rPr>
              <w:fldChar w:fldCharType="begin"/>
            </w:r>
            <w:r>
              <w:rPr>
                <w:sz w:val="20"/>
                <w:szCs w:val="20"/>
              </w:rPr>
              <w:instrText xml:space="preserve"> ADDIN EN.CITE &lt;EndNote&gt;&lt;Cite AuthorYear="1"&gt;&lt;Author&gt;Allsopp&lt;/Author&gt;&lt;Year&gt;1998&lt;/Year&gt;&lt;RecNum&gt;4634&lt;/RecNum&gt;&lt;DisplayText&gt;Allsopp et al. (1998)&lt;/DisplayText&gt;&lt;record&gt;&lt;rec-number&gt;4634&lt;/rec-number&gt;&lt;foreign-keys&gt;&lt;key app="EN" db-id="wwsdv2wwp29fenerv0kx5tw9zxtx2fdrprx2" timestamp="1774926752"&gt;4634&lt;/key&gt;&lt;/foreign-keys&gt;&lt;ref-type name="Journal Article"&gt;17&lt;/ref-type&gt;&lt;contributors&gt;&lt;authors&gt;&lt;author&gt;Allsopp, A. J.&lt;/author&gt;&lt;author&gt;Sutherland, R.&lt;/author&gt;&lt;author&gt;Wood, P.&lt;/author&gt;&lt;author&gt;Wootton, S. A.&lt;/author&gt;&lt;/authors&gt;&lt;/contributors&gt;&lt;auth-address&gt;Institute of Naval Medicine, Gosport, Hampshire, UK.&lt;/auth-address&gt;&lt;titles&gt;&lt;title&gt;The effect of sodium balance on sweat sodium secretion and plasma aldosterone concentration&lt;/title&gt;&lt;secondary-title&gt;Eur J Appl Physiol Occup Physiol&lt;/secondary-title&gt;&lt;/titles&gt;&lt;periodical&gt;&lt;full-title&gt;Eur J Appl Physiol Occup Physiol&lt;/full-title&gt;&lt;/periodical&gt;&lt;pages&gt;516-21&lt;/pages&gt;&lt;volume&gt;78&lt;/volume&gt;&lt;number&gt;6&lt;/number&gt;&lt;keywords&gt;&lt;keyword&gt;Adaptation, Physiological/*physiology&lt;/keyword&gt;&lt;keyword&gt;Adolescent&lt;/keyword&gt;&lt;keyword&gt;Adult&lt;/keyword&gt;&lt;keyword&gt;Aldosterone/*blood&lt;/keyword&gt;&lt;keyword&gt;Hot Temperature&lt;/keyword&gt;&lt;keyword&gt;Humans&lt;/keyword&gt;&lt;keyword&gt;Male&lt;/keyword&gt;&lt;keyword&gt;Sodium, Dietary/*metabolism/pharmacokinetics&lt;/keyword&gt;&lt;keyword&gt;Sweating/drug effects/*physiology&lt;/keyword&gt;&lt;keyword&gt;Water-Electrolyte Balance/physiology&lt;/keyword&gt;&lt;keyword&gt;Weight Loss&lt;/keyword&gt;&lt;/keywords&gt;&lt;dates&gt;&lt;year&gt;1998&lt;/year&gt;&lt;pub-dates&gt;&lt;date&gt;Nov&lt;/date&gt;&lt;/pub-dates&gt;&lt;/dates&gt;&lt;isbn&gt;0301-5548 (Print)&amp;#xD;0301-5548&lt;/isbn&gt;&lt;accession-num&gt;9840406&lt;/accession-num&gt;&lt;urls&gt;&lt;/urls&gt;&lt;electronic-resource-num&gt;10.1007/s004210050454&lt;/electronic-resource-num&gt;&lt;remote-database-provider&gt;NLM&lt;/remote-database-provider&gt;&lt;language&gt;eng&lt;/language&gt;&lt;/record&gt;&lt;/Cite&gt;&lt;/EndNote&gt;</w:instrText>
            </w:r>
            <w:r>
              <w:rPr>
                <w:sz w:val="20"/>
                <w:szCs w:val="20"/>
              </w:rPr>
              <w:fldChar w:fldCharType="separate"/>
            </w:r>
            <w:r>
              <w:rPr>
                <w:noProof/>
                <w:sz w:val="20"/>
                <w:szCs w:val="20"/>
              </w:rPr>
              <w:t>Allsopp et al. (1998)</w:t>
            </w:r>
            <w:r>
              <w:rPr>
                <w:sz w:val="20"/>
                <w:szCs w:val="20"/>
              </w:rPr>
              <w:fldChar w:fldCharType="end"/>
            </w:r>
          </w:p>
        </w:tc>
        <w:tc>
          <w:tcPr>
            <w:tcW w:w="3535" w:type="dxa"/>
          </w:tcPr>
          <w:p w14:paraId="4ED4536F" w14:textId="75D4B0BA" w:rsidR="00EF3D37" w:rsidRPr="00AF7E6E" w:rsidRDefault="00EF3D37" w:rsidP="00F81B6D">
            <w:pPr>
              <w:cnfStyle w:val="000000100000" w:firstRow="0" w:lastRow="0" w:firstColumn="0" w:lastColumn="0" w:oddVBand="0" w:evenVBand="0" w:oddHBand="1" w:evenHBand="0" w:firstRowFirstColumn="0" w:firstRowLastColumn="0" w:lastRowFirstColumn="0" w:lastRowLastColumn="0"/>
              <w:rPr>
                <w:sz w:val="20"/>
                <w:szCs w:val="20"/>
              </w:rPr>
            </w:pPr>
            <w:r w:rsidRPr="00142895">
              <w:rPr>
                <w:kern w:val="0"/>
                <w:sz w:val="20"/>
                <w:szCs w:val="20"/>
                <w14:ligatures w14:val="none"/>
              </w:rPr>
              <w:t>25 British males,</w:t>
            </w:r>
            <w:r w:rsidRPr="00AF7E6E">
              <w:rPr>
                <w:sz w:val="20"/>
                <w:szCs w:val="20"/>
              </w:rPr>
              <w:t>18</w:t>
            </w:r>
            <w:r w:rsidRPr="00AF7E6E">
              <w:rPr>
                <w:rFonts w:hint="eastAsia"/>
                <w:sz w:val="20"/>
                <w:szCs w:val="20"/>
              </w:rPr>
              <w:t>–</w:t>
            </w:r>
            <w:r w:rsidRPr="00AF7E6E">
              <w:rPr>
                <w:sz w:val="20"/>
                <w:szCs w:val="20"/>
              </w:rPr>
              <w:t>40 years of age</w:t>
            </w:r>
          </w:p>
        </w:tc>
        <w:tc>
          <w:tcPr>
            <w:tcW w:w="993" w:type="dxa"/>
          </w:tcPr>
          <w:p w14:paraId="4291B153" w14:textId="77777777" w:rsidR="00EF3D37" w:rsidRPr="00AF7E6E" w:rsidRDefault="00EF3D37"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992" w:type="dxa"/>
          </w:tcPr>
          <w:p w14:paraId="6A4C9B7C" w14:textId="55CD6361" w:rsidR="00EF3D37" w:rsidRPr="00AF7E6E" w:rsidRDefault="00EF3D37"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6E">
              <w:rPr>
                <w:sz w:val="20"/>
                <w:szCs w:val="20"/>
              </w:rPr>
              <w:t>1,525</w:t>
            </w:r>
          </w:p>
        </w:tc>
        <w:tc>
          <w:tcPr>
            <w:tcW w:w="1559" w:type="dxa"/>
          </w:tcPr>
          <w:p w14:paraId="696126C0" w14:textId="436A6C6F" w:rsidR="00EF3D37" w:rsidRPr="00AF7E6E" w:rsidRDefault="00EF3D37"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6E">
              <w:rPr>
                <w:sz w:val="20"/>
                <w:szCs w:val="20"/>
              </w:rPr>
              <w:t>1,525</w:t>
            </w:r>
          </w:p>
          <w:p w14:paraId="41AD0586" w14:textId="77777777" w:rsidR="00EF3D37" w:rsidRPr="0010177F" w:rsidRDefault="00EF3D37" w:rsidP="00751DBA">
            <w:pPr>
              <w:jc w:val="center"/>
              <w:cnfStyle w:val="000000100000" w:firstRow="0" w:lastRow="0" w:firstColumn="0" w:lastColumn="0" w:oddVBand="0" w:evenVBand="0" w:oddHBand="1" w:evenHBand="0" w:firstRowFirstColumn="0" w:firstRowLastColumn="0" w:lastRowFirstColumn="0" w:lastRowLastColumn="0"/>
              <w:rPr>
                <w:kern w:val="0"/>
                <w:sz w:val="20"/>
                <w:szCs w:val="20"/>
                <w14:ligatures w14:val="none"/>
              </w:rPr>
            </w:pPr>
            <w:r w:rsidRPr="0010177F">
              <w:rPr>
                <w:kern w:val="0"/>
                <w:sz w:val="20"/>
                <w:szCs w:val="20"/>
                <w14:ligatures w14:val="none"/>
              </w:rPr>
              <w:t>4,004</w:t>
            </w:r>
          </w:p>
          <w:p w14:paraId="17F5D830" w14:textId="25B9B9AD" w:rsidR="00EF3D37" w:rsidRPr="00AF7E6E" w:rsidRDefault="00EF3D37"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6E">
              <w:rPr>
                <w:sz w:val="20"/>
                <w:szCs w:val="20"/>
              </w:rPr>
              <w:t>8,013</w:t>
            </w:r>
          </w:p>
        </w:tc>
        <w:tc>
          <w:tcPr>
            <w:tcW w:w="5954" w:type="dxa"/>
          </w:tcPr>
          <w:p w14:paraId="476152BE" w14:textId="1AB55E44" w:rsidR="00EF3D37" w:rsidRPr="00AF7E6E" w:rsidRDefault="00EF3D37" w:rsidP="0092607C">
            <w:pPr>
              <w:cnfStyle w:val="000000100000" w:firstRow="0" w:lastRow="0" w:firstColumn="0" w:lastColumn="0" w:oddVBand="0" w:evenVBand="0" w:oddHBand="1" w:evenHBand="0" w:firstRowFirstColumn="0" w:firstRowLastColumn="0" w:lastRowFirstColumn="0" w:lastRowLastColumn="0"/>
              <w:rPr>
                <w:sz w:val="20"/>
                <w:szCs w:val="20"/>
              </w:rPr>
            </w:pPr>
            <w:r w:rsidRPr="00AF7E6E">
              <w:rPr>
                <w:sz w:val="20"/>
                <w:szCs w:val="20"/>
              </w:rPr>
              <w:t xml:space="preserve">Intake of 1,525 mg/day associated with both near neutral balance under heat stress conditions (40ºC for 10hrs/day for 5 days) </w:t>
            </w:r>
            <w:r w:rsidR="004C658C" w:rsidRPr="00AF7E6E">
              <w:rPr>
                <w:sz w:val="20"/>
                <w:szCs w:val="20"/>
              </w:rPr>
              <w:t>or</w:t>
            </w:r>
            <w:r w:rsidRPr="00AF7E6E">
              <w:rPr>
                <w:sz w:val="20"/>
                <w:szCs w:val="20"/>
              </w:rPr>
              <w:t xml:space="preserve"> strong positive balance under normal conditions (25ºC for 3 days)</w:t>
            </w:r>
          </w:p>
        </w:tc>
      </w:tr>
      <w:tr w:rsidR="004C658C" w:rsidRPr="00AF7E6E" w14:paraId="6CDCEDE0" w14:textId="77777777" w:rsidTr="00762FC4">
        <w:tc>
          <w:tcPr>
            <w:cnfStyle w:val="001000000000" w:firstRow="0" w:lastRow="0" w:firstColumn="1" w:lastColumn="0" w:oddVBand="0" w:evenVBand="0" w:oddHBand="0" w:evenHBand="0" w:firstRowFirstColumn="0" w:firstRowLastColumn="0" w:lastRowFirstColumn="0" w:lastRowLastColumn="0"/>
            <w:tcW w:w="14596" w:type="dxa"/>
            <w:gridSpan w:val="6"/>
          </w:tcPr>
          <w:p w14:paraId="4F1828AA" w14:textId="2623EC52" w:rsidR="004C658C" w:rsidRPr="00AF7E6E" w:rsidRDefault="004C658C" w:rsidP="00751DBA">
            <w:pPr>
              <w:rPr>
                <w:b w:val="0"/>
                <w:bCs w:val="0"/>
                <w:kern w:val="0"/>
                <w:sz w:val="20"/>
                <w:szCs w:val="20"/>
                <w14:ligatures w14:val="none"/>
              </w:rPr>
            </w:pPr>
            <w:r w:rsidRPr="00AF7E6E">
              <w:rPr>
                <w:i/>
                <w:iCs/>
                <w:sz w:val="20"/>
                <w:szCs w:val="20"/>
              </w:rPr>
              <w:t xml:space="preserve">Incomplete </w:t>
            </w:r>
            <w:r w:rsidR="00D25C87" w:rsidRPr="00811767">
              <w:rPr>
                <w:i/>
                <w:iCs/>
                <w:sz w:val="20"/>
                <w:szCs w:val="20"/>
              </w:rPr>
              <w:t>b</w:t>
            </w:r>
            <w:r w:rsidRPr="00AF7E6E">
              <w:rPr>
                <w:i/>
                <w:iCs/>
                <w:sz w:val="20"/>
                <w:szCs w:val="20"/>
              </w:rPr>
              <w:t xml:space="preserve">alance—Limitation on </w:t>
            </w:r>
            <w:r w:rsidR="00D25C87" w:rsidRPr="00AF7E6E">
              <w:rPr>
                <w:i/>
                <w:iCs/>
                <w:sz w:val="20"/>
                <w:szCs w:val="20"/>
              </w:rPr>
              <w:t>loss a</w:t>
            </w:r>
            <w:r w:rsidRPr="00AF7E6E">
              <w:rPr>
                <w:i/>
                <w:iCs/>
                <w:sz w:val="20"/>
                <w:szCs w:val="20"/>
              </w:rPr>
              <w:t>ssessment</w:t>
            </w:r>
            <w:r w:rsidRPr="00AF7E6E">
              <w:rPr>
                <w:b w:val="0"/>
                <w:bCs w:val="0"/>
                <w:i/>
                <w:iCs/>
                <w:sz w:val="20"/>
                <w:szCs w:val="20"/>
              </w:rPr>
              <w:t xml:space="preserve"> </w:t>
            </w:r>
            <w:r w:rsidR="00D25C87" w:rsidRPr="00AF7E6E">
              <w:rPr>
                <w:b w:val="0"/>
                <w:bCs w:val="0"/>
                <w:i/>
                <w:iCs/>
                <w:sz w:val="20"/>
                <w:szCs w:val="20"/>
                <w:vertAlign w:val="superscript"/>
              </w:rPr>
              <w:t>c</w:t>
            </w:r>
          </w:p>
        </w:tc>
      </w:tr>
      <w:tr w:rsidR="004C658C" w:rsidRPr="00AF7E6E" w14:paraId="15A1A816" w14:textId="77777777" w:rsidTr="0076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55402FFF" w14:textId="1D56EF61" w:rsidR="004C658C" w:rsidRPr="00AF7E6E" w:rsidRDefault="00811767" w:rsidP="0092607C">
            <w:pPr>
              <w:rPr>
                <w:sz w:val="20"/>
                <w:szCs w:val="20"/>
              </w:rPr>
            </w:pPr>
            <w:r>
              <w:rPr>
                <w:sz w:val="20"/>
                <w:szCs w:val="20"/>
              </w:rPr>
              <w:fldChar w:fldCharType="begin"/>
            </w:r>
            <w:r>
              <w:rPr>
                <w:sz w:val="20"/>
                <w:szCs w:val="20"/>
              </w:rPr>
              <w:instrText xml:space="preserve"> ADDIN EN.CITE &lt;EndNote&gt;&lt;Cite AuthorYear="1"&gt;&lt;Author&gt;Kodama&lt;/Author&gt;&lt;Year&gt;2005&lt;/Year&gt;&lt;RecNum&gt;4654&lt;/RecNum&gt;&lt;DisplayText&gt;Kodama et al. (2005)&lt;/DisplayText&gt;&lt;record&gt;&lt;rec-number&gt;4654&lt;/rec-number&gt;&lt;foreign-keys&gt;&lt;key app="EN" db-id="wwsdv2wwp29fenerv0kx5tw9zxtx2fdrprx2" timestamp="1774942157"&gt;4654&lt;/key&gt;&lt;/foreign-keys&gt;&lt;ref-type name="Journal Article"&gt;17&lt;/ref-type&gt;&lt;contributors&gt;&lt;authors&gt;&lt;author&gt;Kodama, N.&lt;/author&gt;&lt;author&gt;Morikuni, E.&lt;/author&gt;&lt;author&gt;Matsuzaki, N.&lt;/author&gt;&lt;author&gt;Yoshioka, Y. H.&lt;/author&gt;&lt;author&gt;Takeyama, H.&lt;/author&gt;&lt;author&gt;Yamada, H.&lt;/author&gt;&lt;author&gt;Kitajima, H.&lt;/author&gt;&lt;author&gt;Nishimuta, M.&lt;/author&gt;&lt;/authors&gt;&lt;/contributors&gt;&lt;auth-address&gt;Laboratory of Mineral Nutrition, Division of Human Nutrition, The Incorporated Administrative Agency of Health and Nutrition, 1-23-1 Toyama, Shinjuku-ku, Toyo 162-8636, Japan.&lt;/auth-address&gt;&lt;titles&gt;&lt;title&gt;Sodium and potassium balances in Japanese young adults&lt;/title&gt;&lt;secondary-title&gt;J Nutr Sci Vitaminol (Tokyo)&lt;/secondary-title&gt;&lt;/titles&gt;&lt;periodical&gt;&lt;full-title&gt;J Nutr Sci Vitaminol (Tokyo)&lt;/full-title&gt;&lt;/periodical&gt;&lt;pages&gt;161-8&lt;/pages&gt;&lt;volume&gt;51&lt;/volume&gt;&lt;number&gt;3&lt;/number&gt;&lt;keywords&gt;&lt;keyword&gt;Adolescent&lt;/keyword&gt;&lt;keyword&gt;Adult&lt;/keyword&gt;&lt;keyword&gt;Female&lt;/keyword&gt;&lt;keyword&gt;Humans&lt;/keyword&gt;&lt;keyword&gt;Japan&lt;/keyword&gt;&lt;keyword&gt;Male&lt;/keyword&gt;&lt;keyword&gt;*Nutritional Requirements&lt;/keyword&gt;&lt;keyword&gt;Nutritional Status&lt;/keyword&gt;&lt;keyword&gt;Potassium/*analysis/blood/urine&lt;/keyword&gt;&lt;keyword&gt;Potassium, Dietary/administration &amp;amp; dosage&lt;/keyword&gt;&lt;keyword&gt;Sodium/*analysis/blood/urine&lt;/keyword&gt;&lt;keyword&gt;Sodium, Dietary/administration &amp;amp; dosage&lt;/keyword&gt;&lt;/keywords&gt;&lt;dates&gt;&lt;year&gt;2005&lt;/year&gt;&lt;pub-dates&gt;&lt;date&gt;Jun&lt;/date&gt;&lt;/pub-dates&gt;&lt;/dates&gt;&lt;isbn&gt;0301-4800 (Print)&amp;#xD;0301-4800&lt;/isbn&gt;&lt;accession-num&gt;16161766&lt;/accession-num&gt;&lt;urls&gt;&lt;/urls&gt;&lt;electronic-resource-num&gt;10.3177/jnsv.51.161&lt;/electronic-resource-num&gt;&lt;remote-database-provider&gt;NLM&lt;/remote-database-provider&gt;&lt;language&gt;eng&lt;/language&gt;&lt;/record&gt;&lt;/Cite&gt;&lt;/EndNote&gt;</w:instrText>
            </w:r>
            <w:r>
              <w:rPr>
                <w:sz w:val="20"/>
                <w:szCs w:val="20"/>
              </w:rPr>
              <w:fldChar w:fldCharType="separate"/>
            </w:r>
            <w:r>
              <w:rPr>
                <w:noProof/>
                <w:sz w:val="20"/>
                <w:szCs w:val="20"/>
              </w:rPr>
              <w:t>Kodama et al. (2005)</w:t>
            </w:r>
            <w:r>
              <w:rPr>
                <w:sz w:val="20"/>
                <w:szCs w:val="20"/>
              </w:rPr>
              <w:fldChar w:fldCharType="end"/>
            </w:r>
          </w:p>
        </w:tc>
        <w:tc>
          <w:tcPr>
            <w:tcW w:w="3535" w:type="dxa"/>
          </w:tcPr>
          <w:p w14:paraId="1A7E3A68" w14:textId="521FCC71" w:rsidR="004C658C" w:rsidRPr="00AF7E6E" w:rsidRDefault="0025213F" w:rsidP="0025213F">
            <w:pPr>
              <w:cnfStyle w:val="000000100000" w:firstRow="0" w:lastRow="0" w:firstColumn="0" w:lastColumn="0" w:oddVBand="0" w:evenVBand="0" w:oddHBand="1" w:evenHBand="0" w:firstRowFirstColumn="0" w:firstRowLastColumn="0" w:lastRowFirstColumn="0" w:lastRowLastColumn="0"/>
              <w:rPr>
                <w:sz w:val="20"/>
                <w:szCs w:val="20"/>
              </w:rPr>
            </w:pPr>
            <w:r w:rsidRPr="0025213F">
              <w:rPr>
                <w:kern w:val="0"/>
                <w:sz w:val="20"/>
                <w:szCs w:val="20"/>
                <w14:ligatures w14:val="none"/>
              </w:rPr>
              <w:t>109 Japanese males</w:t>
            </w:r>
            <w:r w:rsidRPr="00AF7E6E">
              <w:rPr>
                <w:sz w:val="20"/>
                <w:szCs w:val="20"/>
              </w:rPr>
              <w:t xml:space="preserve"> </w:t>
            </w:r>
            <w:r w:rsidRPr="0025213F">
              <w:rPr>
                <w:kern w:val="0"/>
                <w:sz w:val="20"/>
                <w:szCs w:val="20"/>
                <w14:ligatures w14:val="none"/>
              </w:rPr>
              <w:t>and females, 18</w:t>
            </w:r>
            <w:r w:rsidRPr="0025213F">
              <w:rPr>
                <w:rFonts w:hint="eastAsia"/>
                <w:kern w:val="0"/>
                <w:sz w:val="20"/>
                <w:szCs w:val="20"/>
                <w14:ligatures w14:val="none"/>
              </w:rPr>
              <w:t>–</w:t>
            </w:r>
            <w:r w:rsidRPr="0025213F">
              <w:rPr>
                <w:kern w:val="0"/>
                <w:sz w:val="20"/>
                <w:szCs w:val="20"/>
                <w14:ligatures w14:val="none"/>
              </w:rPr>
              <w:t>28</w:t>
            </w:r>
            <w:r w:rsidRPr="00AF7E6E">
              <w:rPr>
                <w:sz w:val="20"/>
                <w:szCs w:val="20"/>
              </w:rPr>
              <w:t xml:space="preserve"> years of age</w:t>
            </w:r>
          </w:p>
        </w:tc>
        <w:tc>
          <w:tcPr>
            <w:tcW w:w="993" w:type="dxa"/>
          </w:tcPr>
          <w:p w14:paraId="7793696A" w14:textId="7FBC0CD3" w:rsidR="004C658C" w:rsidRPr="00AF7E6E" w:rsidRDefault="009C0D8E"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6E">
              <w:rPr>
                <w:sz w:val="20"/>
                <w:szCs w:val="20"/>
              </w:rPr>
              <w:t>2,210</w:t>
            </w:r>
            <w:r w:rsidR="00E135CD">
              <w:rPr>
                <w:sz w:val="20"/>
                <w:szCs w:val="20"/>
              </w:rPr>
              <w:t xml:space="preserve"> [lowest intake]</w:t>
            </w:r>
          </w:p>
        </w:tc>
        <w:tc>
          <w:tcPr>
            <w:tcW w:w="992" w:type="dxa"/>
          </w:tcPr>
          <w:p w14:paraId="6D400C34" w14:textId="77777777" w:rsidR="004C658C" w:rsidRPr="00AF7E6E" w:rsidRDefault="004C658C"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4D211B1B" w14:textId="358B06EB" w:rsidR="004C658C" w:rsidRPr="00AF7E6E" w:rsidRDefault="009C0D8E"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6E">
              <w:rPr>
                <w:sz w:val="20"/>
                <w:szCs w:val="20"/>
              </w:rPr>
              <w:t>6,870</w:t>
            </w:r>
            <w:r w:rsidR="00E135CD">
              <w:rPr>
                <w:sz w:val="20"/>
                <w:szCs w:val="20"/>
              </w:rPr>
              <w:t xml:space="preserve"> [highest intake]</w:t>
            </w:r>
          </w:p>
        </w:tc>
        <w:tc>
          <w:tcPr>
            <w:tcW w:w="5954" w:type="dxa"/>
          </w:tcPr>
          <w:p w14:paraId="0A19AA29" w14:textId="4F4A6590" w:rsidR="004C658C" w:rsidRPr="00AF7E6E" w:rsidRDefault="00570D3B" w:rsidP="00570D3B">
            <w:pPr>
              <w:cnfStyle w:val="000000100000" w:firstRow="0" w:lastRow="0" w:firstColumn="0" w:lastColumn="0" w:oddVBand="0" w:evenVBand="0" w:oddHBand="1" w:evenHBand="0" w:firstRowFirstColumn="0" w:firstRowLastColumn="0" w:lastRowFirstColumn="0" w:lastRowLastColumn="0"/>
              <w:rPr>
                <w:sz w:val="20"/>
                <w:szCs w:val="20"/>
              </w:rPr>
            </w:pPr>
            <w:r w:rsidRPr="00AF7E6E">
              <w:rPr>
                <w:sz w:val="20"/>
                <w:szCs w:val="20"/>
              </w:rPr>
              <w:t>S</w:t>
            </w:r>
            <w:r w:rsidRPr="00AF7E6E">
              <w:rPr>
                <w:kern w:val="0"/>
                <w:sz w:val="20"/>
                <w:szCs w:val="20"/>
                <w14:ligatures w14:val="none"/>
              </w:rPr>
              <w:t>ample size</w:t>
            </w:r>
            <w:r w:rsidRPr="00AF7E6E">
              <w:rPr>
                <w:sz w:val="20"/>
                <w:szCs w:val="20"/>
              </w:rPr>
              <w:t xml:space="preserve"> represents </w:t>
            </w:r>
            <w:r w:rsidRPr="00AF7E6E">
              <w:rPr>
                <w:kern w:val="0"/>
                <w:sz w:val="20"/>
                <w:szCs w:val="20"/>
                <w14:ligatures w14:val="none"/>
              </w:rPr>
              <w:t>all participants across a series of 11 balance studies</w:t>
            </w:r>
            <w:r w:rsidR="00B24EBB">
              <w:rPr>
                <w:kern w:val="0"/>
                <w:sz w:val="20"/>
                <w:szCs w:val="20"/>
                <w14:ligatures w14:val="none"/>
              </w:rPr>
              <w:t xml:space="preserve"> conducted over a 14 year period</w:t>
            </w:r>
            <w:r w:rsidRPr="00AF7E6E">
              <w:rPr>
                <w:kern w:val="0"/>
                <w:sz w:val="20"/>
                <w:szCs w:val="20"/>
                <w14:ligatures w14:val="none"/>
              </w:rPr>
              <w:t>. Across the 11 balance</w:t>
            </w:r>
            <w:r w:rsidRPr="00AF7E6E">
              <w:rPr>
                <w:sz w:val="20"/>
                <w:szCs w:val="20"/>
              </w:rPr>
              <w:t xml:space="preserve"> </w:t>
            </w:r>
            <w:r w:rsidRPr="00570D3B">
              <w:rPr>
                <w:kern w:val="0"/>
                <w:sz w:val="20"/>
                <w:szCs w:val="20"/>
                <w14:ligatures w14:val="none"/>
              </w:rPr>
              <w:t xml:space="preserve">studies, participants consumed different levels of sodium; </w:t>
            </w:r>
            <w:r w:rsidRPr="00AF7E6E">
              <w:rPr>
                <w:sz w:val="20"/>
                <w:szCs w:val="20"/>
              </w:rPr>
              <w:t xml:space="preserve">the </w:t>
            </w:r>
            <w:r w:rsidRPr="00570D3B">
              <w:rPr>
                <w:kern w:val="0"/>
                <w:sz w:val="20"/>
                <w:szCs w:val="20"/>
                <w14:ligatures w14:val="none"/>
              </w:rPr>
              <w:t>sample size in any given balance</w:t>
            </w:r>
            <w:r w:rsidRPr="00AF7E6E">
              <w:rPr>
                <w:sz w:val="20"/>
                <w:szCs w:val="20"/>
              </w:rPr>
              <w:t xml:space="preserve"> study is limited.</w:t>
            </w:r>
          </w:p>
        </w:tc>
      </w:tr>
      <w:tr w:rsidR="004C658C" w:rsidRPr="00AF7E6E" w14:paraId="400E2506" w14:textId="77777777" w:rsidTr="00762FC4">
        <w:tc>
          <w:tcPr>
            <w:cnfStyle w:val="001000000000" w:firstRow="0" w:lastRow="0" w:firstColumn="1" w:lastColumn="0" w:oddVBand="0" w:evenVBand="0" w:oddHBand="0" w:evenHBand="0" w:firstRowFirstColumn="0" w:firstRowLastColumn="0" w:lastRowFirstColumn="0" w:lastRowLastColumn="0"/>
            <w:tcW w:w="1563" w:type="dxa"/>
          </w:tcPr>
          <w:p w14:paraId="76EA901E" w14:textId="527F75D9" w:rsidR="004C658C" w:rsidRPr="00AF7E6E" w:rsidRDefault="00A119CA" w:rsidP="009C0D8E">
            <w:pPr>
              <w:rPr>
                <w:sz w:val="20"/>
                <w:szCs w:val="20"/>
              </w:rPr>
            </w:pPr>
            <w:r>
              <w:rPr>
                <w:sz w:val="20"/>
                <w:szCs w:val="20"/>
              </w:rPr>
              <w:fldChar w:fldCharType="begin"/>
            </w:r>
            <w:r>
              <w:rPr>
                <w:sz w:val="20"/>
                <w:szCs w:val="20"/>
              </w:rPr>
              <w:instrText xml:space="preserve"> ADDIN EN.CITE &lt;EndNote&gt;&lt;Cite AuthorYear="1"&gt;&lt;Author&gt;Consolazio&lt;/Author&gt;&lt;Year&gt;1963&lt;/Year&gt;&lt;RecNum&gt;4655&lt;/RecNum&gt;&lt;DisplayText&gt;Consolazio et al. (1963)&lt;/DisplayText&gt;&lt;record&gt;&lt;rec-number&gt;4655&lt;/rec-number&gt;&lt;foreign-keys&gt;&lt;key app="EN" db-id="wwsdv2wwp29fenerv0kx5tw9zxtx2fdrprx2" timestamp="1774942430"&gt;4655&lt;/key&gt;&lt;/foreign-keys&gt;&lt;ref-type name="Journal Article"&gt;17&lt;/ref-type&gt;&lt;contributors&gt;&lt;authors&gt;&lt;author&gt;Consolazio, C. Frank&lt;/author&gt;&lt;author&gt;Matoush, LeRoy O.&lt;/author&gt;&lt;author&gt;Nelson, Richard A.&lt;/author&gt;&lt;author&gt;Harding, Richard S.&lt;/author&gt;&lt;author&gt;Canham, John E.&lt;/author&gt;&lt;/authors&gt;&lt;/contributors&gt;&lt;titles&gt;&lt;title&gt;Excretion of Sodium, Potassium, Magnesium and Iron in Human Sweat and the Relation of Each to Balance and Requirements&lt;/title&gt;&lt;secondary-title&gt;The Journal of Nutrition&lt;/secondary-title&gt;&lt;/titles&gt;&lt;periodical&gt;&lt;full-title&gt;The Journal of nutrition&lt;/full-title&gt;&lt;/periodical&gt;&lt;pages&gt;407-415&lt;/pages&gt;&lt;volume&gt;79&lt;/volume&gt;&lt;number&gt;4&lt;/number&gt;&lt;dates&gt;&lt;year&gt;1963&lt;/year&gt;&lt;pub-dates&gt;&lt;date&gt;1963/04/01/&lt;/date&gt;&lt;/pub-dates&gt;&lt;/dates&gt;&lt;isbn&gt;0022-3166&lt;/isbn&gt;&lt;urls&gt;&lt;related-urls&gt;&lt;url&gt;https://www.sciencedirect.com/science/article/pii/S0022316623141836&lt;/url&gt;&lt;/related-urls&gt;&lt;/urls&gt;&lt;electronic-resource-num&gt;https://doi.org/10.1093/jn/79.4.407&lt;/electronic-resource-num&gt;&lt;/record&gt;&lt;/Cite&gt;&lt;/EndNote&gt;</w:instrText>
            </w:r>
            <w:r>
              <w:rPr>
                <w:sz w:val="20"/>
                <w:szCs w:val="20"/>
              </w:rPr>
              <w:fldChar w:fldCharType="separate"/>
            </w:r>
            <w:r>
              <w:rPr>
                <w:noProof/>
                <w:sz w:val="20"/>
                <w:szCs w:val="20"/>
              </w:rPr>
              <w:t>Consolazio et al. (1963)</w:t>
            </w:r>
            <w:r>
              <w:rPr>
                <w:sz w:val="20"/>
                <w:szCs w:val="20"/>
              </w:rPr>
              <w:fldChar w:fldCharType="end"/>
            </w:r>
          </w:p>
        </w:tc>
        <w:tc>
          <w:tcPr>
            <w:tcW w:w="3535" w:type="dxa"/>
          </w:tcPr>
          <w:p w14:paraId="1FA7D5D9" w14:textId="2A6801A8" w:rsidR="004C658C" w:rsidRPr="00AF7E6E" w:rsidRDefault="009C0D8E" w:rsidP="009C0D8E">
            <w:pPr>
              <w:cnfStyle w:val="000000000000" w:firstRow="0" w:lastRow="0" w:firstColumn="0" w:lastColumn="0" w:oddVBand="0" w:evenVBand="0" w:oddHBand="0" w:evenHBand="0" w:firstRowFirstColumn="0" w:firstRowLastColumn="0" w:lastRowFirstColumn="0" w:lastRowLastColumn="0"/>
              <w:rPr>
                <w:sz w:val="20"/>
                <w:szCs w:val="20"/>
              </w:rPr>
            </w:pPr>
            <w:r w:rsidRPr="009C0D8E">
              <w:rPr>
                <w:kern w:val="0"/>
                <w:sz w:val="20"/>
                <w:szCs w:val="20"/>
                <w14:ligatures w14:val="none"/>
              </w:rPr>
              <w:t>3 healthy, young</w:t>
            </w:r>
            <w:r w:rsidRPr="00AF7E6E">
              <w:rPr>
                <w:sz w:val="20"/>
                <w:szCs w:val="20"/>
              </w:rPr>
              <w:t xml:space="preserve"> </w:t>
            </w:r>
            <w:r w:rsidRPr="009C0D8E">
              <w:rPr>
                <w:kern w:val="0"/>
                <w:sz w:val="20"/>
                <w:szCs w:val="20"/>
                <w14:ligatures w14:val="none"/>
              </w:rPr>
              <w:t>American adult males,</w:t>
            </w:r>
            <w:r w:rsidRPr="00AF7E6E">
              <w:rPr>
                <w:sz w:val="20"/>
                <w:szCs w:val="20"/>
              </w:rPr>
              <w:t xml:space="preserve"> ages not reported</w:t>
            </w:r>
          </w:p>
        </w:tc>
        <w:tc>
          <w:tcPr>
            <w:tcW w:w="993" w:type="dxa"/>
          </w:tcPr>
          <w:p w14:paraId="04C39E8F" w14:textId="77777777" w:rsidR="004C658C" w:rsidRPr="00AF7E6E" w:rsidRDefault="004C658C" w:rsidP="00751DB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992" w:type="dxa"/>
          </w:tcPr>
          <w:p w14:paraId="5FA67451" w14:textId="77777777" w:rsidR="004C658C" w:rsidRPr="00AF7E6E" w:rsidRDefault="004C658C" w:rsidP="00751DB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Pr>
          <w:p w14:paraId="5E48EDF6" w14:textId="77777777" w:rsidR="00683621" w:rsidRPr="00683621" w:rsidRDefault="00683621" w:rsidP="00751DBA">
            <w:pPr>
              <w:jc w:val="center"/>
              <w:cnfStyle w:val="000000000000" w:firstRow="0" w:lastRow="0" w:firstColumn="0" w:lastColumn="0" w:oddVBand="0" w:evenVBand="0" w:oddHBand="0" w:evenHBand="0" w:firstRowFirstColumn="0" w:firstRowLastColumn="0" w:lastRowFirstColumn="0" w:lastRowLastColumn="0"/>
              <w:rPr>
                <w:kern w:val="0"/>
                <w:sz w:val="20"/>
                <w:szCs w:val="20"/>
                <w14:ligatures w14:val="none"/>
              </w:rPr>
            </w:pPr>
            <w:r w:rsidRPr="00683621">
              <w:rPr>
                <w:kern w:val="0"/>
                <w:sz w:val="20"/>
                <w:szCs w:val="20"/>
                <w14:ligatures w14:val="none"/>
              </w:rPr>
              <w:t>8,729</w:t>
            </w:r>
          </w:p>
          <w:p w14:paraId="0FC93340" w14:textId="2EDDCD36" w:rsidR="004C658C" w:rsidRPr="00AF7E6E" w:rsidRDefault="00683621" w:rsidP="00751DBA">
            <w:pPr>
              <w:jc w:val="center"/>
              <w:cnfStyle w:val="000000000000" w:firstRow="0" w:lastRow="0" w:firstColumn="0" w:lastColumn="0" w:oddVBand="0" w:evenVBand="0" w:oddHBand="0" w:evenHBand="0" w:firstRowFirstColumn="0" w:firstRowLastColumn="0" w:lastRowFirstColumn="0" w:lastRowLastColumn="0"/>
              <w:rPr>
                <w:sz w:val="20"/>
                <w:szCs w:val="20"/>
              </w:rPr>
            </w:pPr>
            <w:r w:rsidRPr="00AF7E6E">
              <w:rPr>
                <w:sz w:val="20"/>
                <w:szCs w:val="20"/>
              </w:rPr>
              <w:t>10,229</w:t>
            </w:r>
          </w:p>
        </w:tc>
        <w:tc>
          <w:tcPr>
            <w:tcW w:w="5954" w:type="dxa"/>
          </w:tcPr>
          <w:p w14:paraId="34BFE056" w14:textId="77777777" w:rsidR="004C658C" w:rsidRPr="00AF7E6E" w:rsidRDefault="004C658C" w:rsidP="0092607C">
            <w:pPr>
              <w:cnfStyle w:val="000000000000" w:firstRow="0" w:lastRow="0" w:firstColumn="0" w:lastColumn="0" w:oddVBand="0" w:evenVBand="0" w:oddHBand="0" w:evenHBand="0" w:firstRowFirstColumn="0" w:firstRowLastColumn="0" w:lastRowFirstColumn="0" w:lastRowLastColumn="0"/>
              <w:rPr>
                <w:sz w:val="20"/>
                <w:szCs w:val="20"/>
              </w:rPr>
            </w:pPr>
          </w:p>
        </w:tc>
      </w:tr>
      <w:tr w:rsidR="004C658C" w:rsidRPr="00AF7E6E" w14:paraId="739CC584" w14:textId="77777777" w:rsidTr="0076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54710F59" w14:textId="14C1606C" w:rsidR="004C658C" w:rsidRPr="00AF7E6E" w:rsidRDefault="00A119CA" w:rsidP="0092607C">
            <w:pPr>
              <w:rPr>
                <w:sz w:val="20"/>
                <w:szCs w:val="20"/>
              </w:rPr>
            </w:pPr>
            <w:r>
              <w:rPr>
                <w:sz w:val="20"/>
                <w:szCs w:val="20"/>
              </w:rPr>
              <w:fldChar w:fldCharType="begin"/>
            </w:r>
            <w:r>
              <w:rPr>
                <w:sz w:val="20"/>
                <w:szCs w:val="20"/>
              </w:rPr>
              <w:instrText xml:space="preserve"> ADDIN EN.CITE &lt;EndNote&gt;&lt;Cite&gt;&lt;Author&gt;Holbrook&lt;/Author&gt;&lt;Year&gt;1984&lt;/Year&gt;&lt;RecNum&gt;4653&lt;/RecNum&gt;&lt;DisplayText&gt;(Holbrook et al., 1984)&lt;/DisplayText&gt;&lt;record&gt;&lt;rec-number&gt;4653&lt;/rec-number&gt;&lt;foreign-keys&gt;&lt;key app="EN" db-id="wwsdv2wwp29fenerv0kx5tw9zxtx2fdrprx2" timestamp="1774941573"&gt;4653&lt;/key&gt;&lt;/foreign-keys&gt;&lt;ref-type name="Journal Article"&gt;17&lt;/ref-type&gt;&lt;contributors&gt;&lt;authors&gt;&lt;author&gt;Holbrook, J. T.&lt;/author&gt;&lt;author&gt;Patterson, K. Y.&lt;/author&gt;&lt;author&gt;Bodner, J. E.&lt;/author&gt;&lt;author&gt;Douglas, L. W.&lt;/author&gt;&lt;author&gt;Veillon, C.&lt;/author&gt;&lt;author&gt;Kelsay, J. L.&lt;/author&gt;&lt;author&gt;Mertz, W.&lt;/author&gt;&lt;author&gt;Smith, J. C., Jr.&lt;/author&gt;&lt;/authors&gt;&lt;/contributors&gt;&lt;titles&gt;&lt;title&gt;Sodium and potassium intake and balance in adults consuming self-selected diets&lt;/title&gt;&lt;secondary-title&gt;Am J Clin Nutr&lt;/secondary-title&gt;&lt;/titles&gt;&lt;periodical&gt;&lt;full-title&gt;Am J Clin Nutr&lt;/full-title&gt;&lt;/periodical&gt;&lt;pages&gt;786-93&lt;/pages&gt;&lt;volume&gt;40&lt;/volume&gt;&lt;number&gt;4&lt;/number&gt;&lt;keywords&gt;&lt;keyword&gt;Adult&lt;/keyword&gt;&lt;keyword&gt;*Diet&lt;/keyword&gt;&lt;keyword&gt;Energy Intake&lt;/keyword&gt;&lt;keyword&gt;Feces/analysis&lt;/keyword&gt;&lt;keyword&gt;Female&lt;/keyword&gt;&lt;keyword&gt;Humans&lt;/keyword&gt;&lt;keyword&gt;Male&lt;/keyword&gt;&lt;keyword&gt;Middle Aged&lt;/keyword&gt;&lt;keyword&gt;Potassium/*administration &amp;amp; dosage/metabolism/urine&lt;/keyword&gt;&lt;keyword&gt;Sodium/*administration &amp;amp; dosage/metabolism/urine&lt;/keyword&gt;&lt;keyword&gt;*Water-Electrolyte Balance&lt;/keyword&gt;&lt;/keywords&gt;&lt;dates&gt;&lt;year&gt;1984&lt;/year&gt;&lt;pub-dates&gt;&lt;date&gt;Oct&lt;/date&gt;&lt;/pub-dates&gt;&lt;/dates&gt;&lt;isbn&gt;0002-9165 (Print)&amp;#xD;0002-9165&lt;/isbn&gt;&lt;accession-num&gt;6486085&lt;/accession-num&gt;&lt;urls&gt;&lt;/urls&gt;&lt;electronic-resource-num&gt;10.1093/ajcn/40.4.786&lt;/electronic-resource-num&gt;&lt;remote-database-provider&gt;NLM&lt;/remote-database-provider&gt;&lt;language&gt;eng&lt;/language&gt;&lt;/record&gt;&lt;/Cite&gt;&lt;/EndNote&gt;</w:instrText>
            </w:r>
            <w:r>
              <w:rPr>
                <w:sz w:val="20"/>
                <w:szCs w:val="20"/>
              </w:rPr>
              <w:fldChar w:fldCharType="separate"/>
            </w:r>
            <w:r>
              <w:rPr>
                <w:noProof/>
                <w:sz w:val="20"/>
                <w:szCs w:val="20"/>
              </w:rPr>
              <w:t>(Holbrook et al., 1984)</w:t>
            </w:r>
            <w:r>
              <w:rPr>
                <w:sz w:val="20"/>
                <w:szCs w:val="20"/>
              </w:rPr>
              <w:fldChar w:fldCharType="end"/>
            </w:r>
          </w:p>
        </w:tc>
        <w:tc>
          <w:tcPr>
            <w:tcW w:w="3535" w:type="dxa"/>
          </w:tcPr>
          <w:p w14:paraId="1066B156" w14:textId="3D6143F4" w:rsidR="004C658C" w:rsidRPr="00AF7E6E" w:rsidRDefault="00683621" w:rsidP="00683621">
            <w:pPr>
              <w:cnfStyle w:val="000000100000" w:firstRow="0" w:lastRow="0" w:firstColumn="0" w:lastColumn="0" w:oddVBand="0" w:evenVBand="0" w:oddHBand="1" w:evenHBand="0" w:firstRowFirstColumn="0" w:firstRowLastColumn="0" w:lastRowFirstColumn="0" w:lastRowLastColumn="0"/>
              <w:rPr>
                <w:sz w:val="20"/>
                <w:szCs w:val="20"/>
              </w:rPr>
            </w:pPr>
            <w:r w:rsidRPr="00683621">
              <w:rPr>
                <w:kern w:val="0"/>
                <w:sz w:val="20"/>
                <w:szCs w:val="20"/>
                <w14:ligatures w14:val="none"/>
              </w:rPr>
              <w:t>12 healthy American</w:t>
            </w:r>
            <w:r w:rsidRPr="00AF7E6E">
              <w:rPr>
                <w:sz w:val="20"/>
                <w:szCs w:val="20"/>
              </w:rPr>
              <w:t xml:space="preserve"> </w:t>
            </w:r>
            <w:r w:rsidRPr="00683621">
              <w:rPr>
                <w:kern w:val="0"/>
                <w:sz w:val="20"/>
                <w:szCs w:val="20"/>
                <w14:ligatures w14:val="none"/>
              </w:rPr>
              <w:t>adult males</w:t>
            </w:r>
            <w:r w:rsidR="0085536C">
              <w:rPr>
                <w:kern w:val="0"/>
                <w:sz w:val="20"/>
                <w:szCs w:val="20"/>
                <w14:ligatures w14:val="none"/>
              </w:rPr>
              <w:t xml:space="preserve"> (M)</w:t>
            </w:r>
            <w:r w:rsidRPr="00683621">
              <w:rPr>
                <w:kern w:val="0"/>
                <w:sz w:val="20"/>
                <w:szCs w:val="20"/>
                <w14:ligatures w14:val="none"/>
              </w:rPr>
              <w:t xml:space="preserve"> and 16</w:t>
            </w:r>
            <w:r w:rsidRPr="00AF7E6E">
              <w:rPr>
                <w:sz w:val="20"/>
                <w:szCs w:val="20"/>
              </w:rPr>
              <w:t xml:space="preserve"> </w:t>
            </w:r>
            <w:r w:rsidRPr="00683621">
              <w:rPr>
                <w:kern w:val="0"/>
                <w:sz w:val="20"/>
                <w:szCs w:val="20"/>
                <w14:ligatures w14:val="none"/>
              </w:rPr>
              <w:t>healthy American</w:t>
            </w:r>
            <w:r w:rsidRPr="00AF7E6E">
              <w:rPr>
                <w:sz w:val="20"/>
                <w:szCs w:val="20"/>
              </w:rPr>
              <w:t xml:space="preserve"> </w:t>
            </w:r>
            <w:r w:rsidRPr="00683621">
              <w:rPr>
                <w:kern w:val="0"/>
                <w:sz w:val="20"/>
                <w:szCs w:val="20"/>
                <w14:ligatures w14:val="none"/>
              </w:rPr>
              <w:t>females</w:t>
            </w:r>
            <w:r w:rsidR="0085536C">
              <w:rPr>
                <w:kern w:val="0"/>
                <w:sz w:val="20"/>
                <w:szCs w:val="20"/>
                <w14:ligatures w14:val="none"/>
              </w:rPr>
              <w:t xml:space="preserve"> (F)</w:t>
            </w:r>
            <w:r w:rsidRPr="00683621">
              <w:rPr>
                <w:kern w:val="0"/>
                <w:sz w:val="20"/>
                <w:szCs w:val="20"/>
                <w14:ligatures w14:val="none"/>
              </w:rPr>
              <w:t>, 20</w:t>
            </w:r>
            <w:r w:rsidRPr="00683621">
              <w:rPr>
                <w:rFonts w:hint="eastAsia"/>
                <w:kern w:val="0"/>
                <w:sz w:val="20"/>
                <w:szCs w:val="20"/>
                <w14:ligatures w14:val="none"/>
              </w:rPr>
              <w:t>–</w:t>
            </w:r>
            <w:r w:rsidRPr="00683621">
              <w:rPr>
                <w:kern w:val="0"/>
                <w:sz w:val="20"/>
                <w:szCs w:val="20"/>
                <w14:ligatures w14:val="none"/>
              </w:rPr>
              <w:t>53 years</w:t>
            </w:r>
            <w:r w:rsidRPr="00AF7E6E">
              <w:rPr>
                <w:sz w:val="20"/>
                <w:szCs w:val="20"/>
              </w:rPr>
              <w:t xml:space="preserve"> of age</w:t>
            </w:r>
          </w:p>
        </w:tc>
        <w:tc>
          <w:tcPr>
            <w:tcW w:w="993" w:type="dxa"/>
          </w:tcPr>
          <w:p w14:paraId="4EADE837" w14:textId="77777777" w:rsidR="004C658C" w:rsidRPr="00AF7E6E" w:rsidRDefault="004C658C"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992" w:type="dxa"/>
          </w:tcPr>
          <w:p w14:paraId="00B253C3" w14:textId="77777777" w:rsidR="004C658C" w:rsidRPr="00AF7E6E" w:rsidRDefault="004C658C"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74954B63" w14:textId="1FBCC606" w:rsidR="00683621" w:rsidRPr="00AF7E6E" w:rsidRDefault="00683621"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r w:rsidRPr="00683621">
              <w:rPr>
                <w:kern w:val="0"/>
                <w:sz w:val="20"/>
                <w:szCs w:val="20"/>
                <w14:ligatures w14:val="none"/>
              </w:rPr>
              <w:t>4,200 (</w:t>
            </w:r>
            <w:r w:rsidR="0085536C">
              <w:rPr>
                <w:kern w:val="0"/>
                <w:sz w:val="20"/>
                <w:szCs w:val="20"/>
                <w14:ligatures w14:val="none"/>
              </w:rPr>
              <w:t>M</w:t>
            </w:r>
            <w:r w:rsidRPr="00683621">
              <w:rPr>
                <w:kern w:val="0"/>
                <w:sz w:val="20"/>
                <w:szCs w:val="20"/>
                <w14:ligatures w14:val="none"/>
              </w:rPr>
              <w:t>)</w:t>
            </w:r>
          </w:p>
          <w:p w14:paraId="544401C8" w14:textId="05F1EBA2" w:rsidR="004C658C" w:rsidRPr="00AF7E6E" w:rsidRDefault="00683621" w:rsidP="0085536C">
            <w:pPr>
              <w:jc w:val="center"/>
              <w:cnfStyle w:val="000000100000" w:firstRow="0" w:lastRow="0" w:firstColumn="0" w:lastColumn="0" w:oddVBand="0" w:evenVBand="0" w:oddHBand="1" w:evenHBand="0" w:firstRowFirstColumn="0" w:firstRowLastColumn="0" w:lastRowFirstColumn="0" w:lastRowLastColumn="0"/>
              <w:rPr>
                <w:sz w:val="20"/>
                <w:szCs w:val="20"/>
              </w:rPr>
            </w:pPr>
            <w:r w:rsidRPr="00683621">
              <w:rPr>
                <w:kern w:val="0"/>
                <w:sz w:val="20"/>
                <w:szCs w:val="20"/>
                <w14:ligatures w14:val="none"/>
              </w:rPr>
              <w:t>2,700</w:t>
            </w:r>
            <w:r w:rsidR="0085536C">
              <w:rPr>
                <w:kern w:val="0"/>
                <w:sz w:val="20"/>
                <w:szCs w:val="20"/>
                <w14:ligatures w14:val="none"/>
              </w:rPr>
              <w:t xml:space="preserve"> </w:t>
            </w:r>
            <w:r w:rsidRPr="00AF7E6E">
              <w:rPr>
                <w:sz w:val="20"/>
                <w:szCs w:val="20"/>
              </w:rPr>
              <w:t>(</w:t>
            </w:r>
            <w:r w:rsidR="0085536C">
              <w:rPr>
                <w:sz w:val="20"/>
                <w:szCs w:val="20"/>
              </w:rPr>
              <w:t>F</w:t>
            </w:r>
            <w:r w:rsidRPr="00AF7E6E">
              <w:rPr>
                <w:sz w:val="20"/>
                <w:szCs w:val="20"/>
              </w:rPr>
              <w:t>)</w:t>
            </w:r>
          </w:p>
        </w:tc>
        <w:tc>
          <w:tcPr>
            <w:tcW w:w="5954" w:type="dxa"/>
          </w:tcPr>
          <w:p w14:paraId="6F3A8BFD" w14:textId="681B123D" w:rsidR="008039FE" w:rsidRPr="008039FE" w:rsidRDefault="008039FE" w:rsidP="008039FE">
            <w:pPr>
              <w:cnfStyle w:val="000000100000" w:firstRow="0" w:lastRow="0" w:firstColumn="0" w:lastColumn="0" w:oddVBand="0" w:evenVBand="0" w:oddHBand="1" w:evenHBand="0" w:firstRowFirstColumn="0" w:firstRowLastColumn="0" w:lastRowFirstColumn="0" w:lastRowLastColumn="0"/>
              <w:rPr>
                <w:kern w:val="0"/>
                <w:sz w:val="20"/>
                <w:szCs w:val="20"/>
                <w14:ligatures w14:val="none"/>
              </w:rPr>
            </w:pPr>
            <w:r w:rsidRPr="008039FE">
              <w:rPr>
                <w:kern w:val="0"/>
                <w:sz w:val="20"/>
                <w:szCs w:val="20"/>
                <w14:ligatures w14:val="none"/>
              </w:rPr>
              <w:t>Average sodium intake based on analysis of 1 we</w:t>
            </w:r>
            <w:r w:rsidRPr="00AF7E6E">
              <w:rPr>
                <w:sz w:val="20"/>
                <w:szCs w:val="20"/>
              </w:rPr>
              <w:t>eks</w:t>
            </w:r>
            <w:r w:rsidR="002D7408" w:rsidRPr="00AF7E6E">
              <w:rPr>
                <w:sz w:val="20"/>
                <w:szCs w:val="20"/>
              </w:rPr>
              <w:t>’</w:t>
            </w:r>
            <w:r w:rsidRPr="008039FE">
              <w:rPr>
                <w:kern w:val="0"/>
                <w:sz w:val="20"/>
                <w:szCs w:val="20"/>
                <w14:ligatures w14:val="none"/>
              </w:rPr>
              <w:t xml:space="preserve"> worth</w:t>
            </w:r>
          </w:p>
          <w:p w14:paraId="50053A5C" w14:textId="1D9AD1CC" w:rsidR="004C658C" w:rsidRPr="00AF7E6E" w:rsidRDefault="008039FE" w:rsidP="008039FE">
            <w:pPr>
              <w:cnfStyle w:val="000000100000" w:firstRow="0" w:lastRow="0" w:firstColumn="0" w:lastColumn="0" w:oddVBand="0" w:evenVBand="0" w:oddHBand="1" w:evenHBand="0" w:firstRowFirstColumn="0" w:firstRowLastColumn="0" w:lastRowFirstColumn="0" w:lastRowLastColumn="0"/>
              <w:rPr>
                <w:sz w:val="20"/>
                <w:szCs w:val="20"/>
              </w:rPr>
            </w:pPr>
            <w:r w:rsidRPr="008039FE">
              <w:rPr>
                <w:kern w:val="0"/>
                <w:sz w:val="20"/>
                <w:szCs w:val="20"/>
                <w14:ligatures w14:val="none"/>
              </w:rPr>
              <w:t>of food and beverage samples collected four times over the course of 1 year</w:t>
            </w:r>
            <w:r w:rsidR="002D7408" w:rsidRPr="00AF7E6E">
              <w:rPr>
                <w:sz w:val="20"/>
                <w:szCs w:val="20"/>
              </w:rPr>
              <w:t>.</w:t>
            </w:r>
          </w:p>
        </w:tc>
      </w:tr>
      <w:tr w:rsidR="002D7408" w:rsidRPr="00AF7E6E" w14:paraId="3197349E" w14:textId="77777777" w:rsidTr="00762FC4">
        <w:tc>
          <w:tcPr>
            <w:cnfStyle w:val="001000000000" w:firstRow="0" w:lastRow="0" w:firstColumn="1" w:lastColumn="0" w:oddVBand="0" w:evenVBand="0" w:oddHBand="0" w:evenHBand="0" w:firstRowFirstColumn="0" w:firstRowLastColumn="0" w:lastRowFirstColumn="0" w:lastRowLastColumn="0"/>
            <w:tcW w:w="14596" w:type="dxa"/>
            <w:gridSpan w:val="6"/>
          </w:tcPr>
          <w:p w14:paraId="7C57063C" w14:textId="7E720EEF" w:rsidR="002D7408" w:rsidRPr="00AF7E6E" w:rsidRDefault="00E367DD" w:rsidP="00751DBA">
            <w:pPr>
              <w:rPr>
                <w:sz w:val="20"/>
                <w:szCs w:val="20"/>
              </w:rPr>
            </w:pPr>
            <w:r w:rsidRPr="00AF7E6E">
              <w:rPr>
                <w:i/>
                <w:iCs/>
                <w:sz w:val="20"/>
                <w:szCs w:val="20"/>
              </w:rPr>
              <w:t xml:space="preserve">Incomplete </w:t>
            </w:r>
            <w:r w:rsidRPr="00A119CA">
              <w:rPr>
                <w:i/>
                <w:iCs/>
                <w:sz w:val="20"/>
                <w:szCs w:val="20"/>
              </w:rPr>
              <w:t>b</w:t>
            </w:r>
            <w:r w:rsidRPr="00AF7E6E">
              <w:rPr>
                <w:i/>
                <w:iCs/>
                <w:sz w:val="20"/>
                <w:szCs w:val="20"/>
              </w:rPr>
              <w:t>alance—Limitation on both intake assessment and loss assessment</w:t>
            </w:r>
            <w:r w:rsidRPr="00AF7E6E">
              <w:rPr>
                <w:b w:val="0"/>
                <w:bCs w:val="0"/>
                <w:i/>
                <w:iCs/>
                <w:sz w:val="20"/>
                <w:szCs w:val="20"/>
              </w:rPr>
              <w:t xml:space="preserve"> </w:t>
            </w:r>
            <w:r w:rsidRPr="00AF7E6E">
              <w:rPr>
                <w:b w:val="0"/>
                <w:bCs w:val="0"/>
                <w:i/>
                <w:iCs/>
                <w:sz w:val="20"/>
                <w:szCs w:val="20"/>
                <w:vertAlign w:val="superscript"/>
              </w:rPr>
              <w:t>d</w:t>
            </w:r>
          </w:p>
        </w:tc>
      </w:tr>
      <w:tr w:rsidR="004C658C" w:rsidRPr="00AF7E6E" w14:paraId="54CDC7F6" w14:textId="77777777" w:rsidTr="0076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12877E7" w14:textId="5EFA5814" w:rsidR="004C658C" w:rsidRPr="00AF7E6E" w:rsidRDefault="00D817C1" w:rsidP="0092607C">
            <w:pPr>
              <w:rPr>
                <w:sz w:val="20"/>
                <w:szCs w:val="20"/>
              </w:rPr>
            </w:pPr>
            <w:r>
              <w:rPr>
                <w:sz w:val="20"/>
                <w:szCs w:val="20"/>
              </w:rPr>
              <w:fldChar w:fldCharType="begin"/>
            </w:r>
            <w:r>
              <w:rPr>
                <w:sz w:val="20"/>
                <w:szCs w:val="20"/>
              </w:rPr>
              <w:instrText xml:space="preserve"> ADDIN EN.CITE &lt;EndNote&gt;&lt;Cite AuthorYear="1"&gt;&lt;Author&gt;Heer&lt;/Author&gt;&lt;Year&gt;2000&lt;/Year&gt;&lt;RecNum&gt;4656&lt;/RecNum&gt;&lt;DisplayText&gt;Heer et al. (2000)&lt;/DisplayText&gt;&lt;record&gt;&lt;rec-number&gt;4656&lt;/rec-number&gt;&lt;foreign-keys&gt;&lt;key app="EN" db-id="wwsdv2wwp29fenerv0kx5tw9zxtx2fdrprx2" timestamp="1774950077"&gt;4656&lt;/key&gt;&lt;/foreign-keys&gt;&lt;ref-type name="Journal Article"&gt;17&lt;/ref-type&gt;&lt;contributors&gt;&lt;authors&gt;&lt;author&gt;Heer, M.&lt;/author&gt;&lt;author&gt;Baisch, F.&lt;/author&gt;&lt;author&gt;Kropp, J.&lt;/author&gt;&lt;author&gt;Gerzer, R.&lt;/author&gt;&lt;author&gt;Drummer, C.&lt;/author&gt;&lt;/authors&gt;&lt;/contributors&gt;&lt;auth-address&gt;Deutsche Forschungsansalt für Luft und Raumfahrt-Institute of Aerospace Medicine, 51170 Cologne, Germany. heer@pbmail.me.kp.dlr.de&lt;/auth-address&gt;&lt;titles&gt;&lt;title&gt;High dietary sodium chloride consumption may not induce body fluid retention in humans&lt;/title&gt;&lt;secondary-title&gt;Am J Physiol Renal Physiol&lt;/secondary-title&gt;&lt;/titles&gt;&lt;periodical&gt;&lt;full-title&gt;Am J Physiol Renal Physiol&lt;/full-title&gt;&lt;/periodical&gt;&lt;pages&gt;F585-95&lt;/pages&gt;&lt;volume&gt;278&lt;/volume&gt;&lt;number&gt;4&lt;/number&gt;&lt;keywords&gt;&lt;keyword&gt;Adult&lt;/keyword&gt;&lt;keyword&gt;Blood Pressure/physiology&lt;/keyword&gt;&lt;keyword&gt;Blood Volume/physiology&lt;/keyword&gt;&lt;keyword&gt;Body Fluid Compartments/physiology&lt;/keyword&gt;&lt;keyword&gt;Body Fluids/*metabolism&lt;/keyword&gt;&lt;keyword&gt;Body Water/metabolism&lt;/keyword&gt;&lt;keyword&gt;Body Weight/physiology&lt;/keyword&gt;&lt;keyword&gt;*Diet, Sodium-Restricted&lt;/keyword&gt;&lt;keyword&gt;Diuresis/physiology&lt;/keyword&gt;&lt;keyword&gt;Electrolytes/blood&lt;/keyword&gt;&lt;keyword&gt;Hormones/blood&lt;/keyword&gt;&lt;keyword&gt;Humans&lt;/keyword&gt;&lt;keyword&gt;Male&lt;/keyword&gt;&lt;/keywords&gt;&lt;dates&gt;&lt;year&gt;2000&lt;/year&gt;&lt;pub-dates&gt;&lt;date&gt;Apr&lt;/date&gt;&lt;/pub-dates&gt;&lt;/dates&gt;&lt;isbn&gt;1931-857X (Print)&amp;#xD;1522-1466&lt;/isbn&gt;&lt;accession-num&gt;10751219&lt;/accession-num&gt;&lt;urls&gt;&lt;/urls&gt;&lt;electronic-resource-num&gt;10.1152/ajprenal.2000.278.4.F585&lt;/electronic-resource-num&gt;&lt;remote-database-provider&gt;NLM&lt;/remote-database-provider&gt;&lt;language&gt;eng&lt;/language&gt;&lt;/record&gt;&lt;/Cite&gt;&lt;/EndNote&gt;</w:instrText>
            </w:r>
            <w:r>
              <w:rPr>
                <w:sz w:val="20"/>
                <w:szCs w:val="20"/>
              </w:rPr>
              <w:fldChar w:fldCharType="separate"/>
            </w:r>
            <w:r>
              <w:rPr>
                <w:noProof/>
                <w:sz w:val="20"/>
                <w:szCs w:val="20"/>
              </w:rPr>
              <w:t>Heer et al. (2000)</w:t>
            </w:r>
            <w:r>
              <w:rPr>
                <w:sz w:val="20"/>
                <w:szCs w:val="20"/>
              </w:rPr>
              <w:fldChar w:fldCharType="end"/>
            </w:r>
          </w:p>
        </w:tc>
        <w:tc>
          <w:tcPr>
            <w:tcW w:w="3535" w:type="dxa"/>
          </w:tcPr>
          <w:p w14:paraId="488CAB44" w14:textId="1FD155B9" w:rsidR="004C658C" w:rsidRPr="00AF7E6E" w:rsidRDefault="00425E2E" w:rsidP="00425E2E">
            <w:pPr>
              <w:cnfStyle w:val="000000100000" w:firstRow="0" w:lastRow="0" w:firstColumn="0" w:lastColumn="0" w:oddVBand="0" w:evenVBand="0" w:oddHBand="1" w:evenHBand="0" w:firstRowFirstColumn="0" w:firstRowLastColumn="0" w:lastRowFirstColumn="0" w:lastRowLastColumn="0"/>
              <w:rPr>
                <w:sz w:val="20"/>
                <w:szCs w:val="20"/>
              </w:rPr>
            </w:pPr>
            <w:r w:rsidRPr="00425E2E">
              <w:rPr>
                <w:sz w:val="20"/>
                <w:szCs w:val="20"/>
              </w:rPr>
              <w:t>6 German nonsmoker,</w:t>
            </w:r>
            <w:r w:rsidRPr="00AF7E6E">
              <w:rPr>
                <w:sz w:val="20"/>
                <w:szCs w:val="20"/>
              </w:rPr>
              <w:t xml:space="preserve"> </w:t>
            </w:r>
            <w:r w:rsidRPr="00425E2E">
              <w:rPr>
                <w:sz w:val="20"/>
                <w:szCs w:val="20"/>
              </w:rPr>
              <w:t>nonathlete males,</w:t>
            </w:r>
            <w:r w:rsidRPr="00AF7E6E">
              <w:rPr>
                <w:sz w:val="20"/>
                <w:szCs w:val="20"/>
              </w:rPr>
              <w:t xml:space="preserve"> mean 24 years of age</w:t>
            </w:r>
          </w:p>
        </w:tc>
        <w:tc>
          <w:tcPr>
            <w:tcW w:w="993" w:type="dxa"/>
          </w:tcPr>
          <w:p w14:paraId="57931B14" w14:textId="77777777" w:rsidR="004C658C" w:rsidRPr="00AF7E6E" w:rsidRDefault="004C658C"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992" w:type="dxa"/>
          </w:tcPr>
          <w:p w14:paraId="4182C421" w14:textId="77777777" w:rsidR="004C658C" w:rsidRPr="00AF7E6E" w:rsidRDefault="004C658C"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77D20F59" w14:textId="77777777" w:rsidR="00425E2E" w:rsidRPr="00425E2E" w:rsidRDefault="00425E2E"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r w:rsidRPr="00425E2E">
              <w:rPr>
                <w:sz w:val="20"/>
                <w:szCs w:val="20"/>
              </w:rPr>
              <w:t>5,060</w:t>
            </w:r>
          </w:p>
          <w:p w14:paraId="50A3CF61" w14:textId="77777777" w:rsidR="00425E2E" w:rsidRPr="00425E2E" w:rsidRDefault="00425E2E"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r w:rsidRPr="00425E2E">
              <w:rPr>
                <w:sz w:val="20"/>
                <w:szCs w:val="20"/>
              </w:rPr>
              <w:t>10,120</w:t>
            </w:r>
          </w:p>
          <w:p w14:paraId="50AAF51D" w14:textId="3757946E" w:rsidR="004C658C" w:rsidRPr="00AF7E6E" w:rsidRDefault="00425E2E"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6E">
              <w:rPr>
                <w:sz w:val="20"/>
                <w:szCs w:val="20"/>
              </w:rPr>
              <w:t>15,180</w:t>
            </w:r>
          </w:p>
        </w:tc>
        <w:tc>
          <w:tcPr>
            <w:tcW w:w="5954" w:type="dxa"/>
          </w:tcPr>
          <w:p w14:paraId="498A2C2E" w14:textId="77777777" w:rsidR="004C658C" w:rsidRPr="00AF7E6E" w:rsidRDefault="004C658C" w:rsidP="0092607C">
            <w:pPr>
              <w:cnfStyle w:val="000000100000" w:firstRow="0" w:lastRow="0" w:firstColumn="0" w:lastColumn="0" w:oddVBand="0" w:evenVBand="0" w:oddHBand="1" w:evenHBand="0" w:firstRowFirstColumn="0" w:firstRowLastColumn="0" w:lastRowFirstColumn="0" w:lastRowLastColumn="0"/>
              <w:rPr>
                <w:sz w:val="20"/>
                <w:szCs w:val="20"/>
              </w:rPr>
            </w:pPr>
          </w:p>
        </w:tc>
      </w:tr>
      <w:tr w:rsidR="00EF3D37" w:rsidRPr="00AF7E6E" w14:paraId="4A9C8CFF" w14:textId="2317432D" w:rsidTr="00762FC4">
        <w:tc>
          <w:tcPr>
            <w:cnfStyle w:val="001000000000" w:firstRow="0" w:lastRow="0" w:firstColumn="1" w:lastColumn="0" w:oddVBand="0" w:evenVBand="0" w:oddHBand="0" w:evenHBand="0" w:firstRowFirstColumn="0" w:firstRowLastColumn="0" w:lastRowFirstColumn="0" w:lastRowLastColumn="0"/>
            <w:tcW w:w="1563" w:type="dxa"/>
          </w:tcPr>
          <w:p w14:paraId="46B72B72" w14:textId="621BCB3B" w:rsidR="00EF3D37" w:rsidRPr="00AF7E6E" w:rsidRDefault="00D817C1" w:rsidP="0092607C">
            <w:pPr>
              <w:rPr>
                <w:sz w:val="20"/>
                <w:szCs w:val="20"/>
              </w:rPr>
            </w:pPr>
            <w:r>
              <w:rPr>
                <w:sz w:val="20"/>
                <w:szCs w:val="20"/>
              </w:rPr>
              <w:fldChar w:fldCharType="begin">
                <w:fldData xml:space="preserve">PEVuZE5vdGU+PENpdGUgQXV0aG9yWWVhcj0iMSI+PEF1dGhvcj5IZWVyPC9BdXRob3I+PFllYXI+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</w:fldData>
              </w:fldChar>
            </w:r>
            <w:r>
              <w:rPr>
                <w:sz w:val="20"/>
                <w:szCs w:val="20"/>
              </w:rPr>
              <w:instrText xml:space="preserve"> ADDIN EN.CITE </w:instrText>
            </w:r>
            <w:r>
              <w:rPr>
                <w:sz w:val="20"/>
                <w:szCs w:val="20"/>
              </w:rPr>
              <w:fldChar w:fldCharType="begin">
                <w:fldData xml:space="preserve">PEVuZE5vdGU+PENpdGUgQXV0aG9yWWVhcj0iMSI+PEF1dGhvcj5IZWVyPC9BdXRob3I+PFllYXI+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Heer et al. (2009)</w:t>
            </w:r>
            <w:r>
              <w:rPr>
                <w:sz w:val="20"/>
                <w:szCs w:val="20"/>
              </w:rPr>
              <w:fldChar w:fldCharType="end"/>
            </w:r>
          </w:p>
        </w:tc>
        <w:tc>
          <w:tcPr>
            <w:tcW w:w="3535" w:type="dxa"/>
          </w:tcPr>
          <w:p w14:paraId="7C0A91C5" w14:textId="7D75B42D" w:rsidR="00EF3D37" w:rsidRPr="00AF7E6E" w:rsidRDefault="009D6D57" w:rsidP="009D6D57">
            <w:pPr>
              <w:cnfStyle w:val="000000000000" w:firstRow="0" w:lastRow="0" w:firstColumn="0" w:lastColumn="0" w:oddVBand="0" w:evenVBand="0" w:oddHBand="0" w:evenHBand="0" w:firstRowFirstColumn="0" w:firstRowLastColumn="0" w:lastRowFirstColumn="0" w:lastRowLastColumn="0"/>
              <w:rPr>
                <w:sz w:val="20"/>
                <w:szCs w:val="20"/>
              </w:rPr>
            </w:pPr>
            <w:r w:rsidRPr="009D6D57">
              <w:rPr>
                <w:sz w:val="20"/>
                <w:szCs w:val="20"/>
              </w:rPr>
              <w:t>9 German males,</w:t>
            </w:r>
            <w:r w:rsidRPr="00AF7E6E">
              <w:rPr>
                <w:sz w:val="20"/>
                <w:szCs w:val="20"/>
              </w:rPr>
              <w:t xml:space="preserve"> </w:t>
            </w:r>
            <w:r w:rsidRPr="009D6D57">
              <w:rPr>
                <w:sz w:val="20"/>
                <w:szCs w:val="20"/>
              </w:rPr>
              <w:t>mean 25.7 years of</w:t>
            </w:r>
            <w:r w:rsidRPr="00AF7E6E">
              <w:rPr>
                <w:sz w:val="20"/>
                <w:szCs w:val="20"/>
              </w:rPr>
              <w:t xml:space="preserve"> age</w:t>
            </w:r>
          </w:p>
        </w:tc>
        <w:tc>
          <w:tcPr>
            <w:tcW w:w="993" w:type="dxa"/>
          </w:tcPr>
          <w:p w14:paraId="3C873F35" w14:textId="2986EC30" w:rsidR="00EF3D37" w:rsidRPr="00AF7E6E" w:rsidRDefault="009D6D57" w:rsidP="00751DBA">
            <w:pPr>
              <w:jc w:val="center"/>
              <w:cnfStyle w:val="000000000000" w:firstRow="0" w:lastRow="0" w:firstColumn="0" w:lastColumn="0" w:oddVBand="0" w:evenVBand="0" w:oddHBand="0" w:evenHBand="0" w:firstRowFirstColumn="0" w:firstRowLastColumn="0" w:lastRowFirstColumn="0" w:lastRowLastColumn="0"/>
              <w:rPr>
                <w:sz w:val="20"/>
                <w:szCs w:val="20"/>
              </w:rPr>
            </w:pPr>
            <w:r w:rsidRPr="00AF7E6E">
              <w:rPr>
                <w:sz w:val="20"/>
                <w:szCs w:val="20"/>
              </w:rPr>
              <w:t>1,151</w:t>
            </w:r>
          </w:p>
        </w:tc>
        <w:tc>
          <w:tcPr>
            <w:tcW w:w="992" w:type="dxa"/>
          </w:tcPr>
          <w:p w14:paraId="2B90ABD9" w14:textId="77777777" w:rsidR="00EF3D37" w:rsidRPr="00AF7E6E" w:rsidRDefault="00EF3D37" w:rsidP="00751DB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Pr>
          <w:p w14:paraId="681D6445" w14:textId="77777777" w:rsidR="00EF3D37" w:rsidRPr="00AF7E6E" w:rsidRDefault="00EF3D37" w:rsidP="00751DB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5954" w:type="dxa"/>
          </w:tcPr>
          <w:p w14:paraId="28B66AB9" w14:textId="77777777" w:rsidR="00EF3D37" w:rsidRPr="00AF7E6E" w:rsidRDefault="00EF3D37" w:rsidP="0092607C">
            <w:pPr>
              <w:cnfStyle w:val="000000000000" w:firstRow="0" w:lastRow="0" w:firstColumn="0" w:lastColumn="0" w:oddVBand="0" w:evenVBand="0" w:oddHBand="0" w:evenHBand="0" w:firstRowFirstColumn="0" w:firstRowLastColumn="0" w:lastRowFirstColumn="0" w:lastRowLastColumn="0"/>
              <w:rPr>
                <w:sz w:val="20"/>
                <w:szCs w:val="20"/>
              </w:rPr>
            </w:pPr>
          </w:p>
        </w:tc>
      </w:tr>
      <w:tr w:rsidR="009D6D57" w:rsidRPr="00AF7E6E" w14:paraId="07101004" w14:textId="77777777" w:rsidTr="00762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DB99D96" w14:textId="2A2CDDC0" w:rsidR="009D6D57" w:rsidRPr="00AF7E6E" w:rsidRDefault="00D817C1" w:rsidP="0092607C">
            <w:pPr>
              <w:rPr>
                <w:sz w:val="20"/>
                <w:szCs w:val="20"/>
              </w:rPr>
            </w:pPr>
            <w:r>
              <w:rPr>
                <w:sz w:val="20"/>
                <w:szCs w:val="20"/>
              </w:rPr>
              <w:fldChar w:fldCharType="begin">
                <w:fldData xml:space="preserve">PEVuZE5vdGU+PENpdGUgQXV0aG9yWWVhcj0iMSI+PEF1dGhvcj5MZXJjaGw8L0F1dGhvcj48WWVh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</w:fldData>
              </w:fldChar>
            </w:r>
            <w:r>
              <w:rPr>
                <w:sz w:val="20"/>
                <w:szCs w:val="20"/>
              </w:rPr>
              <w:instrText xml:space="preserve"> ADDIN EN.CITE </w:instrText>
            </w:r>
            <w:r>
              <w:rPr>
                <w:sz w:val="20"/>
                <w:szCs w:val="20"/>
              </w:rPr>
              <w:fldChar w:fldCharType="begin">
                <w:fldData xml:space="preserve">PEVuZE5vdGU+PENpdGUgQXV0aG9yWWVhcj0iMSI+PEF1dGhvcj5MZXJjaGw8L0F1dGhvcj48WWVh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Lerchl et al. (2015)</w:t>
            </w:r>
            <w:r>
              <w:rPr>
                <w:sz w:val="20"/>
                <w:szCs w:val="20"/>
              </w:rPr>
              <w:fldChar w:fldCharType="end"/>
            </w:r>
          </w:p>
        </w:tc>
        <w:tc>
          <w:tcPr>
            <w:tcW w:w="3535" w:type="dxa"/>
          </w:tcPr>
          <w:p w14:paraId="64DF7349" w14:textId="393DE847" w:rsidR="009D6D57" w:rsidRPr="00AF7E6E" w:rsidRDefault="009D6D57" w:rsidP="009D6D57">
            <w:pPr>
              <w:cnfStyle w:val="000000100000" w:firstRow="0" w:lastRow="0" w:firstColumn="0" w:lastColumn="0" w:oddVBand="0" w:evenVBand="0" w:oddHBand="1" w:evenHBand="0" w:firstRowFirstColumn="0" w:firstRowLastColumn="0" w:lastRowFirstColumn="0" w:lastRowLastColumn="0"/>
              <w:rPr>
                <w:sz w:val="20"/>
                <w:szCs w:val="20"/>
              </w:rPr>
            </w:pPr>
            <w:r w:rsidRPr="009D6D57">
              <w:rPr>
                <w:sz w:val="20"/>
                <w:szCs w:val="20"/>
              </w:rPr>
              <w:t>10 Russian males</w:t>
            </w:r>
            <w:r w:rsidRPr="00AF7E6E">
              <w:rPr>
                <w:sz w:val="20"/>
                <w:szCs w:val="20"/>
              </w:rPr>
              <w:t xml:space="preserve"> </w:t>
            </w:r>
            <w:r w:rsidRPr="009D6D57">
              <w:rPr>
                <w:sz w:val="20"/>
                <w:szCs w:val="20"/>
              </w:rPr>
              <w:t>in simulated Mars</w:t>
            </w:r>
            <w:r w:rsidRPr="00AF7E6E">
              <w:rPr>
                <w:sz w:val="20"/>
                <w:szCs w:val="20"/>
              </w:rPr>
              <w:t xml:space="preserve"> environment</w:t>
            </w:r>
          </w:p>
        </w:tc>
        <w:tc>
          <w:tcPr>
            <w:tcW w:w="993" w:type="dxa"/>
          </w:tcPr>
          <w:p w14:paraId="6B5691A8" w14:textId="77777777" w:rsidR="009D6D57" w:rsidRPr="00AF7E6E" w:rsidRDefault="009D6D57"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992" w:type="dxa"/>
          </w:tcPr>
          <w:p w14:paraId="731EC793" w14:textId="77777777" w:rsidR="009D6D57" w:rsidRPr="00AF7E6E" w:rsidRDefault="009D6D57"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77EC82C9" w14:textId="77777777" w:rsidR="00811D79" w:rsidRPr="00811D79" w:rsidRDefault="00811D79"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r w:rsidRPr="00811D79">
              <w:rPr>
                <w:sz w:val="20"/>
                <w:szCs w:val="20"/>
              </w:rPr>
              <w:t>2,453</w:t>
            </w:r>
          </w:p>
          <w:p w14:paraId="476246B7" w14:textId="77777777" w:rsidR="00811D79" w:rsidRPr="00811D79" w:rsidRDefault="00811D79"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r w:rsidRPr="00811D79">
              <w:rPr>
                <w:sz w:val="20"/>
                <w:szCs w:val="20"/>
              </w:rPr>
              <w:t>3,662</w:t>
            </w:r>
          </w:p>
          <w:p w14:paraId="7EDB41D1" w14:textId="203FB153" w:rsidR="009D6D57" w:rsidRPr="00AF7E6E" w:rsidRDefault="00811D79" w:rsidP="00751DBA">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6E">
              <w:rPr>
                <w:sz w:val="20"/>
                <w:szCs w:val="20"/>
              </w:rPr>
              <w:t>4,782</w:t>
            </w:r>
            <w:r w:rsidRPr="00AF7E6E">
              <w:rPr>
                <w:rFonts w:hint="eastAsia"/>
                <w:sz w:val="20"/>
                <w:szCs w:val="20"/>
              </w:rPr>
              <w:t>–</w:t>
            </w:r>
            <w:r w:rsidRPr="00AF7E6E">
              <w:rPr>
                <w:sz w:val="20"/>
                <w:szCs w:val="20"/>
              </w:rPr>
              <w:t>4,835</w:t>
            </w:r>
          </w:p>
        </w:tc>
        <w:tc>
          <w:tcPr>
            <w:tcW w:w="5954" w:type="dxa"/>
          </w:tcPr>
          <w:p w14:paraId="3C78F306" w14:textId="77777777" w:rsidR="009D6D57" w:rsidRPr="00AF7E6E" w:rsidRDefault="009D6D57" w:rsidP="0092607C">
            <w:pPr>
              <w:cnfStyle w:val="000000100000" w:firstRow="0" w:lastRow="0" w:firstColumn="0" w:lastColumn="0" w:oddVBand="0" w:evenVBand="0" w:oddHBand="1" w:evenHBand="0" w:firstRowFirstColumn="0" w:firstRowLastColumn="0" w:lastRowFirstColumn="0" w:lastRowLastColumn="0"/>
              <w:rPr>
                <w:sz w:val="20"/>
                <w:szCs w:val="20"/>
              </w:rPr>
            </w:pPr>
          </w:p>
        </w:tc>
      </w:tr>
      <w:tr w:rsidR="009D6D57" w:rsidRPr="00AF7E6E" w14:paraId="1E1504D4" w14:textId="77777777" w:rsidTr="00762FC4">
        <w:tc>
          <w:tcPr>
            <w:cnfStyle w:val="001000000000" w:firstRow="0" w:lastRow="0" w:firstColumn="1" w:lastColumn="0" w:oddVBand="0" w:evenVBand="0" w:oddHBand="0" w:evenHBand="0" w:firstRowFirstColumn="0" w:firstRowLastColumn="0" w:lastRowFirstColumn="0" w:lastRowLastColumn="0"/>
            <w:tcW w:w="1563" w:type="dxa"/>
          </w:tcPr>
          <w:p w14:paraId="05A03325" w14:textId="514263B5" w:rsidR="009D6D57" w:rsidRPr="00AF7E6E" w:rsidRDefault="00D817C1" w:rsidP="00811D79">
            <w:pPr>
              <w:rPr>
                <w:sz w:val="20"/>
                <w:szCs w:val="20"/>
              </w:rPr>
            </w:pPr>
            <w:r>
              <w:rPr>
                <w:sz w:val="20"/>
                <w:szCs w:val="20"/>
              </w:rPr>
              <w:fldChar w:fldCharType="begin"/>
            </w:r>
            <w:r w:rsidR="000818C0">
              <w:rPr>
                <w:sz w:val="20"/>
                <w:szCs w:val="20"/>
              </w:rPr>
              <w:instrText xml:space="preserve"> ADDIN EN.CITE &lt;EndNote&gt;&lt;Cite AuthorYear="1"&gt;&lt;Author&gt;Kirkendall&lt;/Author&gt;&lt;Year&gt;1976&lt;/Year&gt;&lt;RecNum&gt;4650&lt;/RecNum&gt;&lt;DisplayText&gt;Kirkendall et al. (1976)&lt;/DisplayText&gt;&lt;record&gt;&lt;rec-number&gt;4650&lt;/rec-number&gt;&lt;foreign-keys&gt;&lt;key app="EN" db-id="wwsdv2wwp29fenerv0kx5tw9zxtx2fdrprx2" timestamp="1774940913"&gt;4650&lt;/key&gt;&lt;/foreign-keys&gt;&lt;ref-type name="Journal Article"&gt;17&lt;/ref-type&gt;&lt;contributors&gt;&lt;authors&gt;&lt;author&gt;Kirkendall, A. M.&lt;/author&gt;&lt;author&gt;Connor, W. E.&lt;/author&gt;&lt;author&gt;Abboud, F.&lt;/author&gt;&lt;author&gt;Rastogi, S. P.&lt;/author&gt;&lt;author&gt;Anderson, T. A.&lt;/author&gt;&lt;author&gt;Fry, M.&lt;/author&gt;&lt;/authors&gt;&lt;/contributors&gt;&lt;titles&gt;&lt;title&gt;The effect of dietary sodium chloride on blood pressure, body fluids, electrolytes, renal function, and serum lipids of normotensive man&lt;/title&gt;&lt;secondary-title&gt;J Lab Clin Med&lt;/secondary-title&gt;&lt;/titles&gt;&lt;periodical&gt;&lt;full-title&gt;J Lab Clin Med&lt;/full-title&gt;&lt;/periodical&gt;&lt;pages&gt;411-34&lt;/pages&gt;&lt;volume&gt;87&lt;/volume&gt;&lt;number&gt;3&lt;/number&gt;&lt;keywords&gt;&lt;keyword&gt;Adult&lt;/keyword&gt;&lt;keyword&gt;Aldosterone/blood&lt;/keyword&gt;&lt;keyword&gt;Blood Pressure/*drug effects&lt;/keyword&gt;&lt;keyword&gt;Body Fluids/*drug effects&lt;/keyword&gt;&lt;keyword&gt;Body Weight&lt;/keyword&gt;&lt;keyword&gt;Cholesterol/blood&lt;/keyword&gt;&lt;keyword&gt;Diet, Sodium-Restricted&lt;/keyword&gt;&lt;keyword&gt;Glomerular Filtration Rate&lt;/keyword&gt;&lt;keyword&gt;Humans&lt;/keyword&gt;&lt;keyword&gt;Hypertension/etiology&lt;/keyword&gt;&lt;keyword&gt;Kidney/*physiology&lt;/keyword&gt;&lt;keyword&gt;Lipids/*blood&lt;/keyword&gt;&lt;keyword&gt;Male&lt;/keyword&gt;&lt;keyword&gt;Middle Aged&lt;/keyword&gt;&lt;keyword&gt;Potassium/metabolism&lt;/keyword&gt;&lt;keyword&gt;Renin/blood&lt;/keyword&gt;&lt;keyword&gt;Sodium Chloride/administration &amp;amp; dosage/*pharmacology&lt;/keyword&gt;&lt;keyword&gt;Triglycerides/blood&lt;/keyword&gt;&lt;keyword&gt;Water-Electrolyte Balance/*drug effects&lt;/keyword&gt;&lt;/keywords&gt;&lt;dates&gt;&lt;year&gt;1976&lt;/year&gt;&lt;pub-dates&gt;&lt;date&gt;Mar&lt;/date&gt;&lt;/pub-dates&gt;&lt;/dates&gt;&lt;isbn&gt;0022-2143 (Print)&amp;#xD;0022-2143&lt;/isbn&gt;&lt;accession-num&gt;1249473&lt;/accession-num&gt;&lt;urls&gt;&lt;/urls&gt;&lt;remote-database-provider&gt;NLM&lt;/remote-database-provider&gt;&lt;language&gt;eng&lt;/language&gt;&lt;/record&gt;&lt;/Cite&gt;&lt;/EndNote&gt;</w:instrText>
            </w:r>
            <w:r>
              <w:rPr>
                <w:sz w:val="20"/>
                <w:szCs w:val="20"/>
              </w:rPr>
              <w:fldChar w:fldCharType="separate"/>
            </w:r>
            <w:r w:rsidR="000818C0">
              <w:rPr>
                <w:noProof/>
                <w:sz w:val="20"/>
                <w:szCs w:val="20"/>
              </w:rPr>
              <w:t>Kirkendall et al. (1976)</w:t>
            </w:r>
            <w:r>
              <w:rPr>
                <w:sz w:val="20"/>
                <w:szCs w:val="20"/>
              </w:rPr>
              <w:fldChar w:fldCharType="end"/>
            </w:r>
          </w:p>
        </w:tc>
        <w:tc>
          <w:tcPr>
            <w:tcW w:w="3535" w:type="dxa"/>
          </w:tcPr>
          <w:p w14:paraId="6DD6D114" w14:textId="0E7F4CA2" w:rsidR="009D6D57" w:rsidRPr="00AF7E6E" w:rsidRDefault="00CF56CB" w:rsidP="00CF56CB">
            <w:pPr>
              <w:cnfStyle w:val="000000000000" w:firstRow="0" w:lastRow="0" w:firstColumn="0" w:lastColumn="0" w:oddVBand="0" w:evenVBand="0" w:oddHBand="0" w:evenHBand="0" w:firstRowFirstColumn="0" w:firstRowLastColumn="0" w:lastRowFirstColumn="0" w:lastRowLastColumn="0"/>
              <w:rPr>
                <w:sz w:val="20"/>
                <w:szCs w:val="20"/>
              </w:rPr>
            </w:pPr>
            <w:r w:rsidRPr="00CF56CB">
              <w:rPr>
                <w:sz w:val="20"/>
                <w:szCs w:val="20"/>
              </w:rPr>
              <w:t>7 American males,</w:t>
            </w:r>
            <w:r w:rsidRPr="00AF7E6E">
              <w:rPr>
                <w:sz w:val="20"/>
                <w:szCs w:val="20"/>
              </w:rPr>
              <w:t xml:space="preserve"> 24</w:t>
            </w:r>
            <w:r w:rsidRPr="00AF7E6E">
              <w:rPr>
                <w:rFonts w:hint="eastAsia"/>
                <w:sz w:val="20"/>
                <w:szCs w:val="20"/>
              </w:rPr>
              <w:t>–</w:t>
            </w:r>
            <w:r w:rsidRPr="00AF7E6E">
              <w:rPr>
                <w:sz w:val="20"/>
                <w:szCs w:val="20"/>
              </w:rPr>
              <w:t>47 years of age</w:t>
            </w:r>
          </w:p>
        </w:tc>
        <w:tc>
          <w:tcPr>
            <w:tcW w:w="993" w:type="dxa"/>
          </w:tcPr>
          <w:p w14:paraId="651FE6C5" w14:textId="10C07F42" w:rsidR="009D6D57" w:rsidRPr="00AF7E6E" w:rsidRDefault="00CF56CB" w:rsidP="00751DBA">
            <w:pPr>
              <w:jc w:val="center"/>
              <w:cnfStyle w:val="000000000000" w:firstRow="0" w:lastRow="0" w:firstColumn="0" w:lastColumn="0" w:oddVBand="0" w:evenVBand="0" w:oddHBand="0" w:evenHBand="0" w:firstRowFirstColumn="0" w:firstRowLastColumn="0" w:lastRowFirstColumn="0" w:lastRowLastColumn="0"/>
              <w:rPr>
                <w:sz w:val="20"/>
                <w:szCs w:val="20"/>
              </w:rPr>
            </w:pPr>
            <w:r w:rsidRPr="00AF7E6E">
              <w:rPr>
                <w:sz w:val="20"/>
                <w:szCs w:val="20"/>
              </w:rPr>
              <w:t>230</w:t>
            </w:r>
          </w:p>
        </w:tc>
        <w:tc>
          <w:tcPr>
            <w:tcW w:w="992" w:type="dxa"/>
          </w:tcPr>
          <w:p w14:paraId="13E5132C" w14:textId="77777777" w:rsidR="009D6D57" w:rsidRPr="00AF7E6E" w:rsidRDefault="009D6D57" w:rsidP="00751DB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Pr>
          <w:p w14:paraId="3F3964DA" w14:textId="77777777" w:rsidR="00CF56CB" w:rsidRPr="00CF56CB" w:rsidRDefault="00CF56CB" w:rsidP="00751DBA">
            <w:pPr>
              <w:jc w:val="center"/>
              <w:cnfStyle w:val="000000000000" w:firstRow="0" w:lastRow="0" w:firstColumn="0" w:lastColumn="0" w:oddVBand="0" w:evenVBand="0" w:oddHBand="0" w:evenHBand="0" w:firstRowFirstColumn="0" w:firstRowLastColumn="0" w:lastRowFirstColumn="0" w:lastRowLastColumn="0"/>
              <w:rPr>
                <w:sz w:val="20"/>
                <w:szCs w:val="20"/>
              </w:rPr>
            </w:pPr>
            <w:r w:rsidRPr="00CF56CB">
              <w:rPr>
                <w:sz w:val="20"/>
                <w:szCs w:val="20"/>
              </w:rPr>
              <w:t>4,828</w:t>
            </w:r>
          </w:p>
          <w:p w14:paraId="561D3F46" w14:textId="17DED717" w:rsidR="009D6D57" w:rsidRPr="00AF7E6E" w:rsidRDefault="00CF56CB" w:rsidP="00751DBA">
            <w:pPr>
              <w:jc w:val="center"/>
              <w:cnfStyle w:val="000000000000" w:firstRow="0" w:lastRow="0" w:firstColumn="0" w:lastColumn="0" w:oddVBand="0" w:evenVBand="0" w:oddHBand="0" w:evenHBand="0" w:firstRowFirstColumn="0" w:firstRowLastColumn="0" w:lastRowFirstColumn="0" w:lastRowLastColumn="0"/>
              <w:rPr>
                <w:sz w:val="20"/>
                <w:szCs w:val="20"/>
              </w:rPr>
            </w:pPr>
            <w:r w:rsidRPr="00AF7E6E">
              <w:rPr>
                <w:sz w:val="20"/>
                <w:szCs w:val="20"/>
              </w:rPr>
              <w:t>9,426</w:t>
            </w:r>
          </w:p>
        </w:tc>
        <w:tc>
          <w:tcPr>
            <w:tcW w:w="5954" w:type="dxa"/>
          </w:tcPr>
          <w:p w14:paraId="3B11346D" w14:textId="77777777" w:rsidR="009D6D57" w:rsidRPr="00AF7E6E" w:rsidRDefault="009D6D57" w:rsidP="0092607C">
            <w:pPr>
              <w:cnfStyle w:val="000000000000" w:firstRow="0" w:lastRow="0" w:firstColumn="0" w:lastColumn="0" w:oddVBand="0" w:evenVBand="0" w:oddHBand="0" w:evenHBand="0" w:firstRowFirstColumn="0" w:firstRowLastColumn="0" w:lastRowFirstColumn="0" w:lastRowLastColumn="0"/>
              <w:rPr>
                <w:sz w:val="20"/>
                <w:szCs w:val="20"/>
              </w:rPr>
            </w:pPr>
          </w:p>
        </w:tc>
      </w:tr>
    </w:tbl>
    <w:p w14:paraId="0712CE44" w14:textId="77777777" w:rsidR="006B3AAA" w:rsidRPr="00751DBA" w:rsidRDefault="00911F18" w:rsidP="00751DBA">
      <w:pPr>
        <w:spacing w:after="0"/>
        <w:rPr>
          <w:sz w:val="20"/>
          <w:szCs w:val="20"/>
        </w:rPr>
      </w:pPr>
      <w:r w:rsidRPr="00751DBA">
        <w:rPr>
          <w:sz w:val="20"/>
          <w:szCs w:val="20"/>
          <w:vertAlign w:val="superscript"/>
        </w:rPr>
        <w:t xml:space="preserve">a  </w:t>
      </w:r>
      <w:r w:rsidRPr="00751DBA">
        <w:rPr>
          <w:sz w:val="20"/>
          <w:szCs w:val="20"/>
        </w:rPr>
        <w:t xml:space="preserve">Rigorous complete balance studies were those that </w:t>
      </w:r>
      <w:r w:rsidRPr="006B3AAA">
        <w:rPr>
          <w:kern w:val="0"/>
          <w:sz w:val="20"/>
          <w:szCs w:val="20"/>
          <w14:ligatures w14:val="none"/>
        </w:rPr>
        <w:t>measured directly sodium content of foods consumed and</w:t>
      </w:r>
      <w:r w:rsidRPr="00751DBA">
        <w:rPr>
          <w:sz w:val="20"/>
          <w:szCs w:val="20"/>
        </w:rPr>
        <w:t xml:space="preserve"> all losses (urinary, </w:t>
      </w:r>
      <w:proofErr w:type="spellStart"/>
      <w:r w:rsidRPr="00751DBA">
        <w:rPr>
          <w:sz w:val="20"/>
          <w:szCs w:val="20"/>
        </w:rPr>
        <w:t>fecal</w:t>
      </w:r>
      <w:proofErr w:type="spellEnd"/>
      <w:r w:rsidRPr="00751DBA">
        <w:rPr>
          <w:sz w:val="20"/>
          <w:szCs w:val="20"/>
        </w:rPr>
        <w:t xml:space="preserve"> using appropriate </w:t>
      </w:r>
      <w:proofErr w:type="spellStart"/>
      <w:r w:rsidRPr="00751DBA">
        <w:rPr>
          <w:sz w:val="20"/>
          <w:szCs w:val="20"/>
        </w:rPr>
        <w:t>fecal</w:t>
      </w:r>
      <w:proofErr w:type="spellEnd"/>
      <w:r w:rsidRPr="00751DBA">
        <w:rPr>
          <w:sz w:val="20"/>
          <w:szCs w:val="20"/>
        </w:rPr>
        <w:t xml:space="preserve"> markers, and whole body sweat)</w:t>
      </w:r>
    </w:p>
    <w:p w14:paraId="0F7BC463" w14:textId="34CD7E8B" w:rsidR="00911F18" w:rsidRPr="00751DBA" w:rsidRDefault="00911F18" w:rsidP="00751DBA">
      <w:pPr>
        <w:spacing w:after="0"/>
        <w:rPr>
          <w:sz w:val="20"/>
          <w:szCs w:val="20"/>
        </w:rPr>
      </w:pPr>
      <w:r w:rsidRPr="00751DBA">
        <w:rPr>
          <w:sz w:val="20"/>
          <w:szCs w:val="20"/>
          <w:vertAlign w:val="superscript"/>
        </w:rPr>
        <w:t xml:space="preserve">b </w:t>
      </w:r>
      <w:r w:rsidR="00CE3D96" w:rsidRPr="00751DBA">
        <w:rPr>
          <w:sz w:val="20"/>
          <w:szCs w:val="20"/>
        </w:rPr>
        <w:t>B</w:t>
      </w:r>
      <w:r w:rsidRPr="00751DBA">
        <w:rPr>
          <w:sz w:val="20"/>
          <w:szCs w:val="20"/>
        </w:rPr>
        <w:t xml:space="preserve">alance studies </w:t>
      </w:r>
      <w:r w:rsidR="00EF3D37" w:rsidRPr="00751DBA">
        <w:rPr>
          <w:sz w:val="20"/>
          <w:szCs w:val="20"/>
        </w:rPr>
        <w:t>limited by the lack of direct measurement of sodium content in foods consumed and relied on nutrient composition data from various sources.</w:t>
      </w:r>
      <w:r w:rsidRPr="00751DBA">
        <w:rPr>
          <w:sz w:val="20"/>
          <w:szCs w:val="20"/>
        </w:rPr>
        <w:t xml:space="preserve"> </w:t>
      </w:r>
    </w:p>
    <w:p w14:paraId="357F47FC" w14:textId="28BF79D1" w:rsidR="00D25C87" w:rsidRPr="00751DBA" w:rsidRDefault="00E367DD" w:rsidP="00751DBA">
      <w:pPr>
        <w:spacing w:after="0"/>
        <w:rPr>
          <w:sz w:val="20"/>
          <w:szCs w:val="20"/>
        </w:rPr>
      </w:pPr>
      <w:r w:rsidRPr="00751DBA">
        <w:rPr>
          <w:sz w:val="20"/>
          <w:szCs w:val="20"/>
          <w:vertAlign w:val="superscript"/>
        </w:rPr>
        <w:t>c</w:t>
      </w:r>
      <w:r w:rsidR="00D25C87" w:rsidRPr="00751DBA">
        <w:rPr>
          <w:sz w:val="20"/>
          <w:szCs w:val="20"/>
        </w:rPr>
        <w:t xml:space="preserve"> </w:t>
      </w:r>
      <w:r w:rsidR="00CE3D96" w:rsidRPr="00751DBA">
        <w:rPr>
          <w:sz w:val="20"/>
          <w:szCs w:val="20"/>
        </w:rPr>
        <w:t>B</w:t>
      </w:r>
      <w:r w:rsidR="00DD6FF1" w:rsidRPr="00751DBA">
        <w:rPr>
          <w:sz w:val="20"/>
          <w:szCs w:val="20"/>
        </w:rPr>
        <w:t xml:space="preserve">alance studies limited by lack of direct assessment of one or more sources of sodium loss, typically either </w:t>
      </w:r>
      <w:r w:rsidR="00CE3D96" w:rsidRPr="00751DBA">
        <w:rPr>
          <w:sz w:val="20"/>
          <w:szCs w:val="20"/>
        </w:rPr>
        <w:t>faecal</w:t>
      </w:r>
      <w:r w:rsidR="00DD6FF1" w:rsidRPr="00751DBA">
        <w:rPr>
          <w:sz w:val="20"/>
          <w:szCs w:val="20"/>
        </w:rPr>
        <w:t xml:space="preserve"> or whole body sweat or both.</w:t>
      </w:r>
    </w:p>
    <w:p w14:paraId="6D401FA9" w14:textId="77777777" w:rsidR="00762FC4" w:rsidRDefault="00E367DD" w:rsidP="008A0BAB">
      <w:pPr>
        <w:spacing w:after="0"/>
        <w:rPr>
          <w:sz w:val="20"/>
          <w:szCs w:val="20"/>
        </w:rPr>
        <w:sectPr w:rsidR="00762FC4" w:rsidSect="00762FC4">
          <w:headerReference w:type="default" r:id="rId47"/>
          <w:footnotePr>
            <w:pos w:val="beneathText"/>
          </w:footnotePr>
          <w:pgSz w:w="16838" w:h="11906" w:orient="landscape"/>
          <w:pgMar w:top="284" w:right="1440" w:bottom="567" w:left="1440" w:header="421" w:footer="708" w:gutter="0"/>
          <w:cols w:space="708"/>
          <w:docGrid w:linePitch="360"/>
        </w:sectPr>
      </w:pPr>
      <w:r w:rsidRPr="00751DBA">
        <w:rPr>
          <w:sz w:val="20"/>
          <w:szCs w:val="20"/>
          <w:vertAlign w:val="superscript"/>
        </w:rPr>
        <w:t xml:space="preserve">d </w:t>
      </w:r>
      <w:r w:rsidR="004449F9" w:rsidRPr="00751DBA">
        <w:rPr>
          <w:sz w:val="20"/>
          <w:szCs w:val="20"/>
        </w:rPr>
        <w:t xml:space="preserve">Balance studies limited by lack of direct measurement of sodium content </w:t>
      </w:r>
      <w:r w:rsidR="004449F9" w:rsidRPr="004449F9">
        <w:rPr>
          <w:sz w:val="20"/>
          <w:szCs w:val="20"/>
        </w:rPr>
        <w:t>in foods consumed and by lack of assessment of one or more sources of sodium losses</w:t>
      </w:r>
    </w:p>
    <w:p w14:paraId="646CE20E" w14:textId="77777777" w:rsidR="00762FC4" w:rsidRPr="00C44EA6" w:rsidRDefault="00762FC4" w:rsidP="00762FC4">
      <w:pPr>
        <w:pStyle w:val="Heading2"/>
        <w:tabs>
          <w:tab w:val="left" w:pos="5546"/>
        </w:tabs>
        <w:rPr>
          <w:b/>
          <w:bCs/>
        </w:rPr>
      </w:pPr>
      <w:bookmarkStart w:id="57" w:name="_Toc234960847"/>
      <w:r w:rsidRPr="00C44EA6">
        <w:rPr>
          <w:b/>
          <w:bCs/>
        </w:rPr>
        <w:lastRenderedPageBreak/>
        <w:t>Low sodium intake and adverse health outcomes</w:t>
      </w:r>
      <w:bookmarkEnd w:id="57"/>
    </w:p>
    <w:p w14:paraId="402926ED" w14:textId="77777777" w:rsidR="00762FC4" w:rsidRDefault="00762FC4" w:rsidP="00762FC4">
      <w:pPr>
        <w:pStyle w:val="Heading3"/>
        <w:spacing w:line="240" w:lineRule="auto"/>
      </w:pPr>
      <w:bookmarkStart w:id="58" w:name="_Toc234960848"/>
      <w:r>
        <w:t>Morbidity and mortality</w:t>
      </w:r>
      <w:bookmarkEnd w:id="58"/>
    </w:p>
    <w:p w14:paraId="05C724E6" w14:textId="77777777" w:rsidR="00762FC4" w:rsidRDefault="00762FC4" w:rsidP="00762FC4">
      <w:pPr>
        <w:pStyle w:val="Heading4"/>
      </w:pPr>
      <w:r>
        <w:t>Evidence underpinning international recommendations</w:t>
      </w:r>
    </w:p>
    <w:p w14:paraId="43DF3404" w14:textId="77777777" w:rsidR="00762FC4" w:rsidRDefault="00762FC4" w:rsidP="00762FC4">
      <w:pPr>
        <w:spacing w:line="276" w:lineRule="auto"/>
      </w:pPr>
      <w:r>
        <w:t xml:space="preserve">The 2018 AHRQ systematic review noted that some meta-analyses of cohort studies have suggested a curvilinear relationship between sodium intake and mortality, with greater mortality associated with both low and high sodium intakes </w:t>
      </w:r>
      <w:r>
        <w:fldChar w:fldCharType="begin"/>
      </w:r>
      <w:r>
        <w:instrText xml:space="preserve"> ADDIN EN.CITE &lt;EndNote&gt;&lt;Cite&gt;&lt;Author&gt;Newberry&lt;/Author&gt;&lt;Year&gt;2018&lt;/Year&gt;&lt;RecNum&gt;621&lt;/RecNum&gt;&lt;DisplayText&gt;(Newberry et al., 2018)&lt;/DisplayText&gt;&lt;record&gt;&lt;rec-number&gt;621&lt;/rec-number&gt;&lt;foreign-keys&gt;&lt;key app="EN" db-id="wwsdv2wwp29fenerv0kx5tw9zxtx2fdrprx2" timestamp="1762743452"&gt;621&lt;/key&gt;&lt;/foreign-keys&gt;&lt;ref-type name="Book Section"&gt;5&lt;/ref-type&gt;&lt;contributors&gt;&lt;authors&gt;&lt;author&gt;Newberry, S. J.&lt;/author&gt;&lt;author&gt;Chung, M.&lt;/author&gt;&lt;author&gt;Anderson, C. A. M.&lt;/author&gt;&lt;author&gt;Chen, C.&lt;/author&gt;&lt;author&gt;Fu, Z.&lt;/author&gt;&lt;author&gt;Tang, A.&lt;/author&gt;&lt;author&gt;Zhao, N.&lt;/author&gt;&lt;author&gt;Booth, M.&lt;/author&gt;&lt;author&gt;Marks, J.&lt;/author&gt;&lt;author&gt;Hollands, S.&lt;/author&gt;&lt;author&gt;Motala, A.&lt;/author&gt;&lt;author&gt;Larkin, J.&lt;/author&gt;&lt;author&gt;Shanman, R.&lt;/author&gt;&lt;author&gt;Hempel, S.&lt;/author&gt;&lt;/authors&gt;&lt;/contributors&gt;&lt;auth-address&gt;RAND Southern California Evidence-based Practice Center&lt;/auth-address&gt;&lt;titles&gt;&lt;title&gt;Sodium and Potassium Intake: Effects on Chronic Disease Outcomes and Risks&lt;/title&gt;&lt;tertiary-title&gt;AHRQ Comparative Effectiveness Reviews&lt;/tertiary-title&gt;&lt;/titles&gt;&lt;dates&gt;&lt;year&gt;2018&lt;/year&gt;&lt;/dates&gt;&lt;pub-location&gt;Rockville (MD)&lt;/pub-location&gt;&lt;publisher&gt;Agency for Healthcare Research and Quality (US)&lt;/publisher&gt;&lt;accession-num&gt;30125063&lt;/accession-num&gt;&lt;urls&gt;&lt;/urls&gt;&lt;language&gt;eng&lt;/language&gt;&lt;/record&gt;&lt;/Cite&gt;&lt;/EndNote&gt;</w:instrText>
      </w:r>
      <w:r>
        <w:fldChar w:fldCharType="separate"/>
      </w:r>
      <w:r>
        <w:rPr>
          <w:noProof/>
        </w:rPr>
        <w:t>(Newberry et al., 2018)</w:t>
      </w:r>
      <w:r>
        <w:fldChar w:fldCharType="end"/>
      </w:r>
      <w:r>
        <w:t xml:space="preserve">. However, this relationship is not supported by the limited evidence from RCTs, which found a non-statistically significant decrease in the risk of all-cause mortality with lower sodium intakes (certainty rating: insufficient). The authors suggest that findings from observational studies may be explained by reverse causality (whereby participants with </w:t>
      </w:r>
      <w:r w:rsidRPr="006F654A">
        <w:t xml:space="preserve">medical </w:t>
      </w:r>
      <w:r>
        <w:t xml:space="preserve">conditions may lower </w:t>
      </w:r>
      <w:r w:rsidRPr="006F654A">
        <w:t xml:space="preserve">their intake </w:t>
      </w:r>
      <w:r>
        <w:t xml:space="preserve">of sodium owing to their pre-existing health status) or errors in estimation of intake. This finding has also been supported in a Policy Statement from the World Hypertension League, which noted that inclusion of studies using estimation of 24-hour excretion via the Kawasaki equation changed the mortality association from a linear relationship (observed when based on 24-hour urine collections) to a </w:t>
      </w:r>
      <w:r w:rsidRPr="00C248DC">
        <w:t>J-shaped</w:t>
      </w:r>
      <w:r>
        <w:t xml:space="preserve"> curve </w:t>
      </w:r>
      <w:r>
        <w:fldChar w:fldCharType="begin">
          <w:fldData xml:space="preserve">PEVuZE5vdGU+PENpdGU+PEF1dGhvcj5QZXRlcnNlbjwvQXV0aG9yPjxZZWFyPjIwMjA8L1llYXI+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</w:fldData>
        </w:fldChar>
      </w:r>
      <w:r>
        <w:instrText xml:space="preserve"> ADDIN EN.CITE </w:instrText>
      </w:r>
      <w:r>
        <w:fldChar w:fldCharType="begin">
          <w:fldData xml:space="preserve">PEVuZE5vdGU+PENpdGU+PEF1dGhvcj5QZXRlcnNlbjwvQXV0aG9yPjxZZWFyPjIwMjA8L1llYXI+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</w:fldData>
        </w:fldChar>
      </w:r>
      <w:r>
        <w:instrText xml:space="preserve"> ADDIN EN.CITE.DATA </w:instrText>
      </w:r>
      <w:r>
        <w:fldChar w:fldCharType="end"/>
      </w:r>
      <w:r>
        <w:fldChar w:fldCharType="separate"/>
      </w:r>
      <w:r>
        <w:rPr>
          <w:noProof/>
        </w:rPr>
        <w:t>(Petersen et al., 2020)</w:t>
      </w:r>
      <w:r>
        <w:fldChar w:fldCharType="end"/>
      </w:r>
      <w:r w:rsidRPr="00C248DC">
        <w:t xml:space="preserve">. </w:t>
      </w:r>
    </w:p>
    <w:p w14:paraId="64DB5A96" w14:textId="77777777" w:rsidR="00762FC4" w:rsidRDefault="00762FC4" w:rsidP="00762FC4">
      <w:pPr>
        <w:spacing w:line="276" w:lineRule="auto"/>
      </w:pPr>
      <w:r>
        <w:t>To inform establishment of an ‘Adequate Intake’ recommendation, the AHRQ (2018) sought to identify RCTs that examined sodium reduction</w:t>
      </w:r>
      <w:r w:rsidRPr="00637721">
        <w:t xml:space="preserve"> </w:t>
      </w:r>
      <w:r>
        <w:t>trials in which:</w:t>
      </w:r>
    </w:p>
    <w:p w14:paraId="4E2F243A" w14:textId="77777777" w:rsidR="00762FC4" w:rsidRDefault="00762FC4" w:rsidP="00762FC4">
      <w:pPr>
        <w:pStyle w:val="ListParagraph"/>
        <w:numPr>
          <w:ilvl w:val="0"/>
          <w:numId w:val="9"/>
        </w:numPr>
        <w:spacing w:line="276" w:lineRule="auto"/>
      </w:pPr>
      <w:r>
        <w:t xml:space="preserve">one or more arms had low sodium intake (below 1,800 mg/day) and </w:t>
      </w:r>
    </w:p>
    <w:p w14:paraId="018DA8F4" w14:textId="77777777" w:rsidR="00762FC4" w:rsidRDefault="00762FC4" w:rsidP="00762FC4">
      <w:pPr>
        <w:pStyle w:val="ListParagraph"/>
        <w:numPr>
          <w:ilvl w:val="0"/>
          <w:numId w:val="9"/>
        </w:numPr>
        <w:spacing w:line="276" w:lineRule="auto"/>
      </w:pPr>
      <w:r>
        <w:t xml:space="preserve">no deficiency symptoms or adverse health outcomes were recorded. </w:t>
      </w:r>
    </w:p>
    <w:p w14:paraId="329750FD" w14:textId="36C02C39" w:rsidR="00762FC4" w:rsidRDefault="00762FC4" w:rsidP="00762FC4">
      <w:pPr>
        <w:spacing w:line="276" w:lineRule="auto"/>
      </w:pPr>
      <w:r>
        <w:t xml:space="preserve">Eight RCTs were identified with mean sodium intakes in the low sodium arm ranging from 851 to 1,794 mg/day; the majority among hypertensive or pre-hypertensive groups. Data on these studies are extracted (as presented in Newberry et al, 2018) and shown in </w:t>
      </w:r>
      <w:r>
        <w:fldChar w:fldCharType="begin"/>
      </w:r>
      <w:r>
        <w:instrText xml:space="preserve"> REF _Ref227000584 \h </w:instrText>
      </w:r>
      <w:r>
        <w:fldChar w:fldCharType="separate"/>
      </w:r>
      <w:r>
        <w:t xml:space="preserve">Table </w:t>
      </w:r>
      <w:r>
        <w:rPr>
          <w:noProof/>
        </w:rPr>
        <w:t>10</w:t>
      </w:r>
      <w:r>
        <w:fldChar w:fldCharType="end"/>
      </w:r>
      <w:r>
        <w:t xml:space="preserve"> below. </w:t>
      </w:r>
    </w:p>
    <w:p w14:paraId="720AC42A" w14:textId="77777777" w:rsidR="00762FC4" w:rsidRDefault="00762FC4" w:rsidP="00762FC4">
      <w:pPr>
        <w:pStyle w:val="Heading4"/>
      </w:pPr>
      <w:r>
        <w:t>Supplementary evidence</w:t>
      </w:r>
    </w:p>
    <w:p w14:paraId="221464D3" w14:textId="77777777" w:rsidR="00762FC4" w:rsidRPr="00C11956" w:rsidRDefault="00762FC4" w:rsidP="00762FC4">
      <w:pPr>
        <w:spacing w:line="276" w:lineRule="auto"/>
      </w:pPr>
      <w:r w:rsidRPr="00FB1E8A">
        <w:t>No s</w:t>
      </w:r>
      <w:r>
        <w:t>upplementary</w:t>
      </w:r>
      <w:r w:rsidRPr="00FB1E8A">
        <w:t xml:space="preserve"> systematic reviews were identified published since 2018 that examined the relationship between low sodium intake and adverse health outcomes</w:t>
      </w:r>
      <w:r>
        <w:t xml:space="preserve"> among the general population</w:t>
      </w:r>
      <w:r w:rsidRPr="00FB1E8A">
        <w:t>.</w:t>
      </w:r>
    </w:p>
    <w:p w14:paraId="6F2398E9" w14:textId="38203D01" w:rsidR="00911F18" w:rsidRPr="00751DBA" w:rsidRDefault="00911F18" w:rsidP="008A0BAB">
      <w:pPr>
        <w:spacing w:after="0"/>
        <w:rPr>
          <w:sz w:val="20"/>
          <w:szCs w:val="20"/>
        </w:rPr>
        <w:sectPr w:rsidR="00911F18" w:rsidRPr="00751DBA" w:rsidSect="00762FC4">
          <w:footnotePr>
            <w:pos w:val="beneathText"/>
          </w:footnotePr>
          <w:pgSz w:w="11906" w:h="16838"/>
          <w:pgMar w:top="993" w:right="1080" w:bottom="1440" w:left="1080" w:header="421" w:footer="708" w:gutter="0"/>
          <w:cols w:space="708"/>
          <w:docGrid w:linePitch="360"/>
        </w:sectPr>
      </w:pPr>
    </w:p>
    <w:p w14:paraId="781C83A9" w14:textId="7DF86504" w:rsidR="008649ED" w:rsidRDefault="008649ED" w:rsidP="008649ED">
      <w:pPr>
        <w:pStyle w:val="Caption"/>
        <w:keepNext/>
      </w:pPr>
      <w:bookmarkStart w:id="59" w:name="_Ref227000584"/>
      <w:r>
        <w:lastRenderedPageBreak/>
        <w:t xml:space="preserve">Table </w:t>
      </w:r>
      <w:r>
        <w:fldChar w:fldCharType="begin"/>
      </w:r>
      <w:r>
        <w:instrText>SEQ Table \* ARABIC</w:instrText>
      </w:r>
      <w:r>
        <w:fldChar w:fldCharType="separate"/>
      </w:r>
      <w:r w:rsidR="00B90577">
        <w:rPr>
          <w:noProof/>
        </w:rPr>
        <w:t>10</w:t>
      </w:r>
      <w:r>
        <w:fldChar w:fldCharType="end"/>
      </w:r>
      <w:bookmarkEnd w:id="59"/>
      <w:r>
        <w:t xml:space="preserve"> - RCTs with low sodium dose reporting no adverse health outcomes</w:t>
      </w:r>
      <w:r w:rsidR="0009516F">
        <w:t>, a</w:t>
      </w:r>
      <w:r>
        <w:t>dapted from:</w:t>
      </w:r>
      <w:r>
        <w:fldChar w:fldCharType="begin"/>
      </w:r>
      <w:r>
        <w:instrText xml:space="preserve"> ADDIN EN.CITE &lt;EndNote&gt;&lt;Cite&gt;&lt;Author&gt;Newberry&lt;/Author&gt;&lt;Year&gt;2018&lt;/Year&gt;&lt;RecNum&gt;621&lt;/RecNum&gt;&lt;DisplayText&gt;(Newberry et al., 2018)&lt;/DisplayText&gt;&lt;record&gt;&lt;rec-number&gt;621&lt;/rec-number&gt;&lt;foreign-keys&gt;&lt;key app="EN" db-id="wwsdv2wwp29fenerv0kx5tw9zxtx2fdrprx2" timestamp="1762743452"&gt;621&lt;/key&gt;&lt;/foreign-keys&gt;&lt;ref-type name="Book Section"&gt;5&lt;/ref-type&gt;&lt;contributors&gt;&lt;authors&gt;&lt;author&gt;Newberry, S. J.&lt;/author&gt;&lt;author&gt;Chung, M.&lt;/author&gt;&lt;author&gt;Anderson, C. A. M.&lt;/author&gt;&lt;author&gt;Chen, C.&lt;/author&gt;&lt;author&gt;Fu, Z.&lt;/author&gt;&lt;author&gt;Tang, A.&lt;/author&gt;&lt;author&gt;Zhao, N.&lt;/author&gt;&lt;author&gt;Booth, M.&lt;/author&gt;&lt;author&gt;Marks, J.&lt;/author&gt;&lt;author&gt;Hollands, S.&lt;/author&gt;&lt;author&gt;Motala, A.&lt;/author&gt;&lt;author&gt;Larkin, J.&lt;/author&gt;&lt;author&gt;Shanman, R.&lt;/author&gt;&lt;author&gt;Hempel, S.&lt;/author&gt;&lt;/authors&gt;&lt;/contributors&gt;&lt;auth-address&gt;RAND Southern California Evidence-based Practice Center&lt;/auth-address&gt;&lt;titles&gt;&lt;title&gt;Sodium and Potassium Intake: Effects on Chronic Disease Outcomes and Risks&lt;/title&gt;&lt;tertiary-title&gt;AHRQ Comparative Effectiveness Reviews&lt;/tertiary-title&gt;&lt;/titles&gt;&lt;dates&gt;&lt;year&gt;2018&lt;/year&gt;&lt;/dates&gt;&lt;pub-location&gt;Rockville (MD)&lt;/pub-location&gt;&lt;publisher&gt;Agency for Healthcare Research and Quality (US)&lt;/publisher&gt;&lt;accession-num&gt;30125063&lt;/accession-num&gt;&lt;urls&gt;&lt;/urls&gt;&lt;language&gt;eng&lt;/language&gt;&lt;/record&gt;&lt;/Cite&gt;&lt;/EndNote&gt;</w:instrText>
      </w:r>
      <w:r>
        <w:fldChar w:fldCharType="separate"/>
      </w:r>
      <w:r>
        <w:rPr>
          <w:noProof/>
        </w:rPr>
        <w:t>(Newberry et al., 2018)</w:t>
      </w:r>
      <w:r>
        <w:fldChar w:fldCharType="end"/>
      </w:r>
    </w:p>
    <w:tbl>
      <w:tblPr>
        <w:tblStyle w:val="GridTable5Dark-Accent1"/>
        <w:tblW w:w="15309" w:type="dxa"/>
        <w:tblInd w:w="-572" w:type="dxa"/>
        <w:tblLayout w:type="fixed"/>
        <w:tblLook w:val="04A0" w:firstRow="1" w:lastRow="0" w:firstColumn="1" w:lastColumn="0" w:noHBand="0" w:noVBand="1"/>
      </w:tblPr>
      <w:tblGrid>
        <w:gridCol w:w="1413"/>
        <w:gridCol w:w="1843"/>
        <w:gridCol w:w="2840"/>
        <w:gridCol w:w="3260"/>
        <w:gridCol w:w="2126"/>
        <w:gridCol w:w="3827"/>
      </w:tblGrid>
      <w:tr w:rsidR="003143D6" w:rsidRPr="000529EF" w14:paraId="03332961" w14:textId="77777777" w:rsidTr="00762FC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413" w:type="dxa"/>
            <w:tcBorders>
              <w:top w:val="nil"/>
              <w:left w:val="single" w:sz="4" w:space="0" w:color="156082" w:themeColor="accent1"/>
              <w:bottom w:val="single" w:sz="4" w:space="0" w:color="156082" w:themeColor="accent1"/>
            </w:tcBorders>
          </w:tcPr>
          <w:p w14:paraId="6A386DD0" w14:textId="0D11A452" w:rsidR="00140123" w:rsidRPr="000529EF" w:rsidRDefault="00140123" w:rsidP="001261F0">
            <w:pPr>
              <w:rPr>
                <w:sz w:val="20"/>
                <w:szCs w:val="20"/>
              </w:rPr>
            </w:pPr>
            <w:r w:rsidRPr="000529EF">
              <w:rPr>
                <w:sz w:val="20"/>
                <w:szCs w:val="20"/>
              </w:rPr>
              <w:t>Study ID</w:t>
            </w:r>
          </w:p>
        </w:tc>
        <w:tc>
          <w:tcPr>
            <w:tcW w:w="1843" w:type="dxa"/>
            <w:tcBorders>
              <w:top w:val="nil"/>
              <w:bottom w:val="single" w:sz="4" w:space="0" w:color="156082" w:themeColor="accent1"/>
            </w:tcBorders>
          </w:tcPr>
          <w:p w14:paraId="11D9BA0E" w14:textId="17F60005" w:rsidR="00140123" w:rsidRPr="000529EF" w:rsidRDefault="00140123" w:rsidP="001261F0">
            <w:pPr>
              <w:cnfStyle w:val="100000000000" w:firstRow="1" w:lastRow="0" w:firstColumn="0" w:lastColumn="0" w:oddVBand="0" w:evenVBand="0" w:oddHBand="0" w:evenHBand="0" w:firstRowFirstColumn="0" w:firstRowLastColumn="0" w:lastRowFirstColumn="0" w:lastRowLastColumn="0"/>
              <w:rPr>
                <w:sz w:val="20"/>
                <w:szCs w:val="20"/>
              </w:rPr>
            </w:pPr>
            <w:r w:rsidRPr="000529EF">
              <w:rPr>
                <w:sz w:val="20"/>
                <w:szCs w:val="20"/>
              </w:rPr>
              <w:t>Setting / Design</w:t>
            </w:r>
          </w:p>
        </w:tc>
        <w:tc>
          <w:tcPr>
            <w:tcW w:w="2840" w:type="dxa"/>
            <w:tcBorders>
              <w:top w:val="nil"/>
              <w:bottom w:val="single" w:sz="4" w:space="0" w:color="156082" w:themeColor="accent1"/>
            </w:tcBorders>
          </w:tcPr>
          <w:p w14:paraId="68C3575E" w14:textId="2B44CECE" w:rsidR="00140123" w:rsidRPr="000529EF" w:rsidRDefault="00140123" w:rsidP="001261F0">
            <w:pPr>
              <w:cnfStyle w:val="100000000000" w:firstRow="1" w:lastRow="0" w:firstColumn="0" w:lastColumn="0" w:oddVBand="0" w:evenVBand="0" w:oddHBand="0" w:evenHBand="0" w:firstRowFirstColumn="0" w:firstRowLastColumn="0" w:lastRowFirstColumn="0" w:lastRowLastColumn="0"/>
              <w:rPr>
                <w:sz w:val="20"/>
                <w:szCs w:val="20"/>
              </w:rPr>
            </w:pPr>
            <w:r w:rsidRPr="000529EF">
              <w:rPr>
                <w:sz w:val="20"/>
                <w:szCs w:val="20"/>
              </w:rPr>
              <w:t>Participants</w:t>
            </w:r>
          </w:p>
        </w:tc>
        <w:tc>
          <w:tcPr>
            <w:tcW w:w="3260" w:type="dxa"/>
            <w:tcBorders>
              <w:top w:val="nil"/>
              <w:bottom w:val="single" w:sz="4" w:space="0" w:color="156082" w:themeColor="accent1"/>
            </w:tcBorders>
          </w:tcPr>
          <w:p w14:paraId="28FB9867" w14:textId="09BE80D1" w:rsidR="00140123" w:rsidRPr="000529EF" w:rsidRDefault="00140123" w:rsidP="001261F0">
            <w:pPr>
              <w:cnfStyle w:val="100000000000" w:firstRow="1" w:lastRow="0" w:firstColumn="0" w:lastColumn="0" w:oddVBand="0" w:evenVBand="0" w:oddHBand="0" w:evenHBand="0" w:firstRowFirstColumn="0" w:firstRowLastColumn="0" w:lastRowFirstColumn="0" w:lastRowLastColumn="0"/>
              <w:rPr>
                <w:sz w:val="20"/>
                <w:szCs w:val="20"/>
              </w:rPr>
            </w:pPr>
            <w:r w:rsidRPr="000529EF">
              <w:rPr>
                <w:sz w:val="20"/>
                <w:szCs w:val="20"/>
              </w:rPr>
              <w:t>Interventions</w:t>
            </w:r>
          </w:p>
        </w:tc>
        <w:tc>
          <w:tcPr>
            <w:tcW w:w="2126" w:type="dxa"/>
            <w:tcBorders>
              <w:top w:val="nil"/>
              <w:bottom w:val="single" w:sz="4" w:space="0" w:color="156082" w:themeColor="accent1"/>
            </w:tcBorders>
          </w:tcPr>
          <w:p w14:paraId="5712666E" w14:textId="6C608C71" w:rsidR="00140123" w:rsidRPr="000529EF" w:rsidRDefault="00140123" w:rsidP="001261F0">
            <w:pPr>
              <w:cnfStyle w:val="100000000000" w:firstRow="1" w:lastRow="0" w:firstColumn="0" w:lastColumn="0" w:oddVBand="0" w:evenVBand="0" w:oddHBand="0" w:evenHBand="0" w:firstRowFirstColumn="0" w:firstRowLastColumn="0" w:lastRowFirstColumn="0" w:lastRowLastColumn="0"/>
              <w:rPr>
                <w:sz w:val="20"/>
                <w:szCs w:val="20"/>
              </w:rPr>
            </w:pPr>
            <w:r w:rsidRPr="000529EF">
              <w:rPr>
                <w:sz w:val="20"/>
                <w:szCs w:val="20"/>
              </w:rPr>
              <w:t>Comparison</w:t>
            </w:r>
          </w:p>
        </w:tc>
        <w:tc>
          <w:tcPr>
            <w:tcW w:w="3827" w:type="dxa"/>
            <w:tcBorders>
              <w:top w:val="nil"/>
              <w:bottom w:val="single" w:sz="4" w:space="0" w:color="156082" w:themeColor="accent1"/>
              <w:right w:val="single" w:sz="4" w:space="0" w:color="156082" w:themeColor="accent1"/>
            </w:tcBorders>
          </w:tcPr>
          <w:p w14:paraId="38C4195C" w14:textId="13490094" w:rsidR="00140123" w:rsidRPr="000529EF" w:rsidRDefault="00140123" w:rsidP="001261F0">
            <w:pPr>
              <w:cnfStyle w:val="100000000000" w:firstRow="1" w:lastRow="0" w:firstColumn="0" w:lastColumn="0" w:oddVBand="0" w:evenVBand="0" w:oddHBand="0" w:evenHBand="0" w:firstRowFirstColumn="0" w:firstRowLastColumn="0" w:lastRowFirstColumn="0" w:lastRowLastColumn="0"/>
              <w:rPr>
                <w:sz w:val="20"/>
                <w:szCs w:val="20"/>
              </w:rPr>
            </w:pPr>
            <w:r w:rsidRPr="000529EF">
              <w:rPr>
                <w:sz w:val="20"/>
                <w:szCs w:val="20"/>
              </w:rPr>
              <w:t>Sodium measurement</w:t>
            </w:r>
          </w:p>
        </w:tc>
      </w:tr>
      <w:tr w:rsidR="000529EF" w:rsidRPr="000529EF" w14:paraId="73FB9C45" w14:textId="77777777" w:rsidTr="00762FC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7FB64CD8" w14:textId="77777777" w:rsidR="00140123" w:rsidRPr="000529EF" w:rsidRDefault="00140123" w:rsidP="00AA465A">
            <w:pPr>
              <w:spacing w:after="120"/>
              <w:rPr>
                <w:color w:val="auto"/>
                <w:sz w:val="20"/>
                <w:szCs w:val="20"/>
              </w:rPr>
            </w:pPr>
            <w:r w:rsidRPr="000529EF">
              <w:rPr>
                <w:color w:val="auto"/>
                <w:sz w:val="20"/>
                <w:szCs w:val="20"/>
              </w:rPr>
              <w:t>Beard et al (1982)</w:t>
            </w:r>
          </w:p>
          <w:p w14:paraId="06A13FA3" w14:textId="77777777" w:rsidR="00140123" w:rsidRPr="000529EF" w:rsidRDefault="00140123" w:rsidP="00AA465A">
            <w:pPr>
              <w:spacing w:after="120"/>
              <w:rPr>
                <w:b w:val="0"/>
                <w:bCs w:val="0"/>
                <w:color w:val="auto"/>
                <w:sz w:val="20"/>
                <w:szCs w:val="20"/>
              </w:rPr>
            </w:pPr>
            <w:r w:rsidRPr="000529EF">
              <w:rPr>
                <w:b w:val="0"/>
                <w:bCs w:val="0"/>
                <w:color w:val="auto"/>
                <w:sz w:val="20"/>
                <w:szCs w:val="20"/>
              </w:rPr>
              <w:t>Australia</w:t>
            </w:r>
          </w:p>
          <w:p w14:paraId="5CC71559" w14:textId="71FF0DBE" w:rsidR="00140123" w:rsidRPr="000529EF" w:rsidRDefault="00100249" w:rsidP="00AA465A">
            <w:pPr>
              <w:spacing w:after="120"/>
              <w:rPr>
                <w:color w:val="auto"/>
                <w:sz w:val="20"/>
                <w:szCs w:val="20"/>
              </w:rPr>
            </w:pPr>
            <w:r w:rsidRPr="000529EF">
              <w:rPr>
                <w:b w:val="0"/>
                <w:bCs w:val="0"/>
                <w:color w:val="auto"/>
                <w:sz w:val="20"/>
                <w:szCs w:val="20"/>
              </w:rPr>
              <w:t xml:space="preserve">High </w:t>
            </w:r>
            <w:r w:rsidR="00140123" w:rsidRPr="000529EF">
              <w:rPr>
                <w:b w:val="0"/>
                <w:bCs w:val="0"/>
                <w:color w:val="auto"/>
                <w:sz w:val="20"/>
                <w:szCs w:val="20"/>
              </w:rPr>
              <w:t>risk of bias</w:t>
            </w:r>
          </w:p>
        </w:tc>
        <w:tc>
          <w:tcPr>
            <w:tcW w:w="184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6203D5A5" w14:textId="77777777" w:rsidR="00140123" w:rsidRPr="000529EF" w:rsidRDefault="00140123" w:rsidP="00D63CB3">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Multi-site, parallel RCT in a community setting</w:t>
            </w:r>
          </w:p>
          <w:p w14:paraId="5C8AF07E" w14:textId="02FA4B4F" w:rsidR="00D63CB3" w:rsidRPr="000529EF" w:rsidRDefault="00D63CB3" w:rsidP="001261F0">
            <w:pPr>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(year</w:t>
            </w:r>
            <w:r w:rsidR="00100B9C" w:rsidRPr="000529EF">
              <w:rPr>
                <w:sz w:val="20"/>
                <w:szCs w:val="20"/>
              </w:rPr>
              <w:t>s</w:t>
            </w:r>
            <w:r w:rsidRPr="000529EF">
              <w:rPr>
                <w:sz w:val="20"/>
                <w:szCs w:val="20"/>
              </w:rPr>
              <w:t xml:space="preserve"> NR)</w:t>
            </w:r>
          </w:p>
        </w:tc>
        <w:tc>
          <w:tcPr>
            <w:tcW w:w="284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5938F79A" w14:textId="354681FF" w:rsidR="00140123" w:rsidRPr="000529EF" w:rsidRDefault="00140123" w:rsidP="00140123">
            <w:pPr>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 xml:space="preserve">113 hypertensive ‘white’ adults taking antihypertensive medication for 3 months or longer </w:t>
            </w:r>
          </w:p>
        </w:tc>
        <w:tc>
          <w:tcPr>
            <w:tcW w:w="326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797FA303" w14:textId="3C5AD6B5" w:rsidR="00140123" w:rsidRPr="000529EF" w:rsidRDefault="00140123" w:rsidP="001261F0">
            <w:pPr>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Diet / lifestyle counselling to reduce sodium intake (no-added-sodium diet)</w:t>
            </w:r>
            <w:r w:rsidR="004C43CA" w:rsidRPr="000529EF">
              <w:rPr>
                <w:sz w:val="20"/>
                <w:szCs w:val="20"/>
              </w:rPr>
              <w:t xml:space="preserve"> for 3 months</w:t>
            </w:r>
          </w:p>
        </w:tc>
        <w:tc>
          <w:tcPr>
            <w:tcW w:w="212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309DA2A7" w14:textId="325FB22D" w:rsidR="00140123" w:rsidRPr="000529EF" w:rsidRDefault="00140123" w:rsidP="001261F0">
            <w:pPr>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Usual sodium diet</w:t>
            </w:r>
            <w:r w:rsidR="004C43CA" w:rsidRPr="000529EF">
              <w:rPr>
                <w:sz w:val="20"/>
                <w:szCs w:val="20"/>
              </w:rPr>
              <w:t xml:space="preserve"> for 3 months</w:t>
            </w:r>
          </w:p>
        </w:tc>
        <w:tc>
          <w:tcPr>
            <w:tcW w:w="3827"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6C7CCC83" w14:textId="77777777" w:rsidR="00EB4341" w:rsidRPr="000529EF" w:rsidRDefault="00EB4341" w:rsidP="00EB4341">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24-hour urinary sodium excretion (without quality control measure)</w:t>
            </w:r>
          </w:p>
          <w:p w14:paraId="2B835B75" w14:textId="1D47F488" w:rsidR="00140123" w:rsidRPr="000529EF" w:rsidRDefault="00140123" w:rsidP="00EB4341">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Int: 37 mmol/day (851 mg/day)</w:t>
            </w:r>
          </w:p>
          <w:p w14:paraId="14EA52F0" w14:textId="68DA850D" w:rsidR="00853DB9" w:rsidRPr="000529EF" w:rsidRDefault="00140123" w:rsidP="00EB4341">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Com: NR</w:t>
            </w:r>
            <w:r w:rsidR="00FA567F" w:rsidRPr="000529EF">
              <w:rPr>
                <w:sz w:val="20"/>
                <w:szCs w:val="20"/>
              </w:rPr>
              <w:t xml:space="preserve"> by AHRQ (2018)</w:t>
            </w:r>
          </w:p>
        </w:tc>
      </w:tr>
      <w:tr w:rsidR="000529EF" w:rsidRPr="000529EF" w14:paraId="315642EA" w14:textId="77777777" w:rsidTr="00762FC4">
        <w:trPr>
          <w:cantSplit/>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0AE2866F" w14:textId="77777777" w:rsidR="00140123" w:rsidRPr="000529EF" w:rsidRDefault="00140123" w:rsidP="002810AE">
            <w:pPr>
              <w:spacing w:after="120"/>
              <w:rPr>
                <w:color w:val="auto"/>
                <w:sz w:val="20"/>
                <w:szCs w:val="20"/>
              </w:rPr>
            </w:pPr>
            <w:r w:rsidRPr="000529EF">
              <w:rPr>
                <w:color w:val="auto"/>
                <w:sz w:val="20"/>
                <w:szCs w:val="20"/>
              </w:rPr>
              <w:t>Sciarrone et al (1992)</w:t>
            </w:r>
          </w:p>
          <w:p w14:paraId="55169259" w14:textId="5C482B07" w:rsidR="00F741EA" w:rsidRPr="000529EF" w:rsidRDefault="00AE0A76" w:rsidP="002810AE">
            <w:pPr>
              <w:spacing w:after="120"/>
              <w:rPr>
                <w:b w:val="0"/>
                <w:bCs w:val="0"/>
                <w:color w:val="auto"/>
                <w:sz w:val="20"/>
                <w:szCs w:val="20"/>
              </w:rPr>
            </w:pPr>
            <w:r w:rsidRPr="000529EF">
              <w:rPr>
                <w:b w:val="0"/>
                <w:bCs w:val="0"/>
                <w:color w:val="auto"/>
                <w:sz w:val="20"/>
                <w:szCs w:val="20"/>
              </w:rPr>
              <w:t>Australia</w:t>
            </w:r>
          </w:p>
          <w:p w14:paraId="45FC4CA9" w14:textId="0CC3F83A" w:rsidR="00F741EA" w:rsidRPr="000529EF" w:rsidRDefault="00F741EA" w:rsidP="002810AE">
            <w:pPr>
              <w:spacing w:after="120"/>
              <w:rPr>
                <w:color w:val="auto"/>
                <w:sz w:val="20"/>
                <w:szCs w:val="20"/>
              </w:rPr>
            </w:pPr>
            <w:r w:rsidRPr="000529EF">
              <w:rPr>
                <w:b w:val="0"/>
                <w:bCs w:val="0"/>
                <w:color w:val="auto"/>
                <w:sz w:val="20"/>
                <w:szCs w:val="20"/>
              </w:rPr>
              <w:t>Low risk of bias</w:t>
            </w:r>
          </w:p>
        </w:tc>
        <w:tc>
          <w:tcPr>
            <w:tcW w:w="184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159B5152" w14:textId="77777777" w:rsidR="00D63CB3" w:rsidRPr="000529EF" w:rsidRDefault="00D63CB3"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Multi-site, f</w:t>
            </w:r>
            <w:r w:rsidR="00AE0A76" w:rsidRPr="000529EF">
              <w:rPr>
                <w:sz w:val="20"/>
                <w:szCs w:val="20"/>
              </w:rPr>
              <w:t>actorial RCT in a community setting</w:t>
            </w:r>
          </w:p>
          <w:p w14:paraId="7B15DB37" w14:textId="2EDAA93D" w:rsidR="00140123" w:rsidRPr="000529EF" w:rsidRDefault="00D63CB3"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(1987-1988)</w:t>
            </w:r>
          </w:p>
        </w:tc>
        <w:tc>
          <w:tcPr>
            <w:tcW w:w="284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1087B56F" w14:textId="2707949B" w:rsidR="00140123" w:rsidRPr="000529EF" w:rsidRDefault="00D63CB3"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81</w:t>
            </w:r>
            <w:r w:rsidR="00AA472F" w:rsidRPr="000529EF">
              <w:rPr>
                <w:sz w:val="20"/>
                <w:szCs w:val="20"/>
              </w:rPr>
              <w:t xml:space="preserve"> hypertensive adults</w:t>
            </w:r>
            <w:r w:rsidR="00C40448" w:rsidRPr="000529EF">
              <w:rPr>
                <w:sz w:val="20"/>
                <w:szCs w:val="20"/>
              </w:rPr>
              <w:t xml:space="preserve"> (treated or untreated) without </w:t>
            </w:r>
            <w:r w:rsidR="002831C8" w:rsidRPr="000529EF">
              <w:rPr>
                <w:sz w:val="20"/>
                <w:szCs w:val="20"/>
              </w:rPr>
              <w:t>cardiovascular disease, diabetes or renal disease</w:t>
            </w:r>
          </w:p>
        </w:tc>
        <w:tc>
          <w:tcPr>
            <w:tcW w:w="326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05C75724" w14:textId="23774C65" w:rsidR="00BF76F0" w:rsidRPr="000529EF" w:rsidRDefault="00BF76F0"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 xml:space="preserve">Int 1: </w:t>
            </w:r>
            <w:r w:rsidR="00AD5C86" w:rsidRPr="000529EF">
              <w:rPr>
                <w:sz w:val="20"/>
                <w:szCs w:val="20"/>
              </w:rPr>
              <w:t>Normal sodium</w:t>
            </w:r>
            <w:r w:rsidR="008F2926" w:rsidRPr="000529EF">
              <w:rPr>
                <w:sz w:val="20"/>
                <w:szCs w:val="20"/>
              </w:rPr>
              <w:t>, normal fat, normal fibre</w:t>
            </w:r>
            <w:r w:rsidR="00AD5C86" w:rsidRPr="000529EF">
              <w:rPr>
                <w:sz w:val="20"/>
                <w:szCs w:val="20"/>
              </w:rPr>
              <w:t xml:space="preserve"> diet plus sodium supplement</w:t>
            </w:r>
            <w:r w:rsidR="00F747EE" w:rsidRPr="000529EF">
              <w:rPr>
                <w:sz w:val="20"/>
                <w:szCs w:val="20"/>
              </w:rPr>
              <w:t xml:space="preserve"> </w:t>
            </w:r>
            <w:r w:rsidR="00AD5C86" w:rsidRPr="000529EF">
              <w:rPr>
                <w:sz w:val="20"/>
                <w:szCs w:val="20"/>
              </w:rPr>
              <w:t>100 mmol/day</w:t>
            </w:r>
          </w:p>
          <w:p w14:paraId="1974C751" w14:textId="369DC314" w:rsidR="00BF76F0" w:rsidRPr="000529EF" w:rsidRDefault="00BF76F0"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 xml:space="preserve">Int 2: </w:t>
            </w:r>
            <w:r w:rsidR="00F747EE" w:rsidRPr="000529EF">
              <w:rPr>
                <w:sz w:val="20"/>
                <w:szCs w:val="20"/>
              </w:rPr>
              <w:t>Low sodium, normal fat, normal fibre diet plus placebo</w:t>
            </w:r>
            <w:r w:rsidR="00497CE4" w:rsidRPr="000529EF">
              <w:rPr>
                <w:sz w:val="20"/>
                <w:szCs w:val="20"/>
              </w:rPr>
              <w:t xml:space="preserve"> pill</w:t>
            </w:r>
          </w:p>
          <w:p w14:paraId="161229EF" w14:textId="49F811BB" w:rsidR="00497CE4" w:rsidRPr="000529EF" w:rsidRDefault="00497CE4"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Int 3: Low sodium, low fat, high fibre diet</w:t>
            </w:r>
            <w:r w:rsidR="001871B6" w:rsidRPr="000529EF">
              <w:rPr>
                <w:sz w:val="20"/>
                <w:szCs w:val="20"/>
              </w:rPr>
              <w:t xml:space="preserve"> plus p</w:t>
            </w:r>
            <w:r w:rsidR="00704CBD" w:rsidRPr="000529EF">
              <w:rPr>
                <w:sz w:val="20"/>
                <w:szCs w:val="20"/>
              </w:rPr>
              <w:t>lacebo</w:t>
            </w:r>
          </w:p>
          <w:p w14:paraId="41481EE4" w14:textId="24E7E03E" w:rsidR="00140123" w:rsidRPr="000529EF" w:rsidRDefault="00BF76F0"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Duration: 2 months</w:t>
            </w:r>
          </w:p>
        </w:tc>
        <w:tc>
          <w:tcPr>
            <w:tcW w:w="212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06D5FA2E" w14:textId="58C9577D" w:rsidR="00140123" w:rsidRPr="000529EF" w:rsidRDefault="00704CBD"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Com: normal sodium, low fat, high fibre plus sodium supplement 100mmol/day for 2 months</w:t>
            </w:r>
          </w:p>
        </w:tc>
        <w:tc>
          <w:tcPr>
            <w:tcW w:w="3827"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3DE41B1B" w14:textId="77777777" w:rsidR="00140123" w:rsidRPr="000529EF" w:rsidRDefault="007A6D24"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Single 24-hour urine analysis with validation (NR)</w:t>
            </w:r>
          </w:p>
          <w:p w14:paraId="41AE60CD" w14:textId="7B5A3EA6" w:rsidR="007A6D24" w:rsidRPr="000529EF" w:rsidRDefault="007A6D24"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Int 1:</w:t>
            </w:r>
            <w:r w:rsidR="008869C1" w:rsidRPr="000529EF">
              <w:rPr>
                <w:sz w:val="20"/>
                <w:szCs w:val="20"/>
              </w:rPr>
              <w:t>NR by AHRQ (2018)</w:t>
            </w:r>
          </w:p>
          <w:p w14:paraId="0D22C735" w14:textId="21295CFB" w:rsidR="007A6D24" w:rsidRPr="000529EF" w:rsidRDefault="007A6D24"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Int 2:</w:t>
            </w:r>
            <w:r w:rsidR="008869C1" w:rsidRPr="000529EF">
              <w:rPr>
                <w:sz w:val="20"/>
                <w:szCs w:val="20"/>
              </w:rPr>
              <w:t xml:space="preserve"> 58.1 mmol/day</w:t>
            </w:r>
            <w:r w:rsidR="00810495" w:rsidRPr="000529EF">
              <w:rPr>
                <w:sz w:val="20"/>
                <w:szCs w:val="20"/>
              </w:rPr>
              <w:t xml:space="preserve"> (1,336.3 mg/day)</w:t>
            </w:r>
          </w:p>
          <w:p w14:paraId="15E30AA6" w14:textId="507D6034" w:rsidR="007A6D24" w:rsidRPr="000529EF" w:rsidRDefault="007A6D24"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Int 3:</w:t>
            </w:r>
            <w:r w:rsidR="008869C1" w:rsidRPr="000529EF">
              <w:rPr>
                <w:sz w:val="20"/>
                <w:szCs w:val="20"/>
              </w:rPr>
              <w:t xml:space="preserve"> 53.1 mmol/day</w:t>
            </w:r>
            <w:r w:rsidR="00810495" w:rsidRPr="000529EF">
              <w:rPr>
                <w:sz w:val="20"/>
                <w:szCs w:val="20"/>
              </w:rPr>
              <w:t xml:space="preserve"> (</w:t>
            </w:r>
            <w:r w:rsidR="006D39F7" w:rsidRPr="000529EF">
              <w:rPr>
                <w:sz w:val="20"/>
                <w:szCs w:val="20"/>
              </w:rPr>
              <w:t>1,221.3 mg/day)</w:t>
            </w:r>
          </w:p>
          <w:p w14:paraId="4FC304B1" w14:textId="347F0D5E" w:rsidR="003D372F" w:rsidRPr="000529EF" w:rsidRDefault="003D372F"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Com: 136.2 mmol/day</w:t>
            </w:r>
            <w:r w:rsidR="006D39F7" w:rsidRPr="000529EF">
              <w:rPr>
                <w:sz w:val="20"/>
                <w:szCs w:val="20"/>
              </w:rPr>
              <w:t xml:space="preserve"> (3,132.6 mg/day)</w:t>
            </w:r>
          </w:p>
        </w:tc>
      </w:tr>
      <w:tr w:rsidR="000529EF" w:rsidRPr="000529EF" w14:paraId="19599140" w14:textId="77777777" w:rsidTr="00762FC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3DD91572" w14:textId="77777777" w:rsidR="00140123" w:rsidRPr="000529EF" w:rsidRDefault="00140123" w:rsidP="002810AE">
            <w:pPr>
              <w:spacing w:after="120"/>
              <w:rPr>
                <w:color w:val="auto"/>
                <w:sz w:val="20"/>
                <w:szCs w:val="20"/>
              </w:rPr>
            </w:pPr>
            <w:r w:rsidRPr="000529EF">
              <w:rPr>
                <w:color w:val="auto"/>
                <w:sz w:val="20"/>
                <w:szCs w:val="20"/>
              </w:rPr>
              <w:t>Todd (2012)</w:t>
            </w:r>
          </w:p>
          <w:p w14:paraId="650F8309" w14:textId="77777777" w:rsidR="00140123" w:rsidRPr="000529EF" w:rsidRDefault="00140123" w:rsidP="002810AE">
            <w:pPr>
              <w:spacing w:after="120"/>
              <w:rPr>
                <w:b w:val="0"/>
                <w:bCs w:val="0"/>
                <w:color w:val="auto"/>
                <w:sz w:val="20"/>
                <w:szCs w:val="20"/>
              </w:rPr>
            </w:pPr>
            <w:r w:rsidRPr="000529EF">
              <w:rPr>
                <w:b w:val="0"/>
                <w:bCs w:val="0"/>
                <w:color w:val="auto"/>
                <w:sz w:val="20"/>
                <w:szCs w:val="20"/>
              </w:rPr>
              <w:t>New Zealand</w:t>
            </w:r>
          </w:p>
          <w:p w14:paraId="49CE8752" w14:textId="7A101B76" w:rsidR="00140123" w:rsidRPr="000529EF" w:rsidRDefault="004C4A17" w:rsidP="004C4A17">
            <w:pPr>
              <w:spacing w:after="120"/>
              <w:rPr>
                <w:color w:val="auto"/>
                <w:sz w:val="20"/>
                <w:szCs w:val="20"/>
              </w:rPr>
            </w:pPr>
            <w:r w:rsidRPr="000529EF">
              <w:rPr>
                <w:b w:val="0"/>
                <w:bCs w:val="0"/>
                <w:color w:val="auto"/>
                <w:sz w:val="20"/>
                <w:szCs w:val="20"/>
              </w:rPr>
              <w:t>Moderate risk</w:t>
            </w:r>
            <w:r w:rsidR="00140123" w:rsidRPr="000529EF">
              <w:rPr>
                <w:b w:val="0"/>
                <w:bCs w:val="0"/>
                <w:color w:val="auto"/>
                <w:sz w:val="20"/>
                <w:szCs w:val="20"/>
              </w:rPr>
              <w:t xml:space="preserve"> of bias</w:t>
            </w:r>
          </w:p>
        </w:tc>
        <w:tc>
          <w:tcPr>
            <w:tcW w:w="184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75647C24" w14:textId="77777777" w:rsidR="00140123" w:rsidRPr="000529EF" w:rsidRDefault="00140123"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Multi-centre crossover RCT in a community setting (14 day washout)</w:t>
            </w:r>
          </w:p>
          <w:p w14:paraId="132A3EE4" w14:textId="5D28D82E" w:rsidR="00D63CB3" w:rsidRPr="000529EF" w:rsidRDefault="00D63CB3"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(year</w:t>
            </w:r>
            <w:r w:rsidR="00100B9C" w:rsidRPr="000529EF">
              <w:rPr>
                <w:sz w:val="20"/>
                <w:szCs w:val="20"/>
              </w:rPr>
              <w:t>s</w:t>
            </w:r>
            <w:r w:rsidRPr="000529EF">
              <w:rPr>
                <w:sz w:val="20"/>
                <w:szCs w:val="20"/>
              </w:rPr>
              <w:t xml:space="preserve"> NR)</w:t>
            </w:r>
          </w:p>
        </w:tc>
        <w:tc>
          <w:tcPr>
            <w:tcW w:w="284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56BB6C18" w14:textId="22D3D511" w:rsidR="00140123" w:rsidRPr="000529EF" w:rsidRDefault="00140123"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23 adults without pre-hypertension or hypertension aged 20-65 years; non-smokers; BMI &lt;30 (kg/m2); no history of cardiovascular disease, diabetes or renal disease.</w:t>
            </w:r>
          </w:p>
        </w:tc>
        <w:tc>
          <w:tcPr>
            <w:tcW w:w="326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24231448" w14:textId="5F39C2B2" w:rsidR="00140123" w:rsidRPr="000529EF" w:rsidRDefault="00BA4877"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Int 1: Low d</w:t>
            </w:r>
            <w:r w:rsidR="00140123" w:rsidRPr="000529EF">
              <w:rPr>
                <w:sz w:val="20"/>
                <w:szCs w:val="20"/>
              </w:rPr>
              <w:t xml:space="preserve">ietary sodium of </w:t>
            </w:r>
            <w:r w:rsidRPr="000529EF">
              <w:rPr>
                <w:sz w:val="20"/>
                <w:szCs w:val="20"/>
              </w:rPr>
              <w:t>60</w:t>
            </w:r>
            <w:r w:rsidR="00311977" w:rsidRPr="000529EF">
              <w:rPr>
                <w:sz w:val="20"/>
                <w:szCs w:val="20"/>
              </w:rPr>
              <w:t xml:space="preserve"> </w:t>
            </w:r>
            <w:r w:rsidR="00140123" w:rsidRPr="000529EF">
              <w:rPr>
                <w:sz w:val="20"/>
                <w:szCs w:val="20"/>
              </w:rPr>
              <w:t>mmol/day</w:t>
            </w:r>
            <w:r w:rsidR="00311977" w:rsidRPr="000529EF">
              <w:rPr>
                <w:sz w:val="20"/>
                <w:szCs w:val="20"/>
              </w:rPr>
              <w:t>, duration NR</w:t>
            </w:r>
          </w:p>
          <w:p w14:paraId="6F2EC88E" w14:textId="72AB68ED" w:rsidR="00311977" w:rsidRPr="000529EF" w:rsidRDefault="00311977"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Int 2: Intermediate dietary sodium of 150 mmol/day, duration NR</w:t>
            </w:r>
          </w:p>
        </w:tc>
        <w:tc>
          <w:tcPr>
            <w:tcW w:w="212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70D0E8BE" w14:textId="5F55C783" w:rsidR="00140123" w:rsidRPr="000529EF" w:rsidRDefault="00140123"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Dietary sodium of 200-250 mmol/day</w:t>
            </w:r>
            <w:r w:rsidR="00311977" w:rsidRPr="000529EF">
              <w:rPr>
                <w:sz w:val="20"/>
                <w:szCs w:val="20"/>
              </w:rPr>
              <w:t>, duration NR</w:t>
            </w:r>
          </w:p>
        </w:tc>
        <w:tc>
          <w:tcPr>
            <w:tcW w:w="3827"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590FA800" w14:textId="53D73C01" w:rsidR="00EE43BA" w:rsidRPr="000529EF" w:rsidRDefault="00EE43BA" w:rsidP="00EE43BA">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 xml:space="preserve">Partial urine </w:t>
            </w:r>
            <w:r w:rsidR="006A0020" w:rsidRPr="000529EF">
              <w:rPr>
                <w:sz w:val="20"/>
                <w:szCs w:val="20"/>
              </w:rPr>
              <w:t>(8h urine) with no mention of equation</w:t>
            </w:r>
          </w:p>
          <w:p w14:paraId="48ACF40C" w14:textId="77777777" w:rsidR="00EE43BA" w:rsidRPr="000529EF" w:rsidRDefault="00EE43BA" w:rsidP="00EE43BA">
            <w:pPr>
              <w:spacing w:after="120"/>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0529EF">
              <w:rPr>
                <w:sz w:val="20"/>
                <w:szCs w:val="20"/>
              </w:rPr>
              <w:t>Sodium:creatinine</w:t>
            </w:r>
            <w:proofErr w:type="spellEnd"/>
            <w:r w:rsidRPr="000529EF">
              <w:rPr>
                <w:sz w:val="20"/>
                <w:szCs w:val="20"/>
              </w:rPr>
              <w:t xml:space="preserve"> ratio</w:t>
            </w:r>
          </w:p>
          <w:p w14:paraId="4F024C96" w14:textId="05EA18B2" w:rsidR="00140123" w:rsidRPr="000529EF" w:rsidRDefault="006A0020"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 xml:space="preserve">Int 1: </w:t>
            </w:r>
            <w:r w:rsidR="003143D6" w:rsidRPr="000529EF">
              <w:rPr>
                <w:sz w:val="20"/>
                <w:szCs w:val="20"/>
              </w:rPr>
              <w:t>10.2</w:t>
            </w:r>
            <w:r w:rsidR="002F3527" w:rsidRPr="000529EF">
              <w:rPr>
                <w:sz w:val="20"/>
                <w:szCs w:val="20"/>
              </w:rPr>
              <w:t xml:space="preserve"> or </w:t>
            </w:r>
            <w:r w:rsidR="00665289" w:rsidRPr="000529EF">
              <w:rPr>
                <w:sz w:val="20"/>
                <w:szCs w:val="20"/>
              </w:rPr>
              <w:t>1,233 mg/day</w:t>
            </w:r>
          </w:p>
          <w:p w14:paraId="36666EC4" w14:textId="4D8A7957" w:rsidR="006A0020" w:rsidRPr="000529EF" w:rsidRDefault="006A0020"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Int 2:</w:t>
            </w:r>
            <w:r w:rsidR="003143D6" w:rsidRPr="000529EF">
              <w:rPr>
                <w:sz w:val="20"/>
                <w:szCs w:val="20"/>
              </w:rPr>
              <w:t xml:space="preserve"> 18.4</w:t>
            </w:r>
          </w:p>
          <w:p w14:paraId="1A730045" w14:textId="11F1C3EA" w:rsidR="006A0020" w:rsidRPr="000529EF" w:rsidRDefault="006A0020"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Com:</w:t>
            </w:r>
            <w:r w:rsidR="003143D6" w:rsidRPr="000529EF">
              <w:rPr>
                <w:sz w:val="20"/>
                <w:szCs w:val="20"/>
              </w:rPr>
              <w:t xml:space="preserve"> NR by AHRQ (2018)</w:t>
            </w:r>
          </w:p>
        </w:tc>
      </w:tr>
      <w:tr w:rsidR="000529EF" w:rsidRPr="000529EF" w14:paraId="0581578D" w14:textId="77777777" w:rsidTr="00762FC4">
        <w:trPr>
          <w:cantSplit/>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112E6CD5" w14:textId="77777777" w:rsidR="00140123" w:rsidRPr="000529EF" w:rsidRDefault="00140123" w:rsidP="002810AE">
            <w:pPr>
              <w:spacing w:after="120"/>
              <w:rPr>
                <w:color w:val="auto"/>
                <w:sz w:val="20"/>
                <w:szCs w:val="20"/>
              </w:rPr>
            </w:pPr>
            <w:r w:rsidRPr="000529EF">
              <w:rPr>
                <w:color w:val="auto"/>
                <w:sz w:val="20"/>
                <w:szCs w:val="20"/>
              </w:rPr>
              <w:lastRenderedPageBreak/>
              <w:t>Sacks et al (2001)</w:t>
            </w:r>
          </w:p>
          <w:p w14:paraId="3D11EF03" w14:textId="11061A3A" w:rsidR="004C4A17" w:rsidRPr="000529EF" w:rsidRDefault="0097250B" w:rsidP="004C4A17">
            <w:pPr>
              <w:spacing w:after="120"/>
              <w:rPr>
                <w:b w:val="0"/>
                <w:bCs w:val="0"/>
                <w:color w:val="auto"/>
                <w:sz w:val="20"/>
                <w:szCs w:val="20"/>
              </w:rPr>
            </w:pPr>
            <w:r w:rsidRPr="000529EF">
              <w:rPr>
                <w:b w:val="0"/>
                <w:bCs w:val="0"/>
                <w:color w:val="auto"/>
                <w:sz w:val="20"/>
                <w:szCs w:val="20"/>
              </w:rPr>
              <w:t>US</w:t>
            </w:r>
          </w:p>
          <w:p w14:paraId="19CFEE34" w14:textId="740B1270" w:rsidR="004C4A17" w:rsidRPr="000529EF" w:rsidRDefault="004C4A17" w:rsidP="004C4A17">
            <w:pPr>
              <w:spacing w:after="120"/>
              <w:rPr>
                <w:color w:val="auto"/>
                <w:sz w:val="20"/>
                <w:szCs w:val="20"/>
              </w:rPr>
            </w:pPr>
            <w:r w:rsidRPr="000529EF">
              <w:rPr>
                <w:b w:val="0"/>
                <w:bCs w:val="0"/>
                <w:color w:val="auto"/>
                <w:sz w:val="20"/>
                <w:szCs w:val="20"/>
              </w:rPr>
              <w:t>Low risk of bias</w:t>
            </w:r>
          </w:p>
        </w:tc>
        <w:tc>
          <w:tcPr>
            <w:tcW w:w="184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3184B19A" w14:textId="77777777" w:rsidR="00140123" w:rsidRPr="000529EF" w:rsidRDefault="00164F78"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Multi-site crossover RCT in a community setting (washout period &lt;5 days)</w:t>
            </w:r>
          </w:p>
          <w:p w14:paraId="58F1FD48" w14:textId="56700AAF" w:rsidR="00164F78" w:rsidRPr="000529EF" w:rsidRDefault="00164F78"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w:t>
            </w:r>
            <w:r w:rsidR="00343A14" w:rsidRPr="000529EF">
              <w:rPr>
                <w:sz w:val="20"/>
                <w:szCs w:val="20"/>
              </w:rPr>
              <w:t>1997-1999</w:t>
            </w:r>
            <w:r w:rsidRPr="000529EF">
              <w:rPr>
                <w:sz w:val="20"/>
                <w:szCs w:val="20"/>
              </w:rPr>
              <w:t>)</w:t>
            </w:r>
          </w:p>
        </w:tc>
        <w:tc>
          <w:tcPr>
            <w:tcW w:w="284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568E9C6E" w14:textId="0A3AB0EC" w:rsidR="00140123" w:rsidRPr="000529EF" w:rsidRDefault="00451747"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 xml:space="preserve">412* </w:t>
            </w:r>
            <w:r w:rsidR="00AB21D1" w:rsidRPr="000529EF">
              <w:rPr>
                <w:sz w:val="20"/>
                <w:szCs w:val="20"/>
              </w:rPr>
              <w:t xml:space="preserve">adults with </w:t>
            </w:r>
            <w:r w:rsidR="00FC3DCC" w:rsidRPr="000529EF">
              <w:rPr>
                <w:sz w:val="20"/>
                <w:szCs w:val="20"/>
              </w:rPr>
              <w:t xml:space="preserve">blood pressure exceeding 120/80. </w:t>
            </w:r>
            <w:r w:rsidR="00FD4C7B" w:rsidRPr="000529EF">
              <w:rPr>
                <w:sz w:val="20"/>
                <w:szCs w:val="20"/>
              </w:rPr>
              <w:t>Excluded were i</w:t>
            </w:r>
            <w:r w:rsidR="007A333D" w:rsidRPr="000529EF">
              <w:rPr>
                <w:sz w:val="20"/>
                <w:szCs w:val="20"/>
              </w:rPr>
              <w:t xml:space="preserve">ndividuals </w:t>
            </w:r>
            <w:proofErr w:type="gramStart"/>
            <w:r w:rsidR="007A333D" w:rsidRPr="000529EF">
              <w:rPr>
                <w:sz w:val="20"/>
                <w:szCs w:val="20"/>
              </w:rPr>
              <w:t>with</w:t>
            </w:r>
            <w:r w:rsidR="00FD4C7B" w:rsidRPr="000529EF">
              <w:rPr>
                <w:sz w:val="20"/>
                <w:szCs w:val="20"/>
              </w:rPr>
              <w:t>:</w:t>
            </w:r>
            <w:proofErr w:type="gramEnd"/>
            <w:r w:rsidR="007A333D" w:rsidRPr="000529EF">
              <w:rPr>
                <w:sz w:val="20"/>
                <w:szCs w:val="20"/>
              </w:rPr>
              <w:t xml:space="preserve"> cardiovascular disease</w:t>
            </w:r>
            <w:r w:rsidR="00FD4C7B" w:rsidRPr="000529EF">
              <w:rPr>
                <w:sz w:val="20"/>
                <w:szCs w:val="20"/>
              </w:rPr>
              <w:t>;</w:t>
            </w:r>
            <w:r w:rsidR="007A333D" w:rsidRPr="000529EF">
              <w:rPr>
                <w:sz w:val="20"/>
                <w:szCs w:val="20"/>
              </w:rPr>
              <w:t xml:space="preserve"> renal insufficiency</w:t>
            </w:r>
            <w:r w:rsidR="00FD4C7B" w:rsidRPr="000529EF">
              <w:rPr>
                <w:sz w:val="20"/>
                <w:szCs w:val="20"/>
              </w:rPr>
              <w:t>;</w:t>
            </w:r>
            <w:r w:rsidR="007A333D" w:rsidRPr="000529EF">
              <w:rPr>
                <w:sz w:val="20"/>
                <w:szCs w:val="20"/>
              </w:rPr>
              <w:t xml:space="preserve"> poorly controlled </w:t>
            </w:r>
            <w:proofErr w:type="spellStart"/>
            <w:r w:rsidR="007A333D" w:rsidRPr="000529EF">
              <w:rPr>
                <w:sz w:val="20"/>
                <w:szCs w:val="20"/>
              </w:rPr>
              <w:t>hyperlipidemia</w:t>
            </w:r>
            <w:proofErr w:type="spellEnd"/>
            <w:r w:rsidR="007A333D" w:rsidRPr="000529EF">
              <w:rPr>
                <w:sz w:val="20"/>
                <w:szCs w:val="20"/>
              </w:rPr>
              <w:t xml:space="preserve"> or T2DM</w:t>
            </w:r>
            <w:r w:rsidR="00FD4C7B" w:rsidRPr="000529EF">
              <w:rPr>
                <w:sz w:val="20"/>
                <w:szCs w:val="20"/>
              </w:rPr>
              <w:t>;</w:t>
            </w:r>
            <w:r w:rsidR="007A333D" w:rsidRPr="000529EF">
              <w:rPr>
                <w:sz w:val="20"/>
                <w:szCs w:val="20"/>
              </w:rPr>
              <w:t xml:space="preserve"> insulin-dependent diabetes</w:t>
            </w:r>
            <w:r w:rsidR="00FD4C7B" w:rsidRPr="000529EF">
              <w:rPr>
                <w:sz w:val="20"/>
                <w:szCs w:val="20"/>
              </w:rPr>
              <w:t>;</w:t>
            </w:r>
            <w:r w:rsidR="007A333D" w:rsidRPr="000529EF">
              <w:rPr>
                <w:sz w:val="20"/>
                <w:szCs w:val="20"/>
              </w:rPr>
              <w:t xml:space="preserve"> </w:t>
            </w:r>
            <w:r w:rsidR="00FD4C7B" w:rsidRPr="000529EF">
              <w:rPr>
                <w:sz w:val="20"/>
                <w:szCs w:val="20"/>
              </w:rPr>
              <w:t xml:space="preserve">special dietary requirements; high alcohol intake; use of anti-hypertensive or other medication affecting BP or </w:t>
            </w:r>
            <w:r w:rsidR="0054711D" w:rsidRPr="000529EF">
              <w:rPr>
                <w:sz w:val="20"/>
                <w:szCs w:val="20"/>
              </w:rPr>
              <w:t>nutrient metabolism</w:t>
            </w:r>
          </w:p>
        </w:tc>
        <w:tc>
          <w:tcPr>
            <w:tcW w:w="326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1F433D75" w14:textId="77777777" w:rsidR="00081D11" w:rsidRPr="000529EF" w:rsidRDefault="00081D11"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Crossover group 1:</w:t>
            </w:r>
          </w:p>
          <w:p w14:paraId="0606B3D5" w14:textId="719971B7" w:rsidR="00140123" w:rsidRPr="000529EF" w:rsidRDefault="0054711D"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 xml:space="preserve">Int 1: Prescribed </w:t>
            </w:r>
            <w:r w:rsidR="00E1572B" w:rsidRPr="000529EF">
              <w:rPr>
                <w:sz w:val="20"/>
                <w:szCs w:val="20"/>
              </w:rPr>
              <w:t xml:space="preserve">or synthetic </w:t>
            </w:r>
            <w:r w:rsidRPr="000529EF">
              <w:rPr>
                <w:sz w:val="20"/>
                <w:szCs w:val="20"/>
              </w:rPr>
              <w:t>diet (high sodium) aiming for 150 mmol/day sodium</w:t>
            </w:r>
          </w:p>
          <w:p w14:paraId="25D11F6B" w14:textId="77777777" w:rsidR="00081D11" w:rsidRPr="000529EF" w:rsidRDefault="00E1572B"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 xml:space="preserve">Int </w:t>
            </w:r>
            <w:r w:rsidR="00332CBF" w:rsidRPr="000529EF">
              <w:rPr>
                <w:sz w:val="20"/>
                <w:szCs w:val="20"/>
              </w:rPr>
              <w:t>A</w:t>
            </w:r>
            <w:r w:rsidRPr="000529EF">
              <w:rPr>
                <w:sz w:val="20"/>
                <w:szCs w:val="20"/>
              </w:rPr>
              <w:t>2: Prescribed or synthetic diet (intermediate sodium) aiming for 100 mmol/day sodium</w:t>
            </w:r>
          </w:p>
          <w:p w14:paraId="62AF009E" w14:textId="4FBBA5AA" w:rsidR="00081D11" w:rsidRPr="000529EF" w:rsidRDefault="00081D11" w:rsidP="00081D11">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Crossover group 2:</w:t>
            </w:r>
          </w:p>
          <w:p w14:paraId="31B9490B" w14:textId="1DCA9FD9" w:rsidR="00B81C88" w:rsidRPr="000529EF" w:rsidRDefault="00B81C88"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 xml:space="preserve">Int </w:t>
            </w:r>
            <w:r w:rsidR="00332CBF" w:rsidRPr="000529EF">
              <w:rPr>
                <w:sz w:val="20"/>
                <w:szCs w:val="20"/>
              </w:rPr>
              <w:t>B1</w:t>
            </w:r>
            <w:r w:rsidRPr="000529EF">
              <w:rPr>
                <w:sz w:val="20"/>
                <w:szCs w:val="20"/>
              </w:rPr>
              <w:t xml:space="preserve">: </w:t>
            </w:r>
            <w:r w:rsidR="00BE75F4" w:rsidRPr="000529EF">
              <w:rPr>
                <w:sz w:val="20"/>
                <w:szCs w:val="20"/>
              </w:rPr>
              <w:t>DASH high sodium diet (150 mmol/day)</w:t>
            </w:r>
          </w:p>
          <w:p w14:paraId="68B8AC7C" w14:textId="77777777" w:rsidR="00B81C88" w:rsidRPr="000529EF" w:rsidRDefault="00B81C88"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 xml:space="preserve">Int </w:t>
            </w:r>
            <w:r w:rsidR="00332CBF" w:rsidRPr="000529EF">
              <w:rPr>
                <w:sz w:val="20"/>
                <w:szCs w:val="20"/>
              </w:rPr>
              <w:t>B2</w:t>
            </w:r>
            <w:r w:rsidRPr="000529EF">
              <w:rPr>
                <w:sz w:val="20"/>
                <w:szCs w:val="20"/>
              </w:rPr>
              <w:t>:</w:t>
            </w:r>
            <w:r w:rsidR="00BE75F4" w:rsidRPr="000529EF">
              <w:rPr>
                <w:sz w:val="20"/>
                <w:szCs w:val="20"/>
              </w:rPr>
              <w:t xml:space="preserve"> DASH </w:t>
            </w:r>
            <w:r w:rsidR="00F8054E" w:rsidRPr="000529EF">
              <w:rPr>
                <w:sz w:val="20"/>
                <w:szCs w:val="20"/>
              </w:rPr>
              <w:t>intermediate sodium diet (100 mmol/day)</w:t>
            </w:r>
          </w:p>
          <w:p w14:paraId="07ABCCD1" w14:textId="77777777" w:rsidR="00CB31A1" w:rsidRPr="000529EF" w:rsidRDefault="00CB31A1"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p>
          <w:p w14:paraId="381409AB" w14:textId="2A041436" w:rsidR="00CB31A1" w:rsidRPr="000529EF" w:rsidRDefault="00CB31A1"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Duration: 30 days per arm (2 weeks run in at high sodium dose</w:t>
            </w:r>
            <w:r w:rsidR="008649ED" w:rsidRPr="000529EF">
              <w:rPr>
                <w:sz w:val="20"/>
                <w:szCs w:val="20"/>
              </w:rPr>
              <w:t xml:space="preserve"> initially; no wash out between periods)</w:t>
            </w:r>
          </w:p>
        </w:tc>
        <w:tc>
          <w:tcPr>
            <w:tcW w:w="212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27E9D1BB" w14:textId="69864556" w:rsidR="00140123" w:rsidRPr="000529EF" w:rsidRDefault="00332CBF"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 xml:space="preserve">Com </w:t>
            </w:r>
            <w:r w:rsidR="00081D11" w:rsidRPr="000529EF">
              <w:rPr>
                <w:sz w:val="20"/>
                <w:szCs w:val="20"/>
              </w:rPr>
              <w:t>crossover 1</w:t>
            </w:r>
            <w:r w:rsidRPr="000529EF">
              <w:rPr>
                <w:sz w:val="20"/>
                <w:szCs w:val="20"/>
              </w:rPr>
              <w:t xml:space="preserve">: </w:t>
            </w:r>
            <w:r w:rsidR="00E1572B" w:rsidRPr="000529EF">
              <w:rPr>
                <w:sz w:val="20"/>
                <w:szCs w:val="20"/>
              </w:rPr>
              <w:t xml:space="preserve">Prescribed or synthetic diet </w:t>
            </w:r>
            <w:r w:rsidR="00D145CF" w:rsidRPr="000529EF">
              <w:rPr>
                <w:sz w:val="20"/>
                <w:szCs w:val="20"/>
              </w:rPr>
              <w:t>(low sodium) aiming for 50 mmol/day.</w:t>
            </w:r>
          </w:p>
          <w:p w14:paraId="5501A2FA" w14:textId="77777777" w:rsidR="00332CBF" w:rsidRPr="000529EF" w:rsidRDefault="00332CBF"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 xml:space="preserve">Com </w:t>
            </w:r>
            <w:r w:rsidR="00081D11" w:rsidRPr="000529EF">
              <w:rPr>
                <w:sz w:val="20"/>
                <w:szCs w:val="20"/>
              </w:rPr>
              <w:t>crossover 2</w:t>
            </w:r>
            <w:r w:rsidRPr="000529EF">
              <w:rPr>
                <w:sz w:val="20"/>
                <w:szCs w:val="20"/>
              </w:rPr>
              <w:t xml:space="preserve">: DASH </w:t>
            </w:r>
            <w:r w:rsidR="00081D11" w:rsidRPr="000529EF">
              <w:rPr>
                <w:sz w:val="20"/>
                <w:szCs w:val="20"/>
              </w:rPr>
              <w:t xml:space="preserve">low </w:t>
            </w:r>
            <w:r w:rsidRPr="000529EF">
              <w:rPr>
                <w:sz w:val="20"/>
                <w:szCs w:val="20"/>
              </w:rPr>
              <w:t xml:space="preserve">sodium diet </w:t>
            </w:r>
            <w:r w:rsidR="00081D11" w:rsidRPr="000529EF">
              <w:rPr>
                <w:sz w:val="20"/>
                <w:szCs w:val="20"/>
              </w:rPr>
              <w:t>(</w:t>
            </w:r>
            <w:r w:rsidRPr="000529EF">
              <w:rPr>
                <w:sz w:val="20"/>
                <w:szCs w:val="20"/>
              </w:rPr>
              <w:t>50 mmol/day</w:t>
            </w:r>
            <w:r w:rsidR="00081D11" w:rsidRPr="000529EF">
              <w:rPr>
                <w:sz w:val="20"/>
                <w:szCs w:val="20"/>
              </w:rPr>
              <w:t>)</w:t>
            </w:r>
          </w:p>
          <w:p w14:paraId="73C3B990" w14:textId="3AD635D3" w:rsidR="008649ED" w:rsidRPr="000529EF" w:rsidRDefault="008649ED"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Duration: 30 days per arm (2 weeks run in at high sodium dose initially; no wash out between periods)</w:t>
            </w:r>
          </w:p>
        </w:tc>
        <w:tc>
          <w:tcPr>
            <w:tcW w:w="3827"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029CE10A" w14:textId="77777777" w:rsidR="00140123" w:rsidRPr="000529EF" w:rsidRDefault="00D145CF"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Sodium measured using chemical analysis of diet with intervention/exposure adherence measure, and 24-hour urinary excretion (without quality control measure)</w:t>
            </w:r>
          </w:p>
          <w:p w14:paraId="075C375D" w14:textId="500C6387" w:rsidR="00565BA7" w:rsidRPr="000529EF" w:rsidRDefault="00565BA7"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Int 1: 141 +/- 55 mmol/day</w:t>
            </w:r>
            <w:r w:rsidR="00D46114" w:rsidRPr="000529EF">
              <w:rPr>
                <w:sz w:val="20"/>
                <w:szCs w:val="20"/>
              </w:rPr>
              <w:t xml:space="preserve"> (mean: 3,243 mg/day)</w:t>
            </w:r>
          </w:p>
          <w:p w14:paraId="0005945D" w14:textId="119776B2" w:rsidR="00565BA7" w:rsidRPr="000529EF" w:rsidRDefault="00565BA7" w:rsidP="00565BA7">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 xml:space="preserve">Int 2: 106 +/- </w:t>
            </w:r>
            <w:r w:rsidR="004B2C72" w:rsidRPr="000529EF">
              <w:rPr>
                <w:sz w:val="20"/>
                <w:szCs w:val="20"/>
              </w:rPr>
              <w:t>44</w:t>
            </w:r>
            <w:r w:rsidRPr="000529EF">
              <w:rPr>
                <w:sz w:val="20"/>
                <w:szCs w:val="20"/>
              </w:rPr>
              <w:t xml:space="preserve"> mmol/day</w:t>
            </w:r>
            <w:r w:rsidR="007210F1" w:rsidRPr="000529EF">
              <w:rPr>
                <w:sz w:val="20"/>
                <w:szCs w:val="20"/>
              </w:rPr>
              <w:t xml:space="preserve"> (2,438 mg/day)</w:t>
            </w:r>
          </w:p>
          <w:p w14:paraId="12472D5B" w14:textId="6A6AF98C" w:rsidR="004B2C72" w:rsidRPr="000529EF" w:rsidRDefault="004B2C72" w:rsidP="004B2C72">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Int 3: 144 +/- 58 mmol/day</w:t>
            </w:r>
            <w:r w:rsidR="007210F1" w:rsidRPr="000529EF">
              <w:rPr>
                <w:sz w:val="20"/>
                <w:szCs w:val="20"/>
              </w:rPr>
              <w:t xml:space="preserve"> (3,312 mg/day)</w:t>
            </w:r>
          </w:p>
          <w:p w14:paraId="5346F738" w14:textId="4CFE7AF7" w:rsidR="00B81C88" w:rsidRPr="000529EF" w:rsidRDefault="004B2C72" w:rsidP="00B81C88">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Int 4:</w:t>
            </w:r>
            <w:r w:rsidR="00B81C88" w:rsidRPr="000529EF">
              <w:rPr>
                <w:sz w:val="20"/>
                <w:szCs w:val="20"/>
              </w:rPr>
              <w:t xml:space="preserve"> 107 +/- 52 mmol/day</w:t>
            </w:r>
            <w:r w:rsidR="00100BF1" w:rsidRPr="000529EF">
              <w:rPr>
                <w:sz w:val="20"/>
                <w:szCs w:val="20"/>
              </w:rPr>
              <w:t xml:space="preserve"> (2,461 mg/day)</w:t>
            </w:r>
          </w:p>
          <w:p w14:paraId="562EF682" w14:textId="15C1703C" w:rsidR="00565BA7" w:rsidRPr="000529EF" w:rsidRDefault="00565BA7"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 xml:space="preserve">Com: </w:t>
            </w:r>
            <w:r w:rsidR="00B81C88" w:rsidRPr="000529EF">
              <w:rPr>
                <w:sz w:val="20"/>
                <w:szCs w:val="20"/>
              </w:rPr>
              <w:t>64 +/- 37 mmol/day</w:t>
            </w:r>
            <w:r w:rsidR="00100BF1" w:rsidRPr="000529EF">
              <w:rPr>
                <w:sz w:val="20"/>
                <w:szCs w:val="20"/>
              </w:rPr>
              <w:t xml:space="preserve"> (1,472 mg/day)</w:t>
            </w:r>
          </w:p>
        </w:tc>
      </w:tr>
      <w:tr w:rsidR="000529EF" w:rsidRPr="000529EF" w14:paraId="0A5BB033" w14:textId="77777777" w:rsidTr="00762FC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66C73D8D" w14:textId="77777777" w:rsidR="00140123" w:rsidRPr="000529EF" w:rsidRDefault="00140123" w:rsidP="002810AE">
            <w:pPr>
              <w:spacing w:after="120"/>
              <w:rPr>
                <w:color w:val="auto"/>
                <w:sz w:val="20"/>
                <w:szCs w:val="20"/>
              </w:rPr>
            </w:pPr>
            <w:r w:rsidRPr="000529EF">
              <w:rPr>
                <w:color w:val="auto"/>
                <w:sz w:val="20"/>
                <w:szCs w:val="20"/>
              </w:rPr>
              <w:t>Parker et al (1990)</w:t>
            </w:r>
          </w:p>
          <w:p w14:paraId="04912650" w14:textId="110A668B" w:rsidR="004C4A17" w:rsidRPr="000529EF" w:rsidRDefault="00B76C36" w:rsidP="004C4A17">
            <w:pPr>
              <w:spacing w:after="120"/>
              <w:rPr>
                <w:b w:val="0"/>
                <w:bCs w:val="0"/>
                <w:color w:val="auto"/>
                <w:sz w:val="20"/>
                <w:szCs w:val="20"/>
              </w:rPr>
            </w:pPr>
            <w:r w:rsidRPr="000529EF">
              <w:rPr>
                <w:b w:val="0"/>
                <w:bCs w:val="0"/>
                <w:color w:val="auto"/>
                <w:sz w:val="20"/>
                <w:szCs w:val="20"/>
              </w:rPr>
              <w:t>Australia</w:t>
            </w:r>
          </w:p>
          <w:p w14:paraId="62343FBD" w14:textId="4F77879B" w:rsidR="004C4A17" w:rsidRPr="000529EF" w:rsidRDefault="004C4A17" w:rsidP="004C4A17">
            <w:pPr>
              <w:spacing w:after="120"/>
              <w:rPr>
                <w:color w:val="auto"/>
                <w:sz w:val="20"/>
                <w:szCs w:val="20"/>
              </w:rPr>
            </w:pPr>
            <w:r w:rsidRPr="000529EF">
              <w:rPr>
                <w:b w:val="0"/>
                <w:bCs w:val="0"/>
                <w:color w:val="auto"/>
                <w:sz w:val="20"/>
                <w:szCs w:val="20"/>
              </w:rPr>
              <w:t>Low risk of bias</w:t>
            </w:r>
          </w:p>
        </w:tc>
        <w:tc>
          <w:tcPr>
            <w:tcW w:w="184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6F82F5AA" w14:textId="77777777" w:rsidR="00140123" w:rsidRPr="000529EF" w:rsidRDefault="004B3A41"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 xml:space="preserve">Multi-site, factorial RCT in a community setting </w:t>
            </w:r>
          </w:p>
          <w:p w14:paraId="097E2130" w14:textId="5C895ADF" w:rsidR="004B3A41" w:rsidRPr="000529EF" w:rsidRDefault="004B3A41"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(years NR)</w:t>
            </w:r>
          </w:p>
        </w:tc>
        <w:tc>
          <w:tcPr>
            <w:tcW w:w="284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46CBD4A7" w14:textId="5C39B0B4" w:rsidR="00140123" w:rsidRPr="000529EF" w:rsidRDefault="00B76C36"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 xml:space="preserve">28 </w:t>
            </w:r>
            <w:r w:rsidR="00CE6726" w:rsidRPr="000529EF">
              <w:rPr>
                <w:sz w:val="20"/>
                <w:szCs w:val="20"/>
              </w:rPr>
              <w:t>m</w:t>
            </w:r>
            <w:r w:rsidR="00F223B0">
              <w:rPr>
                <w:sz w:val="20"/>
                <w:szCs w:val="20"/>
              </w:rPr>
              <w:t>ales</w:t>
            </w:r>
            <w:r w:rsidR="00A6752D" w:rsidRPr="000529EF">
              <w:rPr>
                <w:sz w:val="20"/>
                <w:szCs w:val="20"/>
              </w:rPr>
              <w:t xml:space="preserve"> </w:t>
            </w:r>
            <w:r w:rsidR="00987AD0" w:rsidRPr="000529EF">
              <w:rPr>
                <w:sz w:val="20"/>
                <w:szCs w:val="20"/>
              </w:rPr>
              <w:t>taking</w:t>
            </w:r>
            <w:r w:rsidR="00A6752D" w:rsidRPr="000529EF">
              <w:rPr>
                <w:sz w:val="20"/>
                <w:szCs w:val="20"/>
              </w:rPr>
              <w:t xml:space="preserve"> regular antihypertensive medication for at least 6 months</w:t>
            </w:r>
            <w:r w:rsidR="00987AD0" w:rsidRPr="000529EF">
              <w:rPr>
                <w:sz w:val="20"/>
                <w:szCs w:val="20"/>
              </w:rPr>
              <w:t xml:space="preserve"> without </w:t>
            </w:r>
            <w:r w:rsidR="00367A34" w:rsidRPr="000529EF">
              <w:rPr>
                <w:sz w:val="20"/>
                <w:szCs w:val="20"/>
              </w:rPr>
              <w:t>renal disease, T2DM.</w:t>
            </w:r>
          </w:p>
        </w:tc>
        <w:tc>
          <w:tcPr>
            <w:tcW w:w="326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148BD767" w14:textId="1A91A8A3" w:rsidR="00140123" w:rsidRPr="000529EF" w:rsidRDefault="00E55BE7"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 xml:space="preserve">Int 1: </w:t>
            </w:r>
            <w:r w:rsidR="00DF1A06" w:rsidRPr="000529EF">
              <w:rPr>
                <w:sz w:val="20"/>
                <w:szCs w:val="20"/>
              </w:rPr>
              <w:t>Low alcohol, low salt</w:t>
            </w:r>
          </w:p>
          <w:p w14:paraId="49D8D03A" w14:textId="77777777" w:rsidR="00DF1A06" w:rsidRPr="000529EF" w:rsidRDefault="00E55BE7"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 xml:space="preserve">Int 2: </w:t>
            </w:r>
            <w:r w:rsidR="00DF1A06" w:rsidRPr="000529EF">
              <w:rPr>
                <w:sz w:val="20"/>
                <w:szCs w:val="20"/>
              </w:rPr>
              <w:t>Normal alc</w:t>
            </w:r>
            <w:r w:rsidRPr="000529EF">
              <w:rPr>
                <w:sz w:val="20"/>
                <w:szCs w:val="20"/>
              </w:rPr>
              <w:t>ohol, low salt</w:t>
            </w:r>
          </w:p>
          <w:p w14:paraId="14A9D693" w14:textId="748E7748" w:rsidR="0056682F" w:rsidRPr="000529EF" w:rsidRDefault="0056682F"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Duration: 1 month</w:t>
            </w:r>
          </w:p>
        </w:tc>
        <w:tc>
          <w:tcPr>
            <w:tcW w:w="212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5644C2BA" w14:textId="0114D61B" w:rsidR="00E55BE7" w:rsidRPr="000529EF" w:rsidRDefault="00E55BE7" w:rsidP="00E55BE7">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Com 1: Low alcohol, normal salt</w:t>
            </w:r>
          </w:p>
          <w:p w14:paraId="118F7CC1" w14:textId="77777777" w:rsidR="00140123" w:rsidRPr="000529EF" w:rsidRDefault="00E55BE7"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Com 2: Normal alcohol, normal salt</w:t>
            </w:r>
          </w:p>
          <w:p w14:paraId="529978F4" w14:textId="48B1B1CF" w:rsidR="0056682F" w:rsidRPr="000529EF" w:rsidRDefault="0056682F"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Duration: 1 month</w:t>
            </w:r>
          </w:p>
        </w:tc>
        <w:tc>
          <w:tcPr>
            <w:tcW w:w="3827"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000005B0" w14:textId="0607AE48" w:rsidR="002679F0" w:rsidRPr="000529EF" w:rsidRDefault="002679F0" w:rsidP="002679F0">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24-hour urine analysis with validation using food records and tablet counts</w:t>
            </w:r>
          </w:p>
          <w:p w14:paraId="70844177" w14:textId="67112448" w:rsidR="00056EA4" w:rsidRPr="000529EF" w:rsidRDefault="00056EA4" w:rsidP="004623D8">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Int 1</w:t>
            </w:r>
            <w:r w:rsidR="004623D8" w:rsidRPr="000529EF">
              <w:rPr>
                <w:sz w:val="20"/>
                <w:szCs w:val="20"/>
              </w:rPr>
              <w:t>&amp;2</w:t>
            </w:r>
            <w:r w:rsidRPr="000529EF">
              <w:rPr>
                <w:sz w:val="20"/>
                <w:szCs w:val="20"/>
              </w:rPr>
              <w:t>: 68.6 mmol/day</w:t>
            </w:r>
            <w:r w:rsidR="004623D8" w:rsidRPr="000529EF">
              <w:rPr>
                <w:sz w:val="20"/>
                <w:szCs w:val="20"/>
              </w:rPr>
              <w:t xml:space="preserve"> (</w:t>
            </w:r>
            <w:r w:rsidR="00857372" w:rsidRPr="000529EF">
              <w:rPr>
                <w:sz w:val="20"/>
                <w:szCs w:val="20"/>
              </w:rPr>
              <w:t xml:space="preserve">1,577.8 mg/day; </w:t>
            </w:r>
            <w:r w:rsidR="004623D8" w:rsidRPr="000529EF">
              <w:rPr>
                <w:sz w:val="20"/>
                <w:szCs w:val="20"/>
              </w:rPr>
              <w:t>average of 2 low sodium groups reported together)</w:t>
            </w:r>
          </w:p>
          <w:p w14:paraId="6831386C" w14:textId="488EE557" w:rsidR="00056EA4" w:rsidRPr="000529EF" w:rsidRDefault="00056EA4" w:rsidP="004B3A41">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 xml:space="preserve">Com </w:t>
            </w:r>
            <w:r w:rsidR="004623D8" w:rsidRPr="000529EF">
              <w:rPr>
                <w:sz w:val="20"/>
                <w:szCs w:val="20"/>
              </w:rPr>
              <w:t>1&amp;</w:t>
            </w:r>
            <w:r w:rsidRPr="000529EF">
              <w:rPr>
                <w:sz w:val="20"/>
                <w:szCs w:val="20"/>
              </w:rPr>
              <w:t>2:</w:t>
            </w:r>
            <w:r w:rsidR="004623D8" w:rsidRPr="000529EF">
              <w:rPr>
                <w:sz w:val="20"/>
                <w:szCs w:val="20"/>
              </w:rPr>
              <w:t xml:space="preserve"> 141.7 mmol/day (</w:t>
            </w:r>
            <w:r w:rsidR="00D416ED" w:rsidRPr="000529EF">
              <w:rPr>
                <w:sz w:val="20"/>
                <w:szCs w:val="20"/>
              </w:rPr>
              <w:t>3</w:t>
            </w:r>
            <w:r w:rsidR="003D3592">
              <w:rPr>
                <w:sz w:val="20"/>
                <w:szCs w:val="20"/>
              </w:rPr>
              <w:t>,</w:t>
            </w:r>
            <w:r w:rsidR="00D416ED" w:rsidRPr="000529EF">
              <w:rPr>
                <w:sz w:val="20"/>
                <w:szCs w:val="20"/>
              </w:rPr>
              <w:t xml:space="preserve">259.1 mg/day; </w:t>
            </w:r>
            <w:r w:rsidR="004623D8" w:rsidRPr="000529EF">
              <w:rPr>
                <w:sz w:val="20"/>
                <w:szCs w:val="20"/>
              </w:rPr>
              <w:t xml:space="preserve">average of 2 </w:t>
            </w:r>
            <w:r w:rsidR="004B3A41" w:rsidRPr="000529EF">
              <w:rPr>
                <w:sz w:val="20"/>
                <w:szCs w:val="20"/>
              </w:rPr>
              <w:t>normal sodium groups reported together)</w:t>
            </w:r>
          </w:p>
        </w:tc>
      </w:tr>
      <w:tr w:rsidR="000529EF" w:rsidRPr="000529EF" w14:paraId="19C5811E" w14:textId="77777777" w:rsidTr="00762FC4">
        <w:trPr>
          <w:cantSplit/>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2930A69C" w14:textId="77777777" w:rsidR="00140123" w:rsidRPr="000529EF" w:rsidRDefault="00140123" w:rsidP="002810AE">
            <w:pPr>
              <w:spacing w:after="120"/>
              <w:rPr>
                <w:color w:val="auto"/>
                <w:sz w:val="20"/>
                <w:szCs w:val="20"/>
              </w:rPr>
            </w:pPr>
            <w:r w:rsidRPr="000529EF">
              <w:rPr>
                <w:color w:val="auto"/>
                <w:sz w:val="20"/>
                <w:szCs w:val="20"/>
              </w:rPr>
              <w:t>Morgan and Anderson (1987)</w:t>
            </w:r>
          </w:p>
          <w:p w14:paraId="71C0111D" w14:textId="4290A7FB" w:rsidR="00D839E7" w:rsidRPr="000529EF" w:rsidRDefault="006E14C0" w:rsidP="002810AE">
            <w:pPr>
              <w:spacing w:after="120"/>
              <w:rPr>
                <w:b w:val="0"/>
                <w:bCs w:val="0"/>
                <w:color w:val="auto"/>
                <w:sz w:val="20"/>
                <w:szCs w:val="20"/>
              </w:rPr>
            </w:pPr>
            <w:r w:rsidRPr="000529EF">
              <w:rPr>
                <w:b w:val="0"/>
                <w:bCs w:val="0"/>
                <w:color w:val="auto"/>
                <w:sz w:val="20"/>
                <w:szCs w:val="20"/>
              </w:rPr>
              <w:t>USA</w:t>
            </w:r>
          </w:p>
          <w:p w14:paraId="16A70392" w14:textId="18942FA7" w:rsidR="00D839E7" w:rsidRPr="000529EF" w:rsidRDefault="00D839E7" w:rsidP="002810AE">
            <w:pPr>
              <w:spacing w:after="120"/>
              <w:rPr>
                <w:color w:val="auto"/>
                <w:sz w:val="20"/>
                <w:szCs w:val="20"/>
              </w:rPr>
            </w:pPr>
            <w:r w:rsidRPr="000529EF">
              <w:rPr>
                <w:b w:val="0"/>
                <w:bCs w:val="0"/>
                <w:color w:val="auto"/>
                <w:sz w:val="20"/>
                <w:szCs w:val="20"/>
              </w:rPr>
              <w:t>Moderate risk of bias</w:t>
            </w:r>
          </w:p>
        </w:tc>
        <w:tc>
          <w:tcPr>
            <w:tcW w:w="184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411F0A72" w14:textId="77777777" w:rsidR="00100B9C" w:rsidRPr="000529EF" w:rsidRDefault="00100B9C" w:rsidP="00100B9C">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Multi-site, factorial RCT in a community setting</w:t>
            </w:r>
          </w:p>
          <w:p w14:paraId="2040BF4C" w14:textId="340FCC99" w:rsidR="00140123" w:rsidRPr="000529EF" w:rsidRDefault="00100B9C"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(years NR)</w:t>
            </w:r>
          </w:p>
        </w:tc>
        <w:tc>
          <w:tcPr>
            <w:tcW w:w="284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6EF7967B" w14:textId="37DAF385" w:rsidR="00140123" w:rsidRPr="000529EF" w:rsidRDefault="00100B9C"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20 hypertensive adults without CVD</w:t>
            </w:r>
          </w:p>
        </w:tc>
        <w:tc>
          <w:tcPr>
            <w:tcW w:w="326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2B54DEA7" w14:textId="61D2230B" w:rsidR="00140123" w:rsidRPr="000529EF" w:rsidRDefault="00100B9C"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Reduced sodium diet</w:t>
            </w:r>
            <w:r w:rsidR="00941C95" w:rsidRPr="000529EF">
              <w:rPr>
                <w:sz w:val="20"/>
                <w:szCs w:val="20"/>
              </w:rPr>
              <w:t xml:space="preserve"> between 50 and 75 mmol/day</w:t>
            </w:r>
            <w:r w:rsidR="00900B73" w:rsidRPr="000529EF">
              <w:rPr>
                <w:sz w:val="20"/>
                <w:szCs w:val="20"/>
              </w:rPr>
              <w:t xml:space="preserve"> for 6 months</w:t>
            </w:r>
          </w:p>
        </w:tc>
        <w:tc>
          <w:tcPr>
            <w:tcW w:w="212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71EE6AC8" w14:textId="4AB98EC5" w:rsidR="00140123" w:rsidRPr="000529EF" w:rsidRDefault="00941C95"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 xml:space="preserve">Usual sodium diet </w:t>
            </w:r>
            <w:r w:rsidR="00900B73" w:rsidRPr="000529EF">
              <w:rPr>
                <w:sz w:val="20"/>
                <w:szCs w:val="20"/>
              </w:rPr>
              <w:t>for 6 months</w:t>
            </w:r>
          </w:p>
        </w:tc>
        <w:tc>
          <w:tcPr>
            <w:tcW w:w="3827"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01F4B984" w14:textId="77777777" w:rsidR="00140123" w:rsidRPr="000529EF" w:rsidRDefault="00EB4341"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24-hour urinary sodium excretion (without quality control measure)</w:t>
            </w:r>
          </w:p>
          <w:p w14:paraId="6C0E1601" w14:textId="4B6FFBED" w:rsidR="00EB4341" w:rsidRPr="000529EF" w:rsidRDefault="00EB4341"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Int: 75 mmol/day</w:t>
            </w:r>
            <w:r w:rsidR="00C271C1" w:rsidRPr="000529EF">
              <w:rPr>
                <w:sz w:val="20"/>
                <w:szCs w:val="20"/>
              </w:rPr>
              <w:t xml:space="preserve"> (1,725 mg/day)</w:t>
            </w:r>
          </w:p>
          <w:p w14:paraId="3CEDB6A6" w14:textId="47CAE7A3" w:rsidR="00EB4341" w:rsidRPr="000529EF" w:rsidRDefault="00EB4341"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Co</w:t>
            </w:r>
            <w:r w:rsidR="00C92810" w:rsidRPr="000529EF">
              <w:rPr>
                <w:sz w:val="20"/>
                <w:szCs w:val="20"/>
              </w:rPr>
              <w:t>m</w:t>
            </w:r>
            <w:r w:rsidRPr="000529EF">
              <w:rPr>
                <w:sz w:val="20"/>
                <w:szCs w:val="20"/>
              </w:rPr>
              <w:t>: NR by AHRQ (2018)</w:t>
            </w:r>
          </w:p>
        </w:tc>
      </w:tr>
      <w:tr w:rsidR="000529EF" w:rsidRPr="000529EF" w14:paraId="5CAFC2C0" w14:textId="77777777" w:rsidTr="00762FC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260A2064" w14:textId="77777777" w:rsidR="00140123" w:rsidRPr="000529EF" w:rsidRDefault="00140123" w:rsidP="002810AE">
            <w:pPr>
              <w:spacing w:after="120"/>
              <w:rPr>
                <w:color w:val="auto"/>
                <w:sz w:val="20"/>
                <w:szCs w:val="20"/>
              </w:rPr>
            </w:pPr>
            <w:r w:rsidRPr="000529EF">
              <w:rPr>
                <w:color w:val="auto"/>
                <w:sz w:val="20"/>
                <w:szCs w:val="20"/>
              </w:rPr>
              <w:lastRenderedPageBreak/>
              <w:t>Puska et al (1983)</w:t>
            </w:r>
          </w:p>
          <w:p w14:paraId="6D895EDD" w14:textId="7662D926" w:rsidR="00F741EA" w:rsidRPr="000529EF" w:rsidRDefault="001E1F1A" w:rsidP="00F741EA">
            <w:pPr>
              <w:spacing w:after="120"/>
              <w:rPr>
                <w:b w:val="0"/>
                <w:bCs w:val="0"/>
                <w:color w:val="auto"/>
                <w:sz w:val="20"/>
                <w:szCs w:val="20"/>
              </w:rPr>
            </w:pPr>
            <w:r w:rsidRPr="000529EF">
              <w:rPr>
                <w:b w:val="0"/>
                <w:bCs w:val="0"/>
                <w:color w:val="auto"/>
                <w:sz w:val="20"/>
                <w:szCs w:val="20"/>
              </w:rPr>
              <w:t>Finland</w:t>
            </w:r>
          </w:p>
          <w:p w14:paraId="48F7264D" w14:textId="4A092983" w:rsidR="00F741EA" w:rsidRPr="000529EF" w:rsidRDefault="00F741EA" w:rsidP="00F741EA">
            <w:pPr>
              <w:spacing w:after="120"/>
              <w:rPr>
                <w:color w:val="auto"/>
                <w:sz w:val="20"/>
                <w:szCs w:val="20"/>
              </w:rPr>
            </w:pPr>
            <w:r w:rsidRPr="000529EF">
              <w:rPr>
                <w:b w:val="0"/>
                <w:bCs w:val="0"/>
                <w:color w:val="auto"/>
                <w:sz w:val="20"/>
                <w:szCs w:val="20"/>
              </w:rPr>
              <w:t>Low risk of bias</w:t>
            </w:r>
          </w:p>
        </w:tc>
        <w:tc>
          <w:tcPr>
            <w:tcW w:w="184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3E169E38" w14:textId="77777777" w:rsidR="00140123" w:rsidRPr="000529EF" w:rsidRDefault="001E1F1A"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Multi-site parallel RCT in a community setting</w:t>
            </w:r>
          </w:p>
          <w:p w14:paraId="4C853FF9" w14:textId="1A7DCBC7" w:rsidR="001E1F1A" w:rsidRPr="000529EF" w:rsidRDefault="001E1F1A"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(1981)</w:t>
            </w:r>
          </w:p>
        </w:tc>
        <w:tc>
          <w:tcPr>
            <w:tcW w:w="284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2EF411CB" w14:textId="793BAE43" w:rsidR="00900EED" w:rsidRPr="000529EF" w:rsidRDefault="001E1F1A"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 xml:space="preserve">114 adults </w:t>
            </w:r>
            <w:r w:rsidR="00900EED" w:rsidRPr="000529EF">
              <w:rPr>
                <w:sz w:val="20"/>
                <w:szCs w:val="20"/>
              </w:rPr>
              <w:t>without ‘major health problems’ and not treated with antihypertensive medication</w:t>
            </w:r>
          </w:p>
        </w:tc>
        <w:tc>
          <w:tcPr>
            <w:tcW w:w="326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645B6685" w14:textId="22263ACA" w:rsidR="00140123" w:rsidRPr="000529EF" w:rsidRDefault="00795422"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Diet / lifestyle counselling to reduce sodium intake (aim to reduce salt intake to less than half the baseline level) for 1.5 months</w:t>
            </w:r>
          </w:p>
        </w:tc>
        <w:tc>
          <w:tcPr>
            <w:tcW w:w="212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2178EAFD" w14:textId="0E32DBB7" w:rsidR="00140123" w:rsidRPr="000529EF" w:rsidRDefault="00795422"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Usual diet for 1.5 months</w:t>
            </w:r>
          </w:p>
        </w:tc>
        <w:tc>
          <w:tcPr>
            <w:tcW w:w="3827"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2FE54791" w14:textId="77777777" w:rsidR="00140123" w:rsidRPr="000529EF" w:rsidRDefault="000D0006"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24-hour urinary sodium excretion with validation using food records.</w:t>
            </w:r>
          </w:p>
          <w:p w14:paraId="0A97B0D0" w14:textId="2A962AB9" w:rsidR="000D0006" w:rsidRPr="000529EF" w:rsidRDefault="0033321F"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Int: 77 mmol/day</w:t>
            </w:r>
            <w:r w:rsidR="00D416ED" w:rsidRPr="000529EF">
              <w:rPr>
                <w:sz w:val="20"/>
                <w:szCs w:val="20"/>
              </w:rPr>
              <w:t xml:space="preserve"> (1,771 mg/day)</w:t>
            </w:r>
          </w:p>
          <w:p w14:paraId="1A1D1371" w14:textId="6F47CEEC" w:rsidR="0033321F" w:rsidRPr="000529EF" w:rsidRDefault="0033321F"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Com: NR by AHRQ (2018)</w:t>
            </w:r>
          </w:p>
        </w:tc>
      </w:tr>
      <w:tr w:rsidR="000529EF" w:rsidRPr="000529EF" w14:paraId="7780E4B3" w14:textId="77777777" w:rsidTr="00762FC4">
        <w:trPr>
          <w:cantSplit/>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05C477D2" w14:textId="77777777" w:rsidR="00140123" w:rsidRPr="000529EF" w:rsidRDefault="00140123" w:rsidP="002810AE">
            <w:pPr>
              <w:spacing w:after="120"/>
              <w:rPr>
                <w:color w:val="auto"/>
                <w:sz w:val="20"/>
                <w:szCs w:val="20"/>
              </w:rPr>
            </w:pPr>
            <w:r w:rsidRPr="000529EF">
              <w:rPr>
                <w:color w:val="auto"/>
                <w:sz w:val="20"/>
                <w:szCs w:val="20"/>
              </w:rPr>
              <w:t>Nestel et al (1993)</w:t>
            </w:r>
          </w:p>
          <w:p w14:paraId="2EA14719" w14:textId="505B292F" w:rsidR="002810AE" w:rsidRPr="000529EF" w:rsidRDefault="009779EF" w:rsidP="002810AE">
            <w:pPr>
              <w:spacing w:after="120"/>
              <w:rPr>
                <w:b w:val="0"/>
                <w:bCs w:val="0"/>
                <w:color w:val="auto"/>
                <w:sz w:val="20"/>
                <w:szCs w:val="20"/>
              </w:rPr>
            </w:pPr>
            <w:r w:rsidRPr="000529EF">
              <w:rPr>
                <w:b w:val="0"/>
                <w:bCs w:val="0"/>
                <w:color w:val="auto"/>
                <w:sz w:val="20"/>
                <w:szCs w:val="20"/>
              </w:rPr>
              <w:t>Location NR</w:t>
            </w:r>
          </w:p>
          <w:p w14:paraId="5DCF1DEF" w14:textId="4057D79F" w:rsidR="002810AE" w:rsidRPr="000529EF" w:rsidRDefault="002810AE" w:rsidP="002810AE">
            <w:pPr>
              <w:spacing w:after="120"/>
              <w:rPr>
                <w:color w:val="auto"/>
                <w:sz w:val="20"/>
                <w:szCs w:val="20"/>
              </w:rPr>
            </w:pPr>
            <w:r w:rsidRPr="000529EF">
              <w:rPr>
                <w:b w:val="0"/>
                <w:bCs w:val="0"/>
                <w:color w:val="auto"/>
                <w:sz w:val="20"/>
                <w:szCs w:val="20"/>
              </w:rPr>
              <w:t>Low risk of bias</w:t>
            </w:r>
          </w:p>
        </w:tc>
        <w:tc>
          <w:tcPr>
            <w:tcW w:w="184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0FB95A29" w14:textId="7CB337FF" w:rsidR="00140123" w:rsidRPr="000529EF" w:rsidRDefault="00830703"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 xml:space="preserve">Multi-site </w:t>
            </w:r>
            <w:r w:rsidR="00AA76A3" w:rsidRPr="000529EF">
              <w:rPr>
                <w:sz w:val="20"/>
                <w:szCs w:val="20"/>
              </w:rPr>
              <w:t>p</w:t>
            </w:r>
            <w:r w:rsidRPr="000529EF">
              <w:rPr>
                <w:sz w:val="20"/>
                <w:szCs w:val="20"/>
              </w:rPr>
              <w:t xml:space="preserve">arallel RCT in a community setting </w:t>
            </w:r>
          </w:p>
          <w:p w14:paraId="6DBC4006" w14:textId="7C193493" w:rsidR="00830703" w:rsidRPr="000529EF" w:rsidRDefault="00830703"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(years NR)</w:t>
            </w:r>
          </w:p>
        </w:tc>
        <w:tc>
          <w:tcPr>
            <w:tcW w:w="284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69F11D17" w14:textId="320CB78F" w:rsidR="00140123" w:rsidRPr="000529EF" w:rsidRDefault="00830703"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 xml:space="preserve">66 normotensive adults </w:t>
            </w:r>
            <w:r w:rsidR="00310C8C" w:rsidRPr="000529EF">
              <w:rPr>
                <w:sz w:val="20"/>
                <w:szCs w:val="20"/>
              </w:rPr>
              <w:t>without anti-hypertensive use and without cardiovascular, renal or endocrine disorders</w:t>
            </w:r>
          </w:p>
        </w:tc>
        <w:tc>
          <w:tcPr>
            <w:tcW w:w="326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61F5DF62" w14:textId="65BB8269" w:rsidR="00140123" w:rsidRPr="000529EF" w:rsidRDefault="00FC03BA"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No added salt diet (low salt)</w:t>
            </w:r>
            <w:r w:rsidR="00236BA8" w:rsidRPr="000529EF">
              <w:rPr>
                <w:sz w:val="20"/>
                <w:szCs w:val="20"/>
              </w:rPr>
              <w:t xml:space="preserve"> for 2.5 months</w:t>
            </w:r>
          </w:p>
        </w:tc>
        <w:tc>
          <w:tcPr>
            <w:tcW w:w="212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30879F40" w14:textId="7B68C631" w:rsidR="00140123" w:rsidRPr="000529EF" w:rsidRDefault="00FC03BA"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Added salt diet</w:t>
            </w:r>
            <w:r w:rsidR="00236BA8" w:rsidRPr="000529EF">
              <w:rPr>
                <w:sz w:val="20"/>
                <w:szCs w:val="20"/>
              </w:rPr>
              <w:t xml:space="preserve"> for 2.5 months</w:t>
            </w:r>
          </w:p>
        </w:tc>
        <w:tc>
          <w:tcPr>
            <w:tcW w:w="3827"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1CF82DAF" w14:textId="2F711DBE" w:rsidR="00140123" w:rsidRPr="000529EF" w:rsidRDefault="00FC03BA"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 xml:space="preserve">24-hour urine analysis with </w:t>
            </w:r>
            <w:r w:rsidR="00A367A7" w:rsidRPr="000529EF">
              <w:rPr>
                <w:sz w:val="20"/>
                <w:szCs w:val="20"/>
              </w:rPr>
              <w:t>validation using 24-h creatinine excretion</w:t>
            </w:r>
          </w:p>
          <w:p w14:paraId="726F8720" w14:textId="4CB8FED8" w:rsidR="00FC03BA" w:rsidRPr="000529EF" w:rsidRDefault="00A367A7"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 xml:space="preserve">Int: </w:t>
            </w:r>
            <w:r w:rsidR="00C92810" w:rsidRPr="000529EF">
              <w:rPr>
                <w:sz w:val="20"/>
                <w:szCs w:val="20"/>
              </w:rPr>
              <w:t>77 mmol/day (F); 106 mmol/day (M)</w:t>
            </w:r>
            <w:r w:rsidR="00D416ED" w:rsidRPr="000529EF">
              <w:rPr>
                <w:sz w:val="20"/>
                <w:szCs w:val="20"/>
              </w:rPr>
              <w:t xml:space="preserve"> equating to </w:t>
            </w:r>
            <w:r w:rsidR="00276125" w:rsidRPr="000529EF">
              <w:rPr>
                <w:sz w:val="20"/>
                <w:szCs w:val="20"/>
              </w:rPr>
              <w:t>1,771 mg/day (F) and 2,438 mg/day (M).</w:t>
            </w:r>
          </w:p>
          <w:p w14:paraId="4E0454AD" w14:textId="3B9FC6A5" w:rsidR="00C92810" w:rsidRPr="000529EF" w:rsidRDefault="00C92810" w:rsidP="002810AE">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0529EF">
              <w:rPr>
                <w:sz w:val="20"/>
                <w:szCs w:val="20"/>
              </w:rPr>
              <w:t>Com: NR by AHRQ (2018)</w:t>
            </w:r>
          </w:p>
        </w:tc>
      </w:tr>
      <w:tr w:rsidR="000529EF" w:rsidRPr="000529EF" w14:paraId="337EF04C" w14:textId="77777777" w:rsidTr="00762FC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72DE267D" w14:textId="77777777" w:rsidR="00140123" w:rsidRPr="000529EF" w:rsidRDefault="00140123" w:rsidP="002810AE">
            <w:pPr>
              <w:spacing w:after="120"/>
              <w:rPr>
                <w:color w:val="auto"/>
                <w:sz w:val="20"/>
                <w:szCs w:val="20"/>
              </w:rPr>
            </w:pPr>
            <w:r w:rsidRPr="000529EF">
              <w:rPr>
                <w:color w:val="auto"/>
                <w:sz w:val="20"/>
                <w:szCs w:val="20"/>
              </w:rPr>
              <w:t>Todd et al (2010)</w:t>
            </w:r>
          </w:p>
          <w:p w14:paraId="4F77875D" w14:textId="156EDE27" w:rsidR="004C4A17" w:rsidRPr="000529EF" w:rsidRDefault="00E642B5" w:rsidP="004C4A17">
            <w:pPr>
              <w:spacing w:after="120"/>
              <w:rPr>
                <w:b w:val="0"/>
                <w:bCs w:val="0"/>
                <w:color w:val="auto"/>
                <w:sz w:val="20"/>
                <w:szCs w:val="20"/>
              </w:rPr>
            </w:pPr>
            <w:r w:rsidRPr="000529EF">
              <w:rPr>
                <w:b w:val="0"/>
                <w:bCs w:val="0"/>
                <w:color w:val="auto"/>
                <w:sz w:val="20"/>
                <w:szCs w:val="20"/>
              </w:rPr>
              <w:t>Location NR</w:t>
            </w:r>
          </w:p>
          <w:p w14:paraId="26D29792" w14:textId="7F2EBE65" w:rsidR="004C4A17" w:rsidRPr="000529EF" w:rsidRDefault="004C4A17" w:rsidP="004C4A17">
            <w:pPr>
              <w:spacing w:after="120"/>
              <w:rPr>
                <w:color w:val="auto"/>
                <w:sz w:val="20"/>
                <w:szCs w:val="20"/>
              </w:rPr>
            </w:pPr>
            <w:r w:rsidRPr="000529EF">
              <w:rPr>
                <w:b w:val="0"/>
                <w:bCs w:val="0"/>
                <w:color w:val="auto"/>
                <w:sz w:val="20"/>
                <w:szCs w:val="20"/>
              </w:rPr>
              <w:t>Moderate risk of bias</w:t>
            </w:r>
          </w:p>
        </w:tc>
        <w:tc>
          <w:tcPr>
            <w:tcW w:w="1843"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095985D0" w14:textId="77777777" w:rsidR="00140123" w:rsidRPr="000529EF" w:rsidRDefault="00AA76A3"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Multi-site crossover RCT in a community setting</w:t>
            </w:r>
          </w:p>
          <w:p w14:paraId="780D8F48" w14:textId="2FDAD8BB" w:rsidR="00AA76A3" w:rsidRPr="000529EF" w:rsidRDefault="00AA76A3"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(years NR)</w:t>
            </w:r>
          </w:p>
        </w:tc>
        <w:tc>
          <w:tcPr>
            <w:tcW w:w="284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3B3EB5CB" w14:textId="4E991AA7" w:rsidR="00140123" w:rsidRPr="000529EF" w:rsidRDefault="00AA76A3"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35 adults with hypertension or pre-hypertension</w:t>
            </w:r>
            <w:r w:rsidR="009909D0" w:rsidRPr="000529EF">
              <w:rPr>
                <w:sz w:val="20"/>
                <w:szCs w:val="20"/>
              </w:rPr>
              <w:t>; Nonsmokers with BMI&lt;30, no history of cardiovascular disease, diabetes, or renal disease.</w:t>
            </w:r>
          </w:p>
        </w:tc>
        <w:tc>
          <w:tcPr>
            <w:tcW w:w="326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6FD0F14E" w14:textId="7FC9D893" w:rsidR="009909D0" w:rsidRPr="000529EF" w:rsidRDefault="009909D0"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Int: No sodium tomato juice</w:t>
            </w:r>
            <w:r w:rsidR="005F2BE2" w:rsidRPr="000529EF">
              <w:rPr>
                <w:sz w:val="20"/>
                <w:szCs w:val="20"/>
              </w:rPr>
              <w:t xml:space="preserve"> daily for 1 month</w:t>
            </w:r>
          </w:p>
        </w:tc>
        <w:tc>
          <w:tcPr>
            <w:tcW w:w="212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604A013D" w14:textId="690C908C" w:rsidR="00140123" w:rsidRPr="000529EF" w:rsidRDefault="001A0C30"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Com</w:t>
            </w:r>
            <w:r w:rsidR="005F2BE2" w:rsidRPr="000529EF">
              <w:rPr>
                <w:sz w:val="20"/>
                <w:szCs w:val="20"/>
              </w:rPr>
              <w:t xml:space="preserve"> 1</w:t>
            </w:r>
            <w:r w:rsidRPr="000529EF">
              <w:rPr>
                <w:sz w:val="20"/>
                <w:szCs w:val="20"/>
              </w:rPr>
              <w:t>: 90mmol sodium tomato juice</w:t>
            </w:r>
            <w:r w:rsidR="005F2BE2" w:rsidRPr="000529EF">
              <w:rPr>
                <w:sz w:val="20"/>
                <w:szCs w:val="20"/>
              </w:rPr>
              <w:t xml:space="preserve"> daily for 1 month</w:t>
            </w:r>
          </w:p>
          <w:p w14:paraId="3DC61EE5" w14:textId="6A99E0DD" w:rsidR="005F2BE2" w:rsidRPr="000529EF" w:rsidRDefault="005F2BE2"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Com 2: 140 mmol sodium tomato juice daily for 1 month</w:t>
            </w:r>
          </w:p>
        </w:tc>
        <w:tc>
          <w:tcPr>
            <w:tcW w:w="3827"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7DC785C4" w14:textId="77777777" w:rsidR="00140123" w:rsidRPr="000529EF" w:rsidRDefault="004B31EE"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Partial or spot urine without validated prediction equation</w:t>
            </w:r>
          </w:p>
          <w:p w14:paraId="08AED791" w14:textId="039D9D2E" w:rsidR="004264B9" w:rsidRPr="000529EF" w:rsidRDefault="004264B9"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0529EF">
              <w:rPr>
                <w:sz w:val="20"/>
                <w:szCs w:val="20"/>
              </w:rPr>
              <w:t>Sodium:creatinine</w:t>
            </w:r>
            <w:proofErr w:type="spellEnd"/>
            <w:r w:rsidRPr="000529EF">
              <w:rPr>
                <w:sz w:val="20"/>
                <w:szCs w:val="20"/>
              </w:rPr>
              <w:t xml:space="preserve"> ratio</w:t>
            </w:r>
          </w:p>
          <w:p w14:paraId="690FE070" w14:textId="1863F50B" w:rsidR="004B31EE" w:rsidRPr="000529EF" w:rsidRDefault="004B31EE"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Int: 7.6</w:t>
            </w:r>
            <w:r w:rsidR="004264B9" w:rsidRPr="000529EF">
              <w:rPr>
                <w:sz w:val="20"/>
                <w:szCs w:val="20"/>
              </w:rPr>
              <w:t xml:space="preserve"> </w:t>
            </w:r>
            <w:r w:rsidR="002F3527" w:rsidRPr="000529EF">
              <w:rPr>
                <w:sz w:val="20"/>
                <w:szCs w:val="20"/>
              </w:rPr>
              <w:t>or 1,794 mg/day</w:t>
            </w:r>
          </w:p>
          <w:p w14:paraId="5A3724E4" w14:textId="262D0E20" w:rsidR="004B31EE" w:rsidRPr="000529EF" w:rsidRDefault="004B31EE" w:rsidP="002810AE">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0529EF">
              <w:rPr>
                <w:sz w:val="20"/>
                <w:szCs w:val="20"/>
              </w:rPr>
              <w:t xml:space="preserve">Com (unclear 1 or 2): </w:t>
            </w:r>
            <w:r w:rsidR="004264B9" w:rsidRPr="000529EF">
              <w:rPr>
                <w:sz w:val="20"/>
                <w:szCs w:val="20"/>
              </w:rPr>
              <w:t>11.8</w:t>
            </w:r>
          </w:p>
        </w:tc>
      </w:tr>
    </w:tbl>
    <w:p w14:paraId="79448B7B" w14:textId="77777777" w:rsidR="00A26257" w:rsidRDefault="00451747" w:rsidP="00112881">
      <w:pPr>
        <w:rPr>
          <w:sz w:val="20"/>
          <w:szCs w:val="20"/>
        </w:rPr>
      </w:pPr>
      <w:r w:rsidRPr="00D4008F">
        <w:rPr>
          <w:sz w:val="20"/>
          <w:szCs w:val="20"/>
        </w:rPr>
        <w:t>* AHRQ (2018) reports Sacks et al (2001) as having a total N of 79 participants, however the NASEM (2019) report and in-text references describe this trial as having 412 participants. This detail was verified by reference to the primary study. It is presumed that the N=79 documented by AHRQ (2018) is a transposition error.</w:t>
      </w:r>
    </w:p>
    <w:p w14:paraId="1A5C8E34" w14:textId="6E319171" w:rsidR="00E006A7" w:rsidRDefault="00E006A7" w:rsidP="00112881">
      <w:pPr>
        <w:rPr>
          <w:sz w:val="20"/>
          <w:szCs w:val="20"/>
        </w:rPr>
      </w:pPr>
      <w:r>
        <w:rPr>
          <w:sz w:val="20"/>
          <w:szCs w:val="20"/>
        </w:rPr>
        <w:t xml:space="preserve">Int = intervention Com = comparison </w:t>
      </w:r>
    </w:p>
    <w:p w14:paraId="1D163D9C" w14:textId="70BABD42" w:rsidR="00BF5A28" w:rsidRPr="00BF5A28" w:rsidRDefault="00BF5A28" w:rsidP="00BF5A28"/>
    <w:p w14:paraId="17186606" w14:textId="28C4F40C" w:rsidR="00BF5A28" w:rsidRPr="00D4008F" w:rsidRDefault="00BF5A28" w:rsidP="00112881">
      <w:pPr>
        <w:rPr>
          <w:sz w:val="20"/>
          <w:szCs w:val="20"/>
        </w:rPr>
        <w:sectPr w:rsidR="00BF5A28" w:rsidRPr="00D4008F" w:rsidSect="00762FC4">
          <w:footnotePr>
            <w:pos w:val="beneathText"/>
          </w:footnotePr>
          <w:pgSz w:w="16838" w:h="11906" w:orient="landscape"/>
          <w:pgMar w:top="426" w:right="1440" w:bottom="993" w:left="1440" w:header="708" w:footer="708" w:gutter="0"/>
          <w:cols w:space="708"/>
          <w:docGrid w:linePitch="360"/>
        </w:sectPr>
      </w:pPr>
    </w:p>
    <w:p w14:paraId="7B419790" w14:textId="77777777" w:rsidR="007A519A" w:rsidRPr="007A519A" w:rsidRDefault="007A519A" w:rsidP="007A519A">
      <w:pPr>
        <w:keepNext/>
        <w:keepLines/>
        <w:spacing w:before="80" w:after="40" w:line="256" w:lineRule="auto"/>
        <w:outlineLvl w:val="4"/>
        <w:rPr>
          <w:rFonts w:ascii="Aptos" w:eastAsia="Yu Gothic Light" w:hAnsi="Aptos" w:cs="Times New Roman"/>
          <w:color w:val="0F4761" w:themeColor="accent1" w:themeShade="BF"/>
        </w:rPr>
      </w:pPr>
      <w:r w:rsidRPr="007A519A">
        <w:rPr>
          <w:rFonts w:ascii="Aptos" w:eastAsia="Yu Gothic Light" w:hAnsi="Aptos" w:cs="Times New Roman"/>
          <w:color w:val="0F4761" w:themeColor="accent1" w:themeShade="BF"/>
        </w:rPr>
        <w:lastRenderedPageBreak/>
        <w:t xml:space="preserve">Summary of findings </w:t>
      </w:r>
    </w:p>
    <w:tbl>
      <w:tblPr>
        <w:tblStyle w:val="TableGrid1"/>
        <w:tblW w:w="9776" w:type="dxa"/>
        <w:tblInd w:w="-442" w:type="dxa"/>
        <w:tblLook w:val="04A0" w:firstRow="1" w:lastRow="0" w:firstColumn="1" w:lastColumn="0" w:noHBand="0" w:noVBand="1"/>
      </w:tblPr>
      <w:tblGrid>
        <w:gridCol w:w="295"/>
        <w:gridCol w:w="9481"/>
      </w:tblGrid>
      <w:tr w:rsidR="007A519A" w:rsidRPr="007A519A" w14:paraId="73A03856" w14:textId="77777777">
        <w:tc>
          <w:tcPr>
            <w:tcW w:w="9776" w:type="dxa"/>
            <w:gridSpan w:val="2"/>
            <w:tcBorders>
              <w:top w:val="single" w:sz="4" w:space="0" w:color="auto"/>
              <w:left w:val="single" w:sz="4" w:space="0" w:color="auto"/>
              <w:bottom w:val="single" w:sz="4" w:space="0" w:color="auto"/>
              <w:right w:val="single" w:sz="4" w:space="0" w:color="auto"/>
            </w:tcBorders>
            <w:shd w:val="clear" w:color="auto" w:fill="156082" w:themeFill="accent1"/>
            <w:hideMark/>
          </w:tcPr>
          <w:p w14:paraId="1E6068C6" w14:textId="24FC6290" w:rsidR="007A519A" w:rsidRPr="007A519A" w:rsidRDefault="007A519A" w:rsidP="007A519A">
            <w:pPr>
              <w:rPr>
                <w:b/>
                <w:bCs/>
                <w:color w:val="FFFFFF" w:themeColor="background1"/>
              </w:rPr>
            </w:pPr>
            <w:r w:rsidRPr="007A519A">
              <w:rPr>
                <w:b/>
                <w:bCs/>
                <w:color w:val="FFFFFF" w:themeColor="background1"/>
              </w:rPr>
              <w:t>Summary of Finding</w:t>
            </w:r>
            <w:r w:rsidR="00BC3AB6">
              <w:rPr>
                <w:b/>
                <w:bCs/>
                <w:color w:val="FFFFFF" w:themeColor="background1"/>
              </w:rPr>
              <w:t>s</w:t>
            </w:r>
            <w:r w:rsidRPr="007A519A">
              <w:rPr>
                <w:b/>
                <w:bCs/>
                <w:color w:val="FFFFFF" w:themeColor="background1"/>
              </w:rPr>
              <w:t xml:space="preserve">: Adverse effects of sodium reduction </w:t>
            </w:r>
            <w:r w:rsidRPr="007A519A">
              <w:rPr>
                <w:b/>
                <w:bCs/>
                <w:color w:val="FFFFFF" w:themeColor="background1"/>
              </w:rPr>
              <w:fldChar w:fldCharType="begin"/>
            </w:r>
            <w:r w:rsidRPr="007A519A">
              <w:rPr>
                <w:b/>
                <w:bCs/>
                <w:color w:val="FFFFFF" w:themeColor="background1"/>
              </w:rPr>
              <w:instrText xml:space="preserve"> ADDIN EN.CITE &lt;EndNote&gt;&lt;Cite&gt;&lt;Author&gt;Newberry&lt;/Author&gt;&lt;Year&gt;2018&lt;/Year&gt;&lt;RecNum&gt;621&lt;/RecNum&gt;&lt;DisplayText&gt;(Newberry et al., 2018)&lt;/DisplayText&gt;&lt;record&gt;&lt;rec-number&gt;621&lt;/rec-number&gt;&lt;foreign-keys&gt;&lt;key app="EN" db-id="wwsdv2wwp29fenerv0kx5tw9zxtx2fdrprx2" timestamp="1762743452"&gt;621&lt;/key&gt;&lt;/foreign-keys&gt;&lt;ref-type name="Book Section"&gt;5&lt;/ref-type&gt;&lt;contributors&gt;&lt;authors&gt;&lt;author&gt;Newberry, S. J.&lt;/author&gt;&lt;author&gt;Chung, M.&lt;/author&gt;&lt;author&gt;Anderson, C. A. M.&lt;/author&gt;&lt;author&gt;Chen, C.&lt;/author&gt;&lt;author&gt;Fu, Z.&lt;/author&gt;&lt;author&gt;Tang, A.&lt;/author&gt;&lt;author&gt;Zhao, N.&lt;/author&gt;&lt;author&gt;Booth, M.&lt;/author&gt;&lt;author&gt;Marks, J.&lt;/author&gt;&lt;author&gt;Hollands, S.&lt;/author&gt;&lt;author&gt;Motala, A.&lt;/author&gt;&lt;author&gt;Larkin, J.&lt;/author&gt;&lt;author&gt;Shanman, R.&lt;/author&gt;&lt;author&gt;Hempel, S.&lt;/author&gt;&lt;/authors&gt;&lt;/contributors&gt;&lt;auth-address&gt;RAND Southern California Evidence-based Practice Center&lt;/auth-address&gt;&lt;titles&gt;&lt;title&gt;Sodium and Potassium Intake: Effects on Chronic Disease Outcomes and Risks&lt;/title&gt;&lt;tertiary-title&gt;AHRQ Comparative Effectiveness Reviews&lt;/tertiary-title&gt;&lt;/titles&gt;&lt;dates&gt;&lt;year&gt;2018&lt;/year&gt;&lt;/dates&gt;&lt;pub-location&gt;Rockville (MD)&lt;/pub-location&gt;&lt;publisher&gt;Agency for Healthcare Research and Quality (US)&lt;/publisher&gt;&lt;accession-num&gt;30125063&lt;/accession-num&gt;&lt;urls&gt;&lt;/urls&gt;&lt;language&gt;eng&lt;/language&gt;&lt;/record&gt;&lt;/Cite&gt;&lt;/EndNote&gt;</w:instrText>
            </w:r>
            <w:r w:rsidRPr="007A519A">
              <w:rPr>
                <w:b/>
                <w:bCs/>
                <w:color w:val="FFFFFF" w:themeColor="background1"/>
              </w:rPr>
              <w:fldChar w:fldCharType="separate"/>
            </w:r>
            <w:r w:rsidRPr="007A519A">
              <w:rPr>
                <w:b/>
                <w:bCs/>
                <w:color w:val="FFFFFF" w:themeColor="background1"/>
              </w:rPr>
              <w:t>(Newberry et al., 2018)</w:t>
            </w:r>
            <w:r w:rsidRPr="007A519A">
              <w:rPr>
                <w:b/>
                <w:bCs/>
                <w:color w:val="FFFFFF" w:themeColor="background1"/>
              </w:rPr>
              <w:fldChar w:fldCharType="end"/>
            </w:r>
          </w:p>
        </w:tc>
      </w:tr>
      <w:tr w:rsidR="007A519A" w:rsidRPr="007A519A" w14:paraId="7B2E0E74" w14:textId="77777777">
        <w:tc>
          <w:tcPr>
            <w:tcW w:w="295" w:type="dxa"/>
            <w:tcBorders>
              <w:top w:val="single" w:sz="4" w:space="0" w:color="auto"/>
              <w:left w:val="single" w:sz="4" w:space="0" w:color="auto"/>
              <w:bottom w:val="single" w:sz="4" w:space="0" w:color="auto"/>
              <w:right w:val="nil"/>
            </w:tcBorders>
          </w:tcPr>
          <w:p w14:paraId="649E3539" w14:textId="77777777" w:rsidR="007A519A" w:rsidRPr="007A519A" w:rsidRDefault="007A519A" w:rsidP="007A519A"/>
        </w:tc>
        <w:tc>
          <w:tcPr>
            <w:tcW w:w="9481" w:type="dxa"/>
            <w:tcBorders>
              <w:top w:val="single" w:sz="4" w:space="0" w:color="auto"/>
              <w:left w:val="nil"/>
              <w:bottom w:val="single" w:sz="4" w:space="0" w:color="auto"/>
              <w:right w:val="single" w:sz="4" w:space="0" w:color="auto"/>
            </w:tcBorders>
            <w:hideMark/>
          </w:tcPr>
          <w:p w14:paraId="246CC0D2" w14:textId="77777777" w:rsidR="007A519A" w:rsidRPr="007A519A" w:rsidRDefault="007A519A" w:rsidP="007A519A">
            <w:pPr>
              <w:rPr>
                <w:sz w:val="20"/>
                <w:szCs w:val="20"/>
                <w:highlight w:val="yellow"/>
              </w:rPr>
            </w:pPr>
            <w:r w:rsidRPr="007A519A">
              <w:rPr>
                <w:b/>
                <w:bCs/>
                <w:sz w:val="20"/>
                <w:szCs w:val="20"/>
              </w:rPr>
              <w:t>Population:</w:t>
            </w:r>
            <w:r w:rsidRPr="007A519A">
              <w:rPr>
                <w:sz w:val="20"/>
                <w:szCs w:val="20"/>
              </w:rPr>
              <w:t xml:space="preserve"> Free-living adults (including hypertensive and normotensive populations). Studies in outpatient settings were eligible; samples exclusively comprised of participants with select clinical conditions were excluded.</w:t>
            </w:r>
          </w:p>
        </w:tc>
      </w:tr>
      <w:tr w:rsidR="007A519A" w:rsidRPr="007A519A" w14:paraId="17D7E42F" w14:textId="77777777">
        <w:tc>
          <w:tcPr>
            <w:tcW w:w="295" w:type="dxa"/>
            <w:tcBorders>
              <w:top w:val="single" w:sz="4" w:space="0" w:color="auto"/>
              <w:left w:val="single" w:sz="4" w:space="0" w:color="auto"/>
              <w:bottom w:val="single" w:sz="4" w:space="0" w:color="auto"/>
              <w:right w:val="nil"/>
            </w:tcBorders>
          </w:tcPr>
          <w:p w14:paraId="30ED7400" w14:textId="77777777" w:rsidR="007A519A" w:rsidRPr="007A519A" w:rsidRDefault="007A519A" w:rsidP="007A519A"/>
        </w:tc>
        <w:tc>
          <w:tcPr>
            <w:tcW w:w="9481" w:type="dxa"/>
            <w:tcBorders>
              <w:top w:val="single" w:sz="4" w:space="0" w:color="auto"/>
              <w:left w:val="nil"/>
              <w:bottom w:val="single" w:sz="4" w:space="0" w:color="auto"/>
              <w:right w:val="single" w:sz="4" w:space="0" w:color="auto"/>
            </w:tcBorders>
            <w:hideMark/>
          </w:tcPr>
          <w:p w14:paraId="2087E138" w14:textId="77777777" w:rsidR="007A519A" w:rsidRPr="007A519A" w:rsidRDefault="007A519A" w:rsidP="007A519A">
            <w:pPr>
              <w:rPr>
                <w:sz w:val="20"/>
                <w:szCs w:val="20"/>
                <w:highlight w:val="yellow"/>
              </w:rPr>
            </w:pPr>
            <w:r w:rsidRPr="007A519A">
              <w:rPr>
                <w:b/>
                <w:bCs/>
                <w:sz w:val="20"/>
                <w:szCs w:val="20"/>
              </w:rPr>
              <w:t>Study designs:</w:t>
            </w:r>
            <w:r w:rsidRPr="007A519A">
              <w:rPr>
                <w:sz w:val="20"/>
                <w:szCs w:val="20"/>
              </w:rPr>
              <w:t xml:space="preserve"> Randomised controlled trials evaluating reduced sodium intake (via oral consumption of food or supplements of quantified amounts of sodium). The minimum intervention duration was 4 weeks. For cross-over RCTs, a minimum washout period of 2 weeks was applied.</w:t>
            </w:r>
          </w:p>
        </w:tc>
      </w:tr>
      <w:tr w:rsidR="007A519A" w:rsidRPr="007A519A" w14:paraId="50DAAD45" w14:textId="77777777">
        <w:tc>
          <w:tcPr>
            <w:tcW w:w="295" w:type="dxa"/>
            <w:tcBorders>
              <w:top w:val="single" w:sz="4" w:space="0" w:color="auto"/>
              <w:left w:val="single" w:sz="4" w:space="0" w:color="auto"/>
              <w:bottom w:val="single" w:sz="4" w:space="0" w:color="auto"/>
              <w:right w:val="nil"/>
            </w:tcBorders>
          </w:tcPr>
          <w:p w14:paraId="50599373" w14:textId="77777777" w:rsidR="007A519A" w:rsidRPr="007A519A" w:rsidRDefault="007A519A" w:rsidP="007A519A"/>
        </w:tc>
        <w:tc>
          <w:tcPr>
            <w:tcW w:w="9481" w:type="dxa"/>
            <w:tcBorders>
              <w:top w:val="single" w:sz="4" w:space="0" w:color="auto"/>
              <w:left w:val="nil"/>
              <w:bottom w:val="single" w:sz="4" w:space="0" w:color="auto"/>
              <w:right w:val="single" w:sz="4" w:space="0" w:color="auto"/>
            </w:tcBorders>
            <w:hideMark/>
          </w:tcPr>
          <w:p w14:paraId="177A7B58" w14:textId="77777777" w:rsidR="007A519A" w:rsidRPr="007A519A" w:rsidRDefault="007A519A" w:rsidP="007A519A">
            <w:pPr>
              <w:rPr>
                <w:sz w:val="20"/>
                <w:szCs w:val="20"/>
                <w:highlight w:val="yellow"/>
              </w:rPr>
            </w:pPr>
            <w:r w:rsidRPr="007A519A">
              <w:rPr>
                <w:b/>
                <w:bCs/>
                <w:sz w:val="20"/>
                <w:szCs w:val="20"/>
              </w:rPr>
              <w:t>Intervention:</w:t>
            </w:r>
            <w:r w:rsidRPr="007A519A">
              <w:rPr>
                <w:sz w:val="20"/>
                <w:szCs w:val="20"/>
              </w:rPr>
              <w:t xml:space="preserve"> Lower sodium diet</w:t>
            </w:r>
          </w:p>
        </w:tc>
      </w:tr>
      <w:tr w:rsidR="007A519A" w:rsidRPr="007A519A" w14:paraId="5589507E" w14:textId="77777777">
        <w:tc>
          <w:tcPr>
            <w:tcW w:w="295" w:type="dxa"/>
            <w:tcBorders>
              <w:top w:val="single" w:sz="4" w:space="0" w:color="auto"/>
              <w:left w:val="single" w:sz="4" w:space="0" w:color="auto"/>
              <w:bottom w:val="single" w:sz="4" w:space="0" w:color="auto"/>
              <w:right w:val="nil"/>
            </w:tcBorders>
          </w:tcPr>
          <w:p w14:paraId="703602C9" w14:textId="77777777" w:rsidR="007A519A" w:rsidRPr="007A519A" w:rsidRDefault="007A519A" w:rsidP="007A519A"/>
        </w:tc>
        <w:tc>
          <w:tcPr>
            <w:tcW w:w="9481" w:type="dxa"/>
            <w:tcBorders>
              <w:top w:val="single" w:sz="4" w:space="0" w:color="auto"/>
              <w:left w:val="nil"/>
              <w:bottom w:val="single" w:sz="4" w:space="0" w:color="auto"/>
              <w:right w:val="single" w:sz="4" w:space="0" w:color="auto"/>
            </w:tcBorders>
            <w:hideMark/>
          </w:tcPr>
          <w:p w14:paraId="6315C73D" w14:textId="77777777" w:rsidR="007A519A" w:rsidRPr="007A519A" w:rsidRDefault="007A519A" w:rsidP="007A519A">
            <w:pPr>
              <w:rPr>
                <w:sz w:val="20"/>
                <w:szCs w:val="20"/>
                <w:highlight w:val="yellow"/>
              </w:rPr>
            </w:pPr>
            <w:r w:rsidRPr="007A519A">
              <w:rPr>
                <w:b/>
                <w:bCs/>
                <w:sz w:val="20"/>
                <w:szCs w:val="20"/>
              </w:rPr>
              <w:t>Comparison:</w:t>
            </w:r>
            <w:r w:rsidRPr="007A519A">
              <w:rPr>
                <w:sz w:val="20"/>
                <w:szCs w:val="20"/>
              </w:rPr>
              <w:t xml:space="preserve"> Higher sodium diet</w:t>
            </w:r>
          </w:p>
        </w:tc>
      </w:tr>
    </w:tbl>
    <w:p w14:paraId="7DD756E7" w14:textId="77777777" w:rsidR="006F3EEE" w:rsidRPr="006F3EEE" w:rsidRDefault="006F3EEE" w:rsidP="006F3EEE">
      <w:pPr>
        <w:spacing w:after="0" w:line="240" w:lineRule="auto"/>
        <w:rPr>
          <w:sz w:val="4"/>
          <w:szCs w:val="4"/>
        </w:rPr>
      </w:pPr>
    </w:p>
    <w:tbl>
      <w:tblPr>
        <w:tblStyle w:val="TableGrid1"/>
        <w:tblW w:w="9776" w:type="dxa"/>
        <w:tblInd w:w="-442" w:type="dxa"/>
        <w:tblLook w:val="04A0" w:firstRow="1" w:lastRow="0" w:firstColumn="1" w:lastColumn="0" w:noHBand="0" w:noVBand="1"/>
      </w:tblPr>
      <w:tblGrid>
        <w:gridCol w:w="295"/>
        <w:gridCol w:w="1843"/>
        <w:gridCol w:w="2127"/>
        <w:gridCol w:w="1611"/>
        <w:gridCol w:w="1256"/>
        <w:gridCol w:w="2644"/>
      </w:tblGrid>
      <w:tr w:rsidR="007A519A" w:rsidRPr="007A519A" w14:paraId="74437134" w14:textId="77777777">
        <w:tc>
          <w:tcPr>
            <w:tcW w:w="295" w:type="dxa"/>
            <w:tcBorders>
              <w:top w:val="single" w:sz="4" w:space="0" w:color="auto"/>
              <w:left w:val="single" w:sz="4" w:space="0" w:color="auto"/>
              <w:bottom w:val="single" w:sz="4" w:space="0" w:color="auto"/>
              <w:right w:val="nil"/>
            </w:tcBorders>
            <w:shd w:val="clear" w:color="auto" w:fill="156082" w:themeFill="accent1"/>
          </w:tcPr>
          <w:p w14:paraId="0FE1C9BE" w14:textId="77777777" w:rsidR="007A519A" w:rsidRPr="007A519A" w:rsidRDefault="007A519A" w:rsidP="007A519A">
            <w:pPr>
              <w:rPr>
                <w:b/>
                <w:bCs/>
                <w:color w:val="FFFFFF" w:themeColor="background1"/>
              </w:rPr>
            </w:pPr>
          </w:p>
        </w:tc>
        <w:tc>
          <w:tcPr>
            <w:tcW w:w="1843" w:type="dxa"/>
            <w:tcBorders>
              <w:top w:val="single" w:sz="4" w:space="0" w:color="auto"/>
              <w:left w:val="nil"/>
              <w:bottom w:val="single" w:sz="4" w:space="0" w:color="auto"/>
              <w:right w:val="single" w:sz="4" w:space="0" w:color="auto"/>
            </w:tcBorders>
            <w:shd w:val="clear" w:color="auto" w:fill="156082" w:themeFill="accent1"/>
            <w:hideMark/>
          </w:tcPr>
          <w:p w14:paraId="64053AF0" w14:textId="77777777" w:rsidR="007A519A" w:rsidRPr="007A519A" w:rsidRDefault="007A519A" w:rsidP="007A519A">
            <w:pPr>
              <w:rPr>
                <w:b/>
                <w:bCs/>
                <w:color w:val="FFFFFF" w:themeColor="background1"/>
                <w:sz w:val="20"/>
                <w:szCs w:val="20"/>
              </w:rPr>
            </w:pPr>
            <w:r w:rsidRPr="007A519A">
              <w:rPr>
                <w:b/>
                <w:bCs/>
                <w:color w:val="FFFFFF" w:themeColor="background1"/>
                <w:sz w:val="20"/>
                <w:szCs w:val="20"/>
              </w:rPr>
              <w:t>Outcomes</w:t>
            </w:r>
          </w:p>
        </w:tc>
        <w:tc>
          <w:tcPr>
            <w:tcW w:w="2127"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37B2FCE1" w14:textId="77777777" w:rsidR="007A519A" w:rsidRPr="007A519A" w:rsidRDefault="007A519A" w:rsidP="007A519A">
            <w:pPr>
              <w:rPr>
                <w:b/>
                <w:bCs/>
                <w:color w:val="FFFFFF" w:themeColor="background1"/>
                <w:sz w:val="20"/>
                <w:szCs w:val="20"/>
              </w:rPr>
            </w:pPr>
            <w:r w:rsidRPr="007A519A">
              <w:rPr>
                <w:b/>
                <w:bCs/>
                <w:color w:val="FFFFFF" w:themeColor="background1"/>
                <w:sz w:val="20"/>
                <w:szCs w:val="20"/>
              </w:rPr>
              <w:t>Effect description</w:t>
            </w:r>
          </w:p>
        </w:tc>
        <w:tc>
          <w:tcPr>
            <w:tcW w:w="1611"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689C0898" w14:textId="77777777" w:rsidR="007A519A" w:rsidRPr="007A519A" w:rsidRDefault="007A519A" w:rsidP="007A519A">
            <w:pPr>
              <w:rPr>
                <w:b/>
                <w:bCs/>
                <w:color w:val="FFFFFF" w:themeColor="background1"/>
                <w:sz w:val="20"/>
                <w:szCs w:val="20"/>
              </w:rPr>
            </w:pPr>
            <w:r w:rsidRPr="007A519A">
              <w:rPr>
                <w:b/>
                <w:bCs/>
                <w:color w:val="FFFFFF" w:themeColor="background1"/>
                <w:sz w:val="20"/>
                <w:szCs w:val="20"/>
              </w:rPr>
              <w:t xml:space="preserve">Number of studies </w:t>
            </w:r>
          </w:p>
          <w:p w14:paraId="4502ACA6" w14:textId="77777777" w:rsidR="007A519A" w:rsidRPr="007A519A" w:rsidRDefault="007A519A" w:rsidP="007A519A">
            <w:pPr>
              <w:rPr>
                <w:b/>
                <w:bCs/>
                <w:color w:val="FFFFFF" w:themeColor="background1"/>
                <w:sz w:val="20"/>
                <w:szCs w:val="20"/>
              </w:rPr>
            </w:pPr>
            <w:r w:rsidRPr="007A519A">
              <w:rPr>
                <w:b/>
                <w:bCs/>
                <w:color w:val="FFFFFF" w:themeColor="background1"/>
                <w:sz w:val="20"/>
                <w:szCs w:val="20"/>
              </w:rPr>
              <w:t>(No. participants)</w:t>
            </w:r>
          </w:p>
        </w:tc>
        <w:tc>
          <w:tcPr>
            <w:tcW w:w="1256"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12A638B2" w14:textId="77777777" w:rsidR="007A519A" w:rsidRPr="007A519A" w:rsidRDefault="007A519A" w:rsidP="007A519A">
            <w:pPr>
              <w:rPr>
                <w:b/>
                <w:bCs/>
                <w:color w:val="FFFFFF" w:themeColor="background1"/>
                <w:sz w:val="20"/>
                <w:szCs w:val="20"/>
              </w:rPr>
            </w:pPr>
            <w:r w:rsidRPr="007A519A">
              <w:rPr>
                <w:b/>
                <w:bCs/>
                <w:color w:val="FFFFFF" w:themeColor="background1"/>
                <w:sz w:val="20"/>
                <w:szCs w:val="20"/>
              </w:rPr>
              <w:t>Strength of evidence (AHRQ approach)</w:t>
            </w:r>
          </w:p>
        </w:tc>
        <w:tc>
          <w:tcPr>
            <w:tcW w:w="2644"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0DD9B6B8" w14:textId="77777777" w:rsidR="007A519A" w:rsidRPr="007A519A" w:rsidRDefault="007A519A" w:rsidP="007A519A">
            <w:pPr>
              <w:rPr>
                <w:b/>
                <w:bCs/>
                <w:color w:val="FFFFFF" w:themeColor="background1"/>
                <w:sz w:val="20"/>
                <w:szCs w:val="20"/>
              </w:rPr>
            </w:pPr>
            <w:r w:rsidRPr="007A519A">
              <w:rPr>
                <w:b/>
                <w:bCs/>
                <w:color w:val="FFFFFF" w:themeColor="background1"/>
                <w:sz w:val="20"/>
                <w:szCs w:val="20"/>
              </w:rPr>
              <w:t>Evidence statement</w:t>
            </w:r>
          </w:p>
        </w:tc>
      </w:tr>
      <w:tr w:rsidR="007A519A" w:rsidRPr="007A519A" w14:paraId="743D3AE0" w14:textId="77777777">
        <w:tc>
          <w:tcPr>
            <w:tcW w:w="295" w:type="dxa"/>
            <w:tcBorders>
              <w:top w:val="single" w:sz="4" w:space="0" w:color="auto"/>
              <w:left w:val="single" w:sz="4" w:space="0" w:color="auto"/>
              <w:bottom w:val="single" w:sz="4" w:space="0" w:color="auto"/>
              <w:right w:val="nil"/>
            </w:tcBorders>
          </w:tcPr>
          <w:p w14:paraId="5A5AD937" w14:textId="77777777" w:rsidR="007A519A" w:rsidRPr="007A519A" w:rsidRDefault="007A519A" w:rsidP="007A519A"/>
        </w:tc>
        <w:tc>
          <w:tcPr>
            <w:tcW w:w="1843" w:type="dxa"/>
            <w:tcBorders>
              <w:top w:val="single" w:sz="4" w:space="0" w:color="auto"/>
              <w:left w:val="nil"/>
              <w:bottom w:val="single" w:sz="4" w:space="0" w:color="auto"/>
              <w:right w:val="single" w:sz="4" w:space="0" w:color="auto"/>
            </w:tcBorders>
            <w:hideMark/>
          </w:tcPr>
          <w:p w14:paraId="6A4C0099" w14:textId="77777777" w:rsidR="007A519A" w:rsidRPr="007A519A" w:rsidRDefault="007A519A" w:rsidP="007A519A">
            <w:pPr>
              <w:rPr>
                <w:sz w:val="20"/>
                <w:szCs w:val="20"/>
              </w:rPr>
            </w:pPr>
            <w:r w:rsidRPr="007A519A">
              <w:rPr>
                <w:sz w:val="20"/>
                <w:szCs w:val="20"/>
              </w:rPr>
              <w:t>Blood lipid levels</w:t>
            </w:r>
          </w:p>
        </w:tc>
        <w:tc>
          <w:tcPr>
            <w:tcW w:w="2127" w:type="dxa"/>
            <w:tcBorders>
              <w:top w:val="single" w:sz="4" w:space="0" w:color="auto"/>
              <w:left w:val="single" w:sz="4" w:space="0" w:color="auto"/>
              <w:bottom w:val="single" w:sz="4" w:space="0" w:color="auto"/>
              <w:right w:val="single" w:sz="4" w:space="0" w:color="auto"/>
            </w:tcBorders>
            <w:hideMark/>
          </w:tcPr>
          <w:p w14:paraId="00BFE3D3" w14:textId="77777777" w:rsidR="007A519A" w:rsidRPr="007A519A" w:rsidRDefault="007A519A" w:rsidP="007A519A">
            <w:pPr>
              <w:rPr>
                <w:i/>
                <w:iCs/>
                <w:sz w:val="20"/>
                <w:szCs w:val="20"/>
              </w:rPr>
            </w:pPr>
            <w:r w:rsidRPr="007A519A">
              <w:rPr>
                <w:i/>
                <w:iCs/>
                <w:sz w:val="20"/>
                <w:szCs w:val="20"/>
              </w:rPr>
              <w:t>“Sodium reduction does not affect blood lipid levels 3 RCTs”</w:t>
            </w:r>
          </w:p>
        </w:tc>
        <w:tc>
          <w:tcPr>
            <w:tcW w:w="1611" w:type="dxa"/>
            <w:tcBorders>
              <w:top w:val="single" w:sz="4" w:space="0" w:color="auto"/>
              <w:left w:val="single" w:sz="4" w:space="0" w:color="auto"/>
              <w:bottom w:val="single" w:sz="4" w:space="0" w:color="auto"/>
              <w:right w:val="single" w:sz="4" w:space="0" w:color="auto"/>
            </w:tcBorders>
            <w:hideMark/>
          </w:tcPr>
          <w:p w14:paraId="5C93BAE4" w14:textId="77777777" w:rsidR="007A519A" w:rsidRPr="007A519A" w:rsidRDefault="007A519A" w:rsidP="007A519A">
            <w:pPr>
              <w:rPr>
                <w:sz w:val="20"/>
                <w:szCs w:val="20"/>
              </w:rPr>
            </w:pPr>
            <w:r w:rsidRPr="007A519A">
              <w:rPr>
                <w:sz w:val="20"/>
                <w:szCs w:val="20"/>
              </w:rPr>
              <w:t>3 RCTs</w:t>
            </w:r>
          </w:p>
          <w:p w14:paraId="2A75A13C" w14:textId="77777777" w:rsidR="007A519A" w:rsidRPr="007A519A" w:rsidRDefault="007A519A" w:rsidP="007A519A">
            <w:pPr>
              <w:rPr>
                <w:sz w:val="20"/>
                <w:szCs w:val="20"/>
              </w:rPr>
            </w:pPr>
            <w:r w:rsidRPr="007A519A">
              <w:rPr>
                <w:sz w:val="20"/>
                <w:szCs w:val="20"/>
              </w:rPr>
              <w:t>(N= NR)</w:t>
            </w:r>
          </w:p>
        </w:tc>
        <w:tc>
          <w:tcPr>
            <w:tcW w:w="1256" w:type="dxa"/>
            <w:tcBorders>
              <w:top w:val="single" w:sz="4" w:space="0" w:color="auto"/>
              <w:left w:val="single" w:sz="4" w:space="0" w:color="auto"/>
              <w:bottom w:val="single" w:sz="4" w:space="0" w:color="auto"/>
              <w:right w:val="single" w:sz="4" w:space="0" w:color="auto"/>
            </w:tcBorders>
            <w:hideMark/>
          </w:tcPr>
          <w:p w14:paraId="7DB74905" w14:textId="77777777" w:rsidR="007A519A" w:rsidRPr="007A519A" w:rsidRDefault="007A519A" w:rsidP="007A519A">
            <w:pPr>
              <w:rPr>
                <w:sz w:val="20"/>
                <w:szCs w:val="20"/>
              </w:rPr>
            </w:pPr>
            <w:r w:rsidRPr="007A519A">
              <w:rPr>
                <w:sz w:val="20"/>
                <w:szCs w:val="20"/>
              </w:rPr>
              <w:t>Low</w:t>
            </w:r>
            <w:r w:rsidRPr="007A519A">
              <w:rPr>
                <w:sz w:val="20"/>
                <w:szCs w:val="20"/>
                <w:vertAlign w:val="superscript"/>
              </w:rPr>
              <w:t>a</w:t>
            </w:r>
          </w:p>
        </w:tc>
        <w:tc>
          <w:tcPr>
            <w:tcW w:w="2644" w:type="dxa"/>
            <w:tcBorders>
              <w:top w:val="single" w:sz="4" w:space="0" w:color="auto"/>
              <w:left w:val="single" w:sz="4" w:space="0" w:color="auto"/>
              <w:bottom w:val="single" w:sz="4" w:space="0" w:color="auto"/>
              <w:right w:val="single" w:sz="4" w:space="0" w:color="auto"/>
            </w:tcBorders>
            <w:hideMark/>
          </w:tcPr>
          <w:p w14:paraId="7B7936EE" w14:textId="77777777" w:rsidR="007A519A" w:rsidRPr="007A519A" w:rsidRDefault="007A519A" w:rsidP="007A519A">
            <w:pPr>
              <w:rPr>
                <w:sz w:val="20"/>
                <w:szCs w:val="20"/>
              </w:rPr>
            </w:pPr>
            <w:r w:rsidRPr="007A519A">
              <w:rPr>
                <w:sz w:val="20"/>
                <w:szCs w:val="20"/>
              </w:rPr>
              <w:t>Low strength of evidence for no effect of sodium reduction on blood lipids</w:t>
            </w:r>
          </w:p>
        </w:tc>
      </w:tr>
      <w:tr w:rsidR="007A519A" w:rsidRPr="007A519A" w14:paraId="64841B15" w14:textId="77777777">
        <w:tc>
          <w:tcPr>
            <w:tcW w:w="295" w:type="dxa"/>
            <w:tcBorders>
              <w:top w:val="single" w:sz="4" w:space="0" w:color="auto"/>
              <w:left w:val="single" w:sz="4" w:space="0" w:color="auto"/>
              <w:bottom w:val="single" w:sz="4" w:space="0" w:color="auto"/>
              <w:right w:val="nil"/>
            </w:tcBorders>
          </w:tcPr>
          <w:p w14:paraId="6C088B4C" w14:textId="77777777" w:rsidR="007A519A" w:rsidRPr="007A519A" w:rsidRDefault="007A519A" w:rsidP="007A519A"/>
        </w:tc>
        <w:tc>
          <w:tcPr>
            <w:tcW w:w="1843" w:type="dxa"/>
            <w:tcBorders>
              <w:top w:val="single" w:sz="4" w:space="0" w:color="auto"/>
              <w:left w:val="nil"/>
              <w:bottom w:val="single" w:sz="4" w:space="0" w:color="auto"/>
              <w:right w:val="single" w:sz="4" w:space="0" w:color="auto"/>
            </w:tcBorders>
            <w:hideMark/>
          </w:tcPr>
          <w:p w14:paraId="1ED4E06B" w14:textId="77777777" w:rsidR="007A519A" w:rsidRPr="007A519A" w:rsidRDefault="007A519A" w:rsidP="007A519A">
            <w:pPr>
              <w:rPr>
                <w:sz w:val="20"/>
                <w:szCs w:val="20"/>
              </w:rPr>
            </w:pPr>
            <w:r w:rsidRPr="007A519A">
              <w:rPr>
                <w:sz w:val="20"/>
                <w:szCs w:val="20"/>
              </w:rPr>
              <w:t>‘Dizziness, headache, insulin sensitivity, muscle cramping’</w:t>
            </w:r>
          </w:p>
        </w:tc>
        <w:tc>
          <w:tcPr>
            <w:tcW w:w="2127" w:type="dxa"/>
            <w:tcBorders>
              <w:top w:val="single" w:sz="4" w:space="0" w:color="auto"/>
              <w:left w:val="single" w:sz="4" w:space="0" w:color="auto"/>
              <w:bottom w:val="single" w:sz="4" w:space="0" w:color="auto"/>
              <w:right w:val="single" w:sz="4" w:space="0" w:color="auto"/>
            </w:tcBorders>
            <w:hideMark/>
          </w:tcPr>
          <w:p w14:paraId="67B21B72" w14:textId="77777777" w:rsidR="007A519A" w:rsidRPr="007A519A" w:rsidRDefault="007A519A" w:rsidP="007A519A">
            <w:pPr>
              <w:rPr>
                <w:sz w:val="20"/>
                <w:szCs w:val="20"/>
              </w:rPr>
            </w:pPr>
            <w:r w:rsidRPr="007A519A">
              <w:rPr>
                <w:sz w:val="20"/>
                <w:szCs w:val="20"/>
              </w:rPr>
              <w:t>MD -4.4, 95% CI -5.6, -3.3</w:t>
            </w:r>
          </w:p>
        </w:tc>
        <w:tc>
          <w:tcPr>
            <w:tcW w:w="1611" w:type="dxa"/>
            <w:tcBorders>
              <w:top w:val="single" w:sz="4" w:space="0" w:color="auto"/>
              <w:left w:val="single" w:sz="4" w:space="0" w:color="auto"/>
              <w:bottom w:val="single" w:sz="4" w:space="0" w:color="auto"/>
              <w:right w:val="single" w:sz="4" w:space="0" w:color="auto"/>
            </w:tcBorders>
            <w:hideMark/>
          </w:tcPr>
          <w:p w14:paraId="36D3D58F" w14:textId="77777777" w:rsidR="007A519A" w:rsidRPr="007A519A" w:rsidRDefault="007A519A" w:rsidP="007A519A">
            <w:pPr>
              <w:rPr>
                <w:sz w:val="20"/>
                <w:szCs w:val="20"/>
              </w:rPr>
            </w:pPr>
            <w:r w:rsidRPr="007A519A">
              <w:rPr>
                <w:sz w:val="20"/>
                <w:szCs w:val="20"/>
              </w:rPr>
              <w:t xml:space="preserve">5 RCTs </w:t>
            </w:r>
          </w:p>
          <w:p w14:paraId="77B48D10" w14:textId="77777777" w:rsidR="007A519A" w:rsidRPr="007A519A" w:rsidRDefault="007A519A" w:rsidP="007A519A">
            <w:pPr>
              <w:rPr>
                <w:i/>
                <w:iCs/>
                <w:sz w:val="20"/>
                <w:szCs w:val="20"/>
              </w:rPr>
            </w:pPr>
            <w:r w:rsidRPr="007A519A">
              <w:rPr>
                <w:i/>
                <w:iCs/>
                <w:sz w:val="20"/>
                <w:szCs w:val="20"/>
              </w:rPr>
              <w:t>(“1-2 RCTs per type of adverse event”)</w:t>
            </w:r>
          </w:p>
          <w:p w14:paraId="64948EE7" w14:textId="77777777" w:rsidR="007A519A" w:rsidRPr="007A519A" w:rsidRDefault="007A519A" w:rsidP="007A519A">
            <w:pPr>
              <w:rPr>
                <w:sz w:val="20"/>
                <w:szCs w:val="20"/>
              </w:rPr>
            </w:pPr>
            <w:r w:rsidRPr="007A519A">
              <w:rPr>
                <w:sz w:val="20"/>
                <w:szCs w:val="20"/>
              </w:rPr>
              <w:t>(N=NR)</w:t>
            </w:r>
          </w:p>
        </w:tc>
        <w:tc>
          <w:tcPr>
            <w:tcW w:w="1256" w:type="dxa"/>
            <w:tcBorders>
              <w:top w:val="single" w:sz="4" w:space="0" w:color="auto"/>
              <w:left w:val="single" w:sz="4" w:space="0" w:color="auto"/>
              <w:bottom w:val="single" w:sz="4" w:space="0" w:color="auto"/>
              <w:right w:val="single" w:sz="4" w:space="0" w:color="auto"/>
            </w:tcBorders>
            <w:hideMark/>
          </w:tcPr>
          <w:p w14:paraId="323B29EE" w14:textId="77777777" w:rsidR="007A519A" w:rsidRPr="007A519A" w:rsidRDefault="007A519A" w:rsidP="007A519A">
            <w:pPr>
              <w:rPr>
                <w:sz w:val="20"/>
                <w:szCs w:val="20"/>
              </w:rPr>
            </w:pPr>
            <w:proofErr w:type="spellStart"/>
            <w:r w:rsidRPr="007A519A">
              <w:rPr>
                <w:sz w:val="20"/>
                <w:szCs w:val="20"/>
              </w:rPr>
              <w:t>Insufficient</w:t>
            </w:r>
            <w:r w:rsidRPr="007A519A">
              <w:rPr>
                <w:sz w:val="20"/>
                <w:szCs w:val="20"/>
                <w:vertAlign w:val="superscript"/>
              </w:rPr>
              <w:t>b</w:t>
            </w:r>
            <w:proofErr w:type="spellEnd"/>
          </w:p>
        </w:tc>
        <w:tc>
          <w:tcPr>
            <w:tcW w:w="2644" w:type="dxa"/>
            <w:tcBorders>
              <w:top w:val="single" w:sz="4" w:space="0" w:color="auto"/>
              <w:left w:val="single" w:sz="4" w:space="0" w:color="auto"/>
              <w:bottom w:val="single" w:sz="4" w:space="0" w:color="auto"/>
              <w:right w:val="single" w:sz="4" w:space="0" w:color="auto"/>
            </w:tcBorders>
            <w:hideMark/>
          </w:tcPr>
          <w:p w14:paraId="22C46C86" w14:textId="77777777" w:rsidR="007A519A" w:rsidRPr="007A519A" w:rsidRDefault="007A519A" w:rsidP="007A519A">
            <w:pPr>
              <w:rPr>
                <w:sz w:val="20"/>
                <w:szCs w:val="20"/>
              </w:rPr>
            </w:pPr>
            <w:r w:rsidRPr="007A519A">
              <w:rPr>
                <w:sz w:val="20"/>
                <w:szCs w:val="20"/>
              </w:rPr>
              <w:t>Evidence is insufficient, based on one to two studies per type of adverse event, to assess the effects of sodium reduction</w:t>
            </w:r>
          </w:p>
        </w:tc>
      </w:tr>
    </w:tbl>
    <w:p w14:paraId="492DCDA9" w14:textId="77777777" w:rsidR="006F3EEE" w:rsidRPr="006F3EEE" w:rsidRDefault="006F3EEE" w:rsidP="006F3EEE">
      <w:pPr>
        <w:spacing w:after="0" w:line="240" w:lineRule="auto"/>
        <w:rPr>
          <w:sz w:val="4"/>
          <w:szCs w:val="4"/>
        </w:rPr>
      </w:pPr>
    </w:p>
    <w:tbl>
      <w:tblPr>
        <w:tblStyle w:val="TableGrid1"/>
        <w:tblW w:w="9776" w:type="dxa"/>
        <w:tblInd w:w="-442" w:type="dxa"/>
        <w:tblLook w:val="04A0" w:firstRow="1" w:lastRow="0" w:firstColumn="1" w:lastColumn="0" w:noHBand="0" w:noVBand="1"/>
      </w:tblPr>
      <w:tblGrid>
        <w:gridCol w:w="9776"/>
      </w:tblGrid>
      <w:tr w:rsidR="007A519A" w:rsidRPr="007A519A" w14:paraId="67AD9F6A" w14:textId="77777777">
        <w:tc>
          <w:tcPr>
            <w:tcW w:w="9776"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3B0FDCA1" w14:textId="77777777" w:rsidR="007A519A" w:rsidRPr="007A519A" w:rsidRDefault="007A519A" w:rsidP="007A519A">
            <w:pPr>
              <w:rPr>
                <w:sz w:val="20"/>
                <w:szCs w:val="20"/>
              </w:rPr>
            </w:pPr>
            <w:r w:rsidRPr="007A519A">
              <w:rPr>
                <w:sz w:val="20"/>
                <w:szCs w:val="20"/>
              </w:rPr>
              <w:t xml:space="preserve">* </w:t>
            </w:r>
            <w:r w:rsidRPr="007A519A">
              <w:rPr>
                <w:b/>
                <w:bCs/>
                <w:sz w:val="20"/>
                <w:szCs w:val="20"/>
                <w:u w:val="single"/>
              </w:rPr>
              <w:t>Strength of evidence levels (AHRQ)</w:t>
            </w:r>
          </w:p>
          <w:p w14:paraId="6A8FEAD2" w14:textId="77777777" w:rsidR="007A519A" w:rsidRPr="007A519A" w:rsidRDefault="007A519A" w:rsidP="007A519A">
            <w:pPr>
              <w:rPr>
                <w:sz w:val="20"/>
                <w:szCs w:val="20"/>
              </w:rPr>
            </w:pPr>
            <w:r w:rsidRPr="007A519A">
              <w:rPr>
                <w:b/>
                <w:bCs/>
                <w:sz w:val="20"/>
                <w:szCs w:val="20"/>
              </w:rPr>
              <w:t xml:space="preserve">High strength of evidence: </w:t>
            </w:r>
            <w:r w:rsidRPr="007A519A">
              <w:rPr>
                <w:sz w:val="20"/>
                <w:szCs w:val="20"/>
              </w:rPr>
              <w:t>We are very confident that the estimate of effect lies close to the true effect for this outcome. The body of evidence has few or no deficiencies. We believe that the findings are stable, i.e., another study would not change the conclusions.</w:t>
            </w:r>
          </w:p>
          <w:p w14:paraId="2E306E6E" w14:textId="77777777" w:rsidR="007A519A" w:rsidRPr="007A519A" w:rsidRDefault="007A519A" w:rsidP="007A519A">
            <w:pPr>
              <w:rPr>
                <w:sz w:val="20"/>
                <w:szCs w:val="20"/>
              </w:rPr>
            </w:pPr>
            <w:r w:rsidRPr="007A519A">
              <w:rPr>
                <w:b/>
                <w:bCs/>
                <w:sz w:val="20"/>
                <w:szCs w:val="20"/>
              </w:rPr>
              <w:t>Moderate strength of evidence:</w:t>
            </w:r>
            <w:r w:rsidRPr="007A519A">
              <w:rPr>
                <w:sz w:val="20"/>
                <w:szCs w:val="20"/>
              </w:rPr>
              <w:t xml:space="preserve"> We are moderately confident that the estimate of effect lies close to the true effect for this outcome. The body of evidence has some deficiencies. We believe that the findings are likely to be stable, but some doubt remains</w:t>
            </w:r>
          </w:p>
          <w:p w14:paraId="13093A45" w14:textId="77777777" w:rsidR="007A519A" w:rsidRPr="007A519A" w:rsidRDefault="007A519A" w:rsidP="007A519A">
            <w:pPr>
              <w:rPr>
                <w:sz w:val="20"/>
                <w:szCs w:val="20"/>
              </w:rPr>
            </w:pPr>
            <w:r w:rsidRPr="007A519A">
              <w:rPr>
                <w:b/>
                <w:bCs/>
                <w:sz w:val="20"/>
                <w:szCs w:val="20"/>
              </w:rPr>
              <w:t>Low certainty:</w:t>
            </w:r>
            <w:r w:rsidRPr="007A519A">
              <w:rPr>
                <w:sz w:val="20"/>
                <w:szCs w:val="20"/>
              </w:rPr>
              <w:t xml:space="preserve"> We have limited confidence that the estimate of effect lies close to the true effect for this outcome. The body of evidence has major or numerous deficiencies (or both). We believe that additional evidence is needed before concluding either that the findings are stable or that the estimate of effect is close to the true effect</w:t>
            </w:r>
          </w:p>
          <w:p w14:paraId="640D2768" w14:textId="77777777" w:rsidR="007A519A" w:rsidRPr="007A519A" w:rsidRDefault="007A519A" w:rsidP="007A519A">
            <w:r w:rsidRPr="007A519A">
              <w:rPr>
                <w:b/>
                <w:bCs/>
                <w:sz w:val="20"/>
                <w:szCs w:val="20"/>
              </w:rPr>
              <w:t>Insufficient:</w:t>
            </w:r>
            <w:r w:rsidRPr="007A519A">
              <w:rPr>
                <w:sz w:val="20"/>
                <w:szCs w:val="20"/>
              </w:rPr>
              <w:t xml:space="preserve"> We have no evidence, we are unable to estimate an effect, or we have no confidence in the estimate of effect for this outcome. No evidence is available or the body of evidence has unacceptable deficiencies, precluding reaching a conclusion</w:t>
            </w:r>
          </w:p>
        </w:tc>
      </w:tr>
    </w:tbl>
    <w:p w14:paraId="0AC98F29" w14:textId="77777777" w:rsidR="007A519A" w:rsidRPr="007A519A" w:rsidRDefault="007A519A" w:rsidP="007A519A">
      <w:pPr>
        <w:spacing w:after="0" w:line="256" w:lineRule="auto"/>
        <w:rPr>
          <w:rFonts w:ascii="Aptos" w:eastAsia="Aptos" w:hAnsi="Aptos" w:cs="Arial"/>
          <w:sz w:val="20"/>
          <w:szCs w:val="20"/>
        </w:rPr>
      </w:pPr>
      <w:r w:rsidRPr="007A519A">
        <w:rPr>
          <w:rFonts w:ascii="Aptos" w:eastAsia="Aptos" w:hAnsi="Aptos" w:cs="Arial"/>
          <w:sz w:val="20"/>
          <w:szCs w:val="20"/>
          <w:vertAlign w:val="superscript"/>
        </w:rPr>
        <w:t>a</w:t>
      </w:r>
      <w:r w:rsidRPr="007A519A">
        <w:rPr>
          <w:rFonts w:ascii="Aptos" w:eastAsia="Aptos" w:hAnsi="Aptos" w:cs="Arial"/>
          <w:sz w:val="20"/>
          <w:szCs w:val="20"/>
        </w:rPr>
        <w:t xml:space="preserve"> -2 for imprecision</w:t>
      </w:r>
    </w:p>
    <w:p w14:paraId="30C33038" w14:textId="7185CFB7" w:rsidR="005C726B" w:rsidRDefault="007A519A" w:rsidP="007A519A">
      <w:pPr>
        <w:rPr>
          <w:rFonts w:asciiTheme="majorHAnsi" w:eastAsiaTheme="majorEastAsia" w:hAnsiTheme="majorHAnsi" w:cstheme="majorBidi"/>
          <w:b/>
          <w:bCs/>
          <w:color w:val="0F4761" w:themeColor="accent1" w:themeShade="BF"/>
          <w:sz w:val="32"/>
          <w:szCs w:val="32"/>
        </w:rPr>
      </w:pPr>
      <w:r w:rsidRPr="007A519A">
        <w:rPr>
          <w:rFonts w:ascii="Aptos" w:eastAsia="Aptos" w:hAnsi="Aptos" w:cs="Arial"/>
          <w:kern w:val="0"/>
          <w:sz w:val="20"/>
          <w:szCs w:val="20"/>
          <w:vertAlign w:val="superscript"/>
          <w14:ligatures w14:val="none"/>
        </w:rPr>
        <w:t>b</w:t>
      </w:r>
      <w:r w:rsidRPr="007A519A">
        <w:rPr>
          <w:rFonts w:ascii="Aptos" w:eastAsia="Aptos" w:hAnsi="Aptos" w:cs="Arial"/>
          <w:kern w:val="0"/>
          <w:sz w:val="20"/>
          <w:szCs w:val="20"/>
          <w14:ligatures w14:val="none"/>
        </w:rPr>
        <w:t xml:space="preserve"> Reasons for downgrading NR. </w:t>
      </w:r>
      <w:r w:rsidR="005C726B">
        <w:rPr>
          <w:b/>
          <w:bCs/>
        </w:rPr>
        <w:br w:type="page"/>
      </w:r>
    </w:p>
    <w:p w14:paraId="59D122E9" w14:textId="4F0C9529" w:rsidR="002F48ED" w:rsidRPr="00C44EA6" w:rsidRDefault="00C26F68" w:rsidP="00C44EA6">
      <w:pPr>
        <w:pStyle w:val="Heading2"/>
        <w:tabs>
          <w:tab w:val="left" w:pos="5546"/>
        </w:tabs>
        <w:rPr>
          <w:b/>
          <w:bCs/>
        </w:rPr>
      </w:pPr>
      <w:bookmarkStart w:id="60" w:name="_Toc234960849"/>
      <w:r w:rsidRPr="00C44EA6">
        <w:rPr>
          <w:b/>
          <w:bCs/>
        </w:rPr>
        <w:lastRenderedPageBreak/>
        <w:t>High sodium i</w:t>
      </w:r>
      <w:r w:rsidR="00462951" w:rsidRPr="00C44EA6">
        <w:rPr>
          <w:b/>
          <w:bCs/>
        </w:rPr>
        <w:t>ntake</w:t>
      </w:r>
      <w:r w:rsidRPr="00C44EA6">
        <w:rPr>
          <w:b/>
          <w:bCs/>
        </w:rPr>
        <w:t xml:space="preserve"> </w:t>
      </w:r>
      <w:r w:rsidR="00462951" w:rsidRPr="00C44EA6">
        <w:rPr>
          <w:b/>
          <w:bCs/>
        </w:rPr>
        <w:t>and h</w:t>
      </w:r>
      <w:r w:rsidR="002F48ED" w:rsidRPr="00C44EA6">
        <w:rPr>
          <w:b/>
          <w:bCs/>
        </w:rPr>
        <w:t xml:space="preserve">ealth </w:t>
      </w:r>
      <w:r w:rsidRPr="00C44EA6">
        <w:rPr>
          <w:b/>
          <w:bCs/>
        </w:rPr>
        <w:t>outcomes</w:t>
      </w:r>
      <w:bookmarkEnd w:id="60"/>
    </w:p>
    <w:p w14:paraId="71D1E671" w14:textId="3A7E36E5" w:rsidR="00B30D70" w:rsidRPr="007E42EA" w:rsidRDefault="00C11956" w:rsidP="00E532F6">
      <w:pPr>
        <w:pStyle w:val="Heading3"/>
        <w:spacing w:line="240" w:lineRule="auto"/>
      </w:pPr>
      <w:bookmarkStart w:id="61" w:name="_Toc234960850"/>
      <w:r>
        <w:t>Blood pressure</w:t>
      </w:r>
      <w:bookmarkEnd w:id="61"/>
    </w:p>
    <w:p w14:paraId="223EC9E0" w14:textId="60BD89A8" w:rsidR="00E8502E" w:rsidRPr="007E42EA" w:rsidRDefault="008D5E5E" w:rsidP="00E8502E">
      <w:pPr>
        <w:pStyle w:val="Heading4"/>
      </w:pPr>
      <w:r>
        <w:t>Adults</w:t>
      </w:r>
    </w:p>
    <w:p w14:paraId="59DC2DC7" w14:textId="629B3354" w:rsidR="009D5BD3" w:rsidRPr="007E42EA" w:rsidRDefault="008D5E5E" w:rsidP="00CA5C5F">
      <w:pPr>
        <w:pStyle w:val="Heading5"/>
      </w:pPr>
      <w:r>
        <w:t>Evidence underpinning international recommendations</w:t>
      </w:r>
    </w:p>
    <w:p w14:paraId="2565844F" w14:textId="7B902C92" w:rsidR="00037EEF" w:rsidRDefault="002C28E7" w:rsidP="005D41BE">
      <w:pPr>
        <w:spacing w:line="276" w:lineRule="auto"/>
      </w:pPr>
      <w:r>
        <w:t>EFSA (2019) identified t</w:t>
      </w:r>
      <w:r w:rsidR="00545509" w:rsidRPr="007E42EA">
        <w:t>hirty-two RCTS (7 parallel</w:t>
      </w:r>
      <w:r w:rsidR="007E42EA" w:rsidRPr="007E42EA">
        <w:t>, 1 cluster-randomised and 25 crossover)</w:t>
      </w:r>
      <w:r w:rsidR="007E42EA">
        <w:t xml:space="preserve"> including </w:t>
      </w:r>
      <w:r w:rsidR="00233753">
        <w:t xml:space="preserve">11 to 1,159 participants </w:t>
      </w:r>
      <w:r w:rsidR="007E42EA">
        <w:t xml:space="preserve">with </w:t>
      </w:r>
      <w:r w:rsidR="00233753">
        <w:t xml:space="preserve">intervention durations from 4 weeks to 36 months. </w:t>
      </w:r>
      <w:r w:rsidR="00D056CE">
        <w:t>Sodium differences b</w:t>
      </w:r>
      <w:r w:rsidR="007E42EA">
        <w:t>etween-group</w:t>
      </w:r>
      <w:r w:rsidR="00D056CE">
        <w:t>s</w:t>
      </w:r>
      <w:r w:rsidR="007E42EA">
        <w:t xml:space="preserve"> </w:t>
      </w:r>
      <w:r w:rsidR="00D056CE">
        <w:t xml:space="preserve">ranged </w:t>
      </w:r>
      <w:r w:rsidR="007E42EA">
        <w:t>from 13.3 to 285 mmol/day</w:t>
      </w:r>
      <w:r w:rsidR="00233753">
        <w:t xml:space="preserve">. </w:t>
      </w:r>
      <w:r w:rsidR="00921E06">
        <w:t xml:space="preserve">Random-effects meta-analysis </w:t>
      </w:r>
      <w:r w:rsidR="00CB2734">
        <w:t xml:space="preserve">found </w:t>
      </w:r>
      <w:r w:rsidR="004F307B">
        <w:t>that sodium reduction had a significant effect on SBP (</w:t>
      </w:r>
      <w:r w:rsidR="00AB28B5" w:rsidRPr="00AB28B5">
        <w:t xml:space="preserve">3.9 </w:t>
      </w:r>
      <w:r w:rsidR="003D3C2B" w:rsidRPr="00AB28B5">
        <w:t>mm Hg</w:t>
      </w:r>
      <w:r w:rsidR="00557982">
        <w:t>,</w:t>
      </w:r>
      <w:r w:rsidR="003D3C2B" w:rsidRPr="00AB28B5">
        <w:t xml:space="preserve"> </w:t>
      </w:r>
      <w:r w:rsidR="00AB28B5" w:rsidRPr="00AB28B5">
        <w:t>95% CI 5.1</w:t>
      </w:r>
      <w:r w:rsidR="00AB28B5">
        <w:t xml:space="preserve"> to</w:t>
      </w:r>
      <w:r w:rsidR="00AB28B5" w:rsidRPr="00AB28B5">
        <w:t xml:space="preserve"> 2.8; I</w:t>
      </w:r>
      <w:r w:rsidR="00AB28B5" w:rsidRPr="00AB28B5">
        <w:rPr>
          <w:vertAlign w:val="superscript"/>
        </w:rPr>
        <w:t>2</w:t>
      </w:r>
      <w:r w:rsidR="00AB28B5" w:rsidRPr="00AB28B5">
        <w:t>=61.9%, p &lt; 0.001</w:t>
      </w:r>
      <w:r w:rsidR="00AB28B5">
        <w:t>) and DBP (</w:t>
      </w:r>
      <w:r w:rsidR="00AB28B5" w:rsidRPr="00AB28B5">
        <w:t>2.0</w:t>
      </w:r>
      <w:r w:rsidR="003D3C2B">
        <w:t xml:space="preserve"> </w:t>
      </w:r>
      <w:r w:rsidR="003D3C2B" w:rsidRPr="00AB28B5">
        <w:t>mm Hg</w:t>
      </w:r>
      <w:r w:rsidR="00557982">
        <w:t>,</w:t>
      </w:r>
      <w:r w:rsidR="00AB28B5" w:rsidRPr="00AB28B5">
        <w:t xml:space="preserve"> </w:t>
      </w:r>
      <w:r w:rsidR="00AB28B5">
        <w:t xml:space="preserve">95% CI </w:t>
      </w:r>
      <w:r w:rsidR="00AB28B5" w:rsidRPr="00AB28B5">
        <w:t>2.8</w:t>
      </w:r>
      <w:r w:rsidR="00AB28B5">
        <w:t xml:space="preserve"> to </w:t>
      </w:r>
      <w:r w:rsidR="00AB28B5" w:rsidRPr="00AB28B5">
        <w:t>1.2</w:t>
      </w:r>
      <w:r w:rsidR="003D3C2B">
        <w:t xml:space="preserve">; </w:t>
      </w:r>
      <w:r w:rsidR="00AB28B5" w:rsidRPr="00AB28B5">
        <w:t>I</w:t>
      </w:r>
      <w:r w:rsidR="00AB28B5" w:rsidRPr="00AB28B5">
        <w:rPr>
          <w:vertAlign w:val="superscript"/>
        </w:rPr>
        <w:t>2</w:t>
      </w:r>
      <w:r w:rsidR="00AB28B5">
        <w:t>=</w:t>
      </w:r>
      <w:r w:rsidR="00AB28B5" w:rsidRPr="00AB28B5">
        <w:t>60.6%, p &lt; 0.001)</w:t>
      </w:r>
      <w:r w:rsidR="00AB28B5">
        <w:t xml:space="preserve">. </w:t>
      </w:r>
      <w:r w:rsidR="00612B77">
        <w:t>Subgroup analyses revealed g</w:t>
      </w:r>
      <w:r w:rsidR="0000327D">
        <w:t xml:space="preserve">reater </w:t>
      </w:r>
      <w:r w:rsidR="00037EEF">
        <w:t xml:space="preserve">effects </w:t>
      </w:r>
      <w:r w:rsidR="0000327D">
        <w:t xml:space="preserve">in adults aged 50 years or older, hypertensive </w:t>
      </w:r>
      <w:r w:rsidR="00942797">
        <w:t>individuals</w:t>
      </w:r>
      <w:r w:rsidR="0000327D">
        <w:t xml:space="preserve"> and in </w:t>
      </w:r>
      <w:r w:rsidR="00592B98">
        <w:t xml:space="preserve">predominantly male samples. </w:t>
      </w:r>
      <w:r w:rsidR="00FC0616">
        <w:t xml:space="preserve">Examination of methodological sources of heterogeneity </w:t>
      </w:r>
      <w:r w:rsidR="00A22FE2">
        <w:t xml:space="preserve">identified </w:t>
      </w:r>
      <w:r w:rsidR="0050773D">
        <w:t xml:space="preserve">that effect size varied by </w:t>
      </w:r>
      <w:r w:rsidR="00FC0616">
        <w:t>trial design (</w:t>
      </w:r>
      <w:r w:rsidR="0050773D">
        <w:t xml:space="preserve">greater effects with </w:t>
      </w:r>
      <w:r w:rsidR="00FC0616">
        <w:t xml:space="preserve">crossover </w:t>
      </w:r>
      <w:r w:rsidR="0050773D">
        <w:t xml:space="preserve">trials </w:t>
      </w:r>
      <w:r w:rsidR="00FC0616">
        <w:t xml:space="preserve">vs parallel), </w:t>
      </w:r>
      <w:r w:rsidR="006B1A09">
        <w:t>blood pressure measurement position (</w:t>
      </w:r>
      <w:r w:rsidR="0050773D">
        <w:t xml:space="preserve">greater with </w:t>
      </w:r>
      <w:r w:rsidR="006B1A09">
        <w:t xml:space="preserve">supine vs seated) and study duration </w:t>
      </w:r>
      <w:r w:rsidR="005C2F5F">
        <w:t xml:space="preserve">(smaller effects with longer duration). </w:t>
      </w:r>
    </w:p>
    <w:p w14:paraId="11858596" w14:textId="387E3C20" w:rsidR="00E337DD" w:rsidRDefault="00CE3E0D" w:rsidP="005D41BE">
      <w:pPr>
        <w:spacing w:line="276" w:lineRule="auto"/>
      </w:pPr>
      <w:r>
        <w:t xml:space="preserve">Meta-regression modelling </w:t>
      </w:r>
      <w:r w:rsidR="003B4044">
        <w:t xml:space="preserve">revealed </w:t>
      </w:r>
      <w:r w:rsidR="00DC0562">
        <w:t>increase</w:t>
      </w:r>
      <w:r w:rsidR="00B5165F">
        <w:t>s</w:t>
      </w:r>
      <w:r w:rsidR="00DC0562">
        <w:t xml:space="preserve"> in SBP </w:t>
      </w:r>
      <w:r w:rsidR="00B5165F">
        <w:t>(</w:t>
      </w:r>
      <w:r w:rsidR="00DC0562">
        <w:t>5.3 mm Hg</w:t>
      </w:r>
      <w:r w:rsidR="00B5165F">
        <w:t xml:space="preserve">, </w:t>
      </w:r>
      <w:r w:rsidR="00DC0562" w:rsidRPr="00DC0562">
        <w:t>95% CI 3.6</w:t>
      </w:r>
      <w:r w:rsidR="00557982">
        <w:t xml:space="preserve"> to </w:t>
      </w:r>
      <w:r w:rsidR="00DC0562" w:rsidRPr="00DC0562">
        <w:t>6.9)</w:t>
      </w:r>
      <w:r w:rsidR="00DC0562">
        <w:t xml:space="preserve"> </w:t>
      </w:r>
      <w:r w:rsidR="00B5165F">
        <w:t>and DBP (</w:t>
      </w:r>
      <w:r w:rsidR="00475B80" w:rsidRPr="00475B80">
        <w:t>2.6 mm Hg</w:t>
      </w:r>
      <w:r w:rsidR="00475B80">
        <w:t xml:space="preserve">, </w:t>
      </w:r>
      <w:r w:rsidR="00475B80" w:rsidRPr="00475B80">
        <w:t>95% CI 1.6</w:t>
      </w:r>
      <w:r w:rsidR="00557982">
        <w:t xml:space="preserve"> to </w:t>
      </w:r>
      <w:r w:rsidR="00475B80" w:rsidRPr="00475B80">
        <w:t xml:space="preserve">3.7) </w:t>
      </w:r>
      <w:r w:rsidR="00DC0562">
        <w:t xml:space="preserve">for each 100mmol (2.3 g) </w:t>
      </w:r>
      <w:r w:rsidR="00544951">
        <w:t xml:space="preserve">increase in mean 24 hour urinary sodium. </w:t>
      </w:r>
      <w:r w:rsidR="007B3DCB">
        <w:t>Stratified analyses explored the moderating effects of age and hypertensive status, with</w:t>
      </w:r>
      <w:r w:rsidR="00E254D1">
        <w:t xml:space="preserve"> greater reductions </w:t>
      </w:r>
      <w:r w:rsidR="007B3DCB">
        <w:t xml:space="preserve">in </w:t>
      </w:r>
      <w:r w:rsidR="000129BF">
        <w:t xml:space="preserve">adults </w:t>
      </w:r>
      <w:r w:rsidR="007B3DCB">
        <w:t>aged 50 years or older</w:t>
      </w:r>
      <w:r w:rsidR="000129BF">
        <w:t xml:space="preserve"> (</w:t>
      </w:r>
      <w:r w:rsidR="00475B80">
        <w:t xml:space="preserve">SBP </w:t>
      </w:r>
      <w:r w:rsidR="000129BF" w:rsidRPr="000129BF">
        <w:t>7.1</w:t>
      </w:r>
      <w:r w:rsidR="009F6EED">
        <w:t xml:space="preserve"> </w:t>
      </w:r>
      <w:r w:rsidR="009F6EED" w:rsidRPr="00AB28B5">
        <w:t>mm Hg</w:t>
      </w:r>
      <w:r w:rsidR="009F6EED">
        <w:t xml:space="preserve">, 95% CI </w:t>
      </w:r>
      <w:r w:rsidR="000129BF" w:rsidRPr="000129BF">
        <w:t>5.0</w:t>
      </w:r>
      <w:r w:rsidR="009F6EED">
        <w:t xml:space="preserve"> to</w:t>
      </w:r>
      <w:r w:rsidR="000129BF" w:rsidRPr="000129BF">
        <w:t xml:space="preserve"> 9.2</w:t>
      </w:r>
      <w:r w:rsidR="007B3DCB">
        <w:t xml:space="preserve">) and </w:t>
      </w:r>
      <w:r w:rsidR="009A71AC">
        <w:t>hypertensive individuals (</w:t>
      </w:r>
      <w:r w:rsidR="00475B80">
        <w:t xml:space="preserve">SBP </w:t>
      </w:r>
      <w:r w:rsidR="009A71AC" w:rsidRPr="009A71AC">
        <w:t>6.4</w:t>
      </w:r>
      <w:r w:rsidR="009A71AC">
        <w:t xml:space="preserve"> </w:t>
      </w:r>
      <w:r w:rsidR="003D3C2B" w:rsidRPr="00AB28B5">
        <w:t>mm Hg</w:t>
      </w:r>
      <w:r w:rsidR="00557982">
        <w:t>, 95% CI</w:t>
      </w:r>
      <w:r w:rsidR="003D3C2B" w:rsidRPr="009A71AC">
        <w:t xml:space="preserve"> </w:t>
      </w:r>
      <w:r w:rsidR="009A71AC" w:rsidRPr="009A71AC">
        <w:t>4.3</w:t>
      </w:r>
      <w:r w:rsidR="00557982">
        <w:t xml:space="preserve"> to </w:t>
      </w:r>
      <w:r w:rsidR="009A71AC" w:rsidRPr="009A71AC">
        <w:t>8.6</w:t>
      </w:r>
      <w:r w:rsidR="009A71AC">
        <w:t>)</w:t>
      </w:r>
      <w:r w:rsidR="00467CED">
        <w:t xml:space="preserve"> for both SBP and DBP</w:t>
      </w:r>
      <w:r w:rsidR="009A71AC">
        <w:t xml:space="preserve">. </w:t>
      </w:r>
    </w:p>
    <w:p w14:paraId="43FEDCCF" w14:textId="28E42CB4" w:rsidR="00CA5C5F" w:rsidRDefault="00E337DD" w:rsidP="005D41BE">
      <w:pPr>
        <w:spacing w:line="276" w:lineRule="auto"/>
      </w:pPr>
      <w:r>
        <w:t>F</w:t>
      </w:r>
      <w:r w:rsidR="001A734D">
        <w:t xml:space="preserve">indings </w:t>
      </w:r>
      <w:r>
        <w:t xml:space="preserve">from RCTs </w:t>
      </w:r>
      <w:r w:rsidR="001A734D">
        <w:t xml:space="preserve">were supported by one </w:t>
      </w:r>
      <w:r>
        <w:t xml:space="preserve">prospective cohort study </w:t>
      </w:r>
      <w:r w:rsidR="00FC527E">
        <w:t xml:space="preserve">that followed 1,499 </w:t>
      </w:r>
      <w:r w:rsidR="00BE08A3">
        <w:t xml:space="preserve">adults </w:t>
      </w:r>
      <w:r w:rsidR="00FC527E">
        <w:t xml:space="preserve">for </w:t>
      </w:r>
      <w:r w:rsidR="00FE59E4">
        <w:t>over 6 years</w:t>
      </w:r>
      <w:r w:rsidR="006D0B30">
        <w:t>, which found a</w:t>
      </w:r>
      <w:r w:rsidR="005B317B">
        <w:t>n increase of 1.71 mm Hg</w:t>
      </w:r>
      <w:r w:rsidR="009F6EED">
        <w:t xml:space="preserve">, </w:t>
      </w:r>
      <w:r w:rsidR="005B317B" w:rsidRPr="005B317B">
        <w:t>95% CI 0.79</w:t>
      </w:r>
      <w:r w:rsidR="009F6EED">
        <w:t xml:space="preserve"> to</w:t>
      </w:r>
      <w:r w:rsidR="005B317B" w:rsidRPr="005B317B">
        <w:t xml:space="preserve"> 2.64)</w:t>
      </w:r>
      <w:r w:rsidR="005B317B">
        <w:t xml:space="preserve"> increase in SBP for every 100</w:t>
      </w:r>
      <w:r w:rsidR="002F28C2">
        <w:t>mmol increase in sodium excretion</w:t>
      </w:r>
      <w:r w:rsidR="006E2241">
        <w:t xml:space="preserve"> </w:t>
      </w:r>
      <w:r w:rsidR="006E2241">
        <w:fldChar w:fldCharType="begin">
          <w:fldData xml:space="preserve">PEVuZE5vdGU+PENpdGU+PEF1dGhvcj5TdG9sYXJ6LVNrcnp5cGVrPC9BdXRob3I+PFllYXI+MjAx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</w:fldData>
        </w:fldChar>
      </w:r>
      <w:r w:rsidR="006E2241">
        <w:instrText xml:space="preserve"> ADDIN EN.CITE </w:instrText>
      </w:r>
      <w:r w:rsidR="006E2241">
        <w:fldChar w:fldCharType="begin">
          <w:fldData xml:space="preserve">PEVuZE5vdGU+PENpdGU+PEF1dGhvcj5TdG9sYXJ6LVNrcnp5cGVrPC9BdXRob3I+PFllYXI+MjAx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</w:fldData>
        </w:fldChar>
      </w:r>
      <w:r w:rsidR="006E2241">
        <w:instrText xml:space="preserve"> ADDIN EN.CITE.DATA </w:instrText>
      </w:r>
      <w:r w:rsidR="006E2241">
        <w:fldChar w:fldCharType="end"/>
      </w:r>
      <w:r w:rsidR="006E2241">
        <w:fldChar w:fldCharType="separate"/>
      </w:r>
      <w:r w:rsidR="006E2241">
        <w:rPr>
          <w:noProof/>
        </w:rPr>
        <w:t>(Stolarz-Skrzypek et al., 2011)</w:t>
      </w:r>
      <w:r w:rsidR="006E2241">
        <w:fldChar w:fldCharType="end"/>
      </w:r>
      <w:r w:rsidR="00FE59E4">
        <w:t>.</w:t>
      </w:r>
      <w:r w:rsidR="00BE08A3">
        <w:t xml:space="preserve"> </w:t>
      </w:r>
      <w:r w:rsidR="0023051C">
        <w:t>The association with DBP was not significant (0</w:t>
      </w:r>
      <w:r w:rsidR="0023051C" w:rsidRPr="0023051C">
        <w:t>.38 mm Hg</w:t>
      </w:r>
      <w:r w:rsidR="0023051C">
        <w:t xml:space="preserve">, </w:t>
      </w:r>
      <w:r w:rsidR="0023051C" w:rsidRPr="0023051C">
        <w:t>95% CI 0.31</w:t>
      </w:r>
      <w:r w:rsidR="0023051C">
        <w:t xml:space="preserve"> to</w:t>
      </w:r>
      <w:r w:rsidR="0023051C" w:rsidRPr="0023051C">
        <w:t xml:space="preserve"> 1.07).</w:t>
      </w:r>
      <w:r w:rsidR="003E066B">
        <w:t xml:space="preserve"> </w:t>
      </w:r>
      <w:r w:rsidR="001865AE">
        <w:t xml:space="preserve">However, the study was at moderate risk of bias with concerns including the failure to adjust for significant confounders, </w:t>
      </w:r>
      <w:r w:rsidR="00EE43A2">
        <w:t xml:space="preserve">potential for misclassification </w:t>
      </w:r>
      <w:r w:rsidR="006D0B30">
        <w:t xml:space="preserve">within the low sodium group, </w:t>
      </w:r>
      <w:r w:rsidR="00EE43A2">
        <w:t>and missing data due to loss to follow up.</w:t>
      </w:r>
    </w:p>
    <w:p w14:paraId="6334274B" w14:textId="3AFF4AB4" w:rsidR="002F28C2" w:rsidRDefault="00324800" w:rsidP="005D41BE">
      <w:pPr>
        <w:spacing w:line="276" w:lineRule="auto"/>
      </w:pPr>
      <w:r>
        <w:t>Based on</w:t>
      </w:r>
      <w:r w:rsidR="002F28C2">
        <w:t xml:space="preserve"> these studies, the EFSA Panel concluded that there is strong evidence for increasing SBP with increased urinary sodium over the range of mean urinary sodium measures across studies (</w:t>
      </w:r>
      <w:r w:rsidR="00E430F1">
        <w:t>49 to 209 mmol per 24 hours, corresponding to 1.3 to 4.8 grams per day).</w:t>
      </w:r>
    </w:p>
    <w:p w14:paraId="2D5E4AA0" w14:textId="33576E64" w:rsidR="00330E42" w:rsidRDefault="00F90203" w:rsidP="005D41BE">
      <w:pPr>
        <w:spacing w:line="276" w:lineRule="auto"/>
      </w:pPr>
      <w:r>
        <w:t>Similar to EFSA’s findings, the AHRQ (201</w:t>
      </w:r>
      <w:r w:rsidR="006A5295">
        <w:t>8</w:t>
      </w:r>
      <w:r>
        <w:t xml:space="preserve">) evidence evaluation </w:t>
      </w:r>
      <w:r w:rsidR="009C0F54">
        <w:t>identified moderate certainty evidence</w:t>
      </w:r>
      <w:r w:rsidR="000B57C5">
        <w:t xml:space="preserve"> </w:t>
      </w:r>
      <w:r w:rsidR="009C0F54">
        <w:t>that reducing sodium intake significantly d</w:t>
      </w:r>
      <w:r w:rsidR="003D3C2B">
        <w:t>ecreased SBP (</w:t>
      </w:r>
      <w:r w:rsidR="003D3C2B" w:rsidRPr="003D3C2B">
        <w:t>–3.23 mm Hg, 95% CI –4.07</w:t>
      </w:r>
      <w:r w:rsidR="009F6EED">
        <w:t xml:space="preserve"> to</w:t>
      </w:r>
      <w:r w:rsidR="003D3C2B" w:rsidRPr="003D3C2B">
        <w:t xml:space="preserve"> –2.38; I</w:t>
      </w:r>
      <w:r w:rsidR="003D3C2B" w:rsidRPr="003D3C2B">
        <w:rPr>
          <w:vertAlign w:val="superscript"/>
        </w:rPr>
        <w:t>2</w:t>
      </w:r>
      <w:r w:rsidR="006824C2">
        <w:t>=</w:t>
      </w:r>
      <w:r w:rsidR="003D3C2B" w:rsidRPr="003D3C2B">
        <w:t>77%</w:t>
      </w:r>
      <w:r w:rsidR="00582DE2">
        <w:t>; 47 RCTs</w:t>
      </w:r>
      <w:r w:rsidR="003D3C2B" w:rsidRPr="003D3C2B">
        <w:t>)</w:t>
      </w:r>
      <w:r w:rsidR="006824C2">
        <w:t xml:space="preserve"> and DBP (</w:t>
      </w:r>
      <w:r w:rsidR="006824C2" w:rsidRPr="006824C2">
        <w:t xml:space="preserve">–2.26, 95% CI </w:t>
      </w:r>
      <w:r w:rsidR="006824C2">
        <w:t>-</w:t>
      </w:r>
      <w:r w:rsidR="006824C2" w:rsidRPr="006824C2">
        <w:t>2.91</w:t>
      </w:r>
      <w:r w:rsidR="006824C2">
        <w:t xml:space="preserve"> to</w:t>
      </w:r>
      <w:r w:rsidR="006824C2" w:rsidRPr="006824C2">
        <w:t xml:space="preserve"> –1.60; I</w:t>
      </w:r>
      <w:r w:rsidR="006824C2" w:rsidRPr="006824C2">
        <w:rPr>
          <w:vertAlign w:val="superscript"/>
        </w:rPr>
        <w:t>2</w:t>
      </w:r>
      <w:r w:rsidR="006824C2">
        <w:t>=</w:t>
      </w:r>
      <w:r w:rsidR="006824C2" w:rsidRPr="006824C2">
        <w:t>72%</w:t>
      </w:r>
      <w:r w:rsidR="006824C2">
        <w:t>; 48 RCTs</w:t>
      </w:r>
      <w:r w:rsidR="006824C2" w:rsidRPr="006824C2">
        <w:t>)</w:t>
      </w:r>
      <w:r w:rsidR="006824C2">
        <w:t xml:space="preserve">. </w:t>
      </w:r>
      <w:r w:rsidR="0068153D">
        <w:t>G</w:t>
      </w:r>
      <w:r w:rsidR="00093077">
        <w:t xml:space="preserve">reater reductions were </w:t>
      </w:r>
      <w:r w:rsidR="000C5C23">
        <w:t xml:space="preserve">reported for </w:t>
      </w:r>
      <w:r w:rsidR="00093077">
        <w:t>hypertensive individuals (moderate certainty evidence</w:t>
      </w:r>
      <w:r w:rsidR="0068153D">
        <w:t xml:space="preserve"> for SBP, low certainty for DBP</w:t>
      </w:r>
      <w:r w:rsidR="00093077">
        <w:t>)</w:t>
      </w:r>
      <w:r w:rsidR="0068153D">
        <w:t xml:space="preserve">, although </w:t>
      </w:r>
      <w:r w:rsidR="000C5C23">
        <w:t xml:space="preserve">significant reductions were reported for both hypertensive and non-hypertensive individuals for SBP. </w:t>
      </w:r>
      <w:r w:rsidR="00037006">
        <w:t xml:space="preserve">However, there was low certainty evidence that </w:t>
      </w:r>
      <w:r w:rsidR="0068153D">
        <w:t xml:space="preserve">reduced sodium </w:t>
      </w:r>
      <w:r w:rsidR="001C0E47">
        <w:t>may not decrease DBP in people with normal blood pressure.</w:t>
      </w:r>
      <w:r w:rsidR="00BB7A0D">
        <w:t xml:space="preserve"> </w:t>
      </w:r>
      <w:r w:rsidR="003F19E1">
        <w:t>Reduction in SBP was not moderated by s</w:t>
      </w:r>
      <w:r w:rsidR="00CF70A8">
        <w:t xml:space="preserve">ex </w:t>
      </w:r>
      <w:r w:rsidR="003F19E1">
        <w:t xml:space="preserve">(low certainty evidence) </w:t>
      </w:r>
      <w:r w:rsidR="005675F7">
        <w:t xml:space="preserve">and </w:t>
      </w:r>
      <w:r w:rsidR="003F19E1">
        <w:t>t</w:t>
      </w:r>
      <w:r w:rsidR="00037006">
        <w:t xml:space="preserve">here was insufficient evidence </w:t>
      </w:r>
      <w:r w:rsidR="00151628">
        <w:t>for the potential moderating effects of race or ethnicity, health status (diabetes, renal disease, obesity)</w:t>
      </w:r>
      <w:r w:rsidR="006B75DB">
        <w:t>.</w:t>
      </w:r>
      <w:r w:rsidR="00DF58DF">
        <w:t xml:space="preserve"> </w:t>
      </w:r>
      <w:r w:rsidR="00330E42">
        <w:t>Prospective observational studies provide</w:t>
      </w:r>
      <w:r w:rsidR="00F03306">
        <w:t>d</w:t>
      </w:r>
      <w:r w:rsidR="00330E42">
        <w:t xml:space="preserve"> low certainty evidence of an association between reduced sodium and reductions in SBP, but not DBP (5 studies at moderate or high risk of bias).</w:t>
      </w:r>
    </w:p>
    <w:p w14:paraId="196F7152" w14:textId="77777777" w:rsidR="00A164F8" w:rsidRPr="007E42EA" w:rsidRDefault="00A164F8" w:rsidP="00A164F8">
      <w:pPr>
        <w:pStyle w:val="Heading5"/>
      </w:pPr>
      <w:bookmarkStart w:id="62" w:name="_Toc220944406"/>
      <w:bookmarkStart w:id="63" w:name="_Ref227016634"/>
      <w:r w:rsidRPr="007E42EA">
        <w:lastRenderedPageBreak/>
        <w:t>Supplementary evidence</w:t>
      </w:r>
      <w:bookmarkEnd w:id="62"/>
      <w:bookmarkEnd w:id="63"/>
    </w:p>
    <w:p w14:paraId="0A5C9481" w14:textId="48AC9EBF" w:rsidR="003913C9" w:rsidRDefault="00F34977" w:rsidP="005D41BE">
      <w:pPr>
        <w:spacing w:line="276" w:lineRule="auto"/>
      </w:pPr>
      <w:r>
        <w:t>Three</w:t>
      </w:r>
      <w:r w:rsidR="0090467D">
        <w:t xml:space="preserve"> supplementary</w:t>
      </w:r>
      <w:r>
        <w:t xml:space="preserve"> systematic reviews were identified that explored the relationship between sodium intake and blood pressure in adults</w:t>
      </w:r>
      <w:r w:rsidR="006E7E4D">
        <w:t xml:space="preserve"> </w:t>
      </w:r>
      <w:r w:rsidR="00255EA8">
        <w:fldChar w:fldCharType="begin">
          <w:fldData xml:space="preserve">PEVuZE5vdGU+PENpdGU+PEF1dGhvcj5IdWFuZzwvQXV0aG9yPjxZZWFyPjIwMjA8L1llYXI+PFJl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</w:fldData>
        </w:fldChar>
      </w:r>
      <w:r w:rsidR="00F61D64">
        <w:instrText xml:space="preserve"> ADDIN EN.CITE </w:instrText>
      </w:r>
      <w:r w:rsidR="00F61D64">
        <w:fldChar w:fldCharType="begin">
          <w:fldData xml:space="preserve">PEVuZE5vdGU+PENpdGU+PEF1dGhvcj5IdWFuZzwvQXV0aG9yPjxZZWFyPjIwMjA8L1llYXI+PFJl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</w:fldData>
        </w:fldChar>
      </w:r>
      <w:r w:rsidR="00F61D64">
        <w:instrText xml:space="preserve"> ADDIN EN.CITE.DATA </w:instrText>
      </w:r>
      <w:r w:rsidR="00F61D64">
        <w:fldChar w:fldCharType="end"/>
      </w:r>
      <w:r w:rsidR="00255EA8">
        <w:fldChar w:fldCharType="separate"/>
      </w:r>
      <w:r w:rsidR="00F61D64">
        <w:rPr>
          <w:noProof/>
        </w:rPr>
        <w:t>(Filippini et al., 2021b; Graudal et al., 2020; Huang et al., 2020)</w:t>
      </w:r>
      <w:r w:rsidR="00255EA8">
        <w:fldChar w:fldCharType="end"/>
      </w:r>
      <w:r w:rsidR="00B612A3">
        <w:t xml:space="preserve">. </w:t>
      </w:r>
    </w:p>
    <w:p w14:paraId="36EAA146" w14:textId="4C834FBF" w:rsidR="00A164F8" w:rsidRDefault="00B612A3" w:rsidP="005D41BE">
      <w:pPr>
        <w:spacing w:line="276" w:lineRule="auto"/>
      </w:pPr>
      <w:r>
        <w:fldChar w:fldCharType="begin">
          <w:fldData xml:space="preserve">PEVuZE5vdGU+PENpdGUgQXV0aG9yWWVhcj0iMSI+PEF1dGhvcj5IdWFuZzwvQXV0aG9yPjxZZWFy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</w:fldData>
        </w:fldChar>
      </w:r>
      <w:r w:rsidR="008722B7">
        <w:instrText xml:space="preserve"> ADDIN EN.CITE </w:instrText>
      </w:r>
      <w:r w:rsidR="008722B7">
        <w:fldChar w:fldCharType="begin">
          <w:fldData xml:space="preserve">PEVuZE5vdGU+PENpdGUgQXV0aG9yWWVhcj0iMSI+PEF1dGhvcj5IdWFuZzwvQXV0aG9yPjxZZWFy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</w:fldData>
        </w:fldChar>
      </w:r>
      <w:r w:rsidR="008722B7">
        <w:instrText xml:space="preserve"> ADDIN EN.CITE.DATA </w:instrText>
      </w:r>
      <w:r w:rsidR="008722B7">
        <w:fldChar w:fldCharType="end"/>
      </w:r>
      <w:r>
        <w:fldChar w:fldCharType="separate"/>
      </w:r>
      <w:r w:rsidR="008722B7">
        <w:rPr>
          <w:noProof/>
        </w:rPr>
        <w:t>Huang et al. (2020)</w:t>
      </w:r>
      <w:r>
        <w:fldChar w:fldCharType="end"/>
      </w:r>
      <w:r>
        <w:t xml:space="preserve"> </w:t>
      </w:r>
      <w:r w:rsidR="00370248">
        <w:t xml:space="preserve">was the most recent review at low risk of bias and most closely aligned with the review inclusion criteria. The authors </w:t>
      </w:r>
      <w:r w:rsidR="00A164F8">
        <w:t xml:space="preserve">examined the effect of sodium dose and intervention duration on blood pressure in adults. Eligible studies were RCTs comparing reduced dietary sodium intake with usual/higher intake (estimated by 24 hour urine collection) reporting data on SBP or DBP. The dose-response relationship between sodium and changes in SBP and DBP were explored by grouping RCTs into quintiles based on change in 24-hour urinary sodium excretion. Analysis was stratified by intervention duration (&gt;14 days duration vs ≤14 days), with additional analysis restricted to trials &gt;14 days duration and with &gt;100 mmol reduction in 24-hour urinary sodium. The review included 133 studies across 12,197 participants, comprising 58 studies (9,196 participants) &gt;14 days duration, and 77 studies (2,977 participants) ≤14 days or less. Of those studies exceeding 14 days duration, most (48/58; 7,410 participants) had urinary sodium reductions of ≤ 100 mmol. </w:t>
      </w:r>
    </w:p>
    <w:p w14:paraId="6239BDA3" w14:textId="726E51CD" w:rsidR="00A164F8" w:rsidRDefault="00A164F8" w:rsidP="005D41BE">
      <w:pPr>
        <w:spacing w:line="276" w:lineRule="auto"/>
      </w:pPr>
      <w:r>
        <w:t xml:space="preserve">Fully adjusted regression modelling found that a </w:t>
      </w:r>
      <w:r w:rsidRPr="00153AEE">
        <w:t>50 mmol reduction in 24 hour urinary</w:t>
      </w:r>
      <w:r>
        <w:t xml:space="preserve"> </w:t>
      </w:r>
      <w:r w:rsidRPr="00153AEE">
        <w:t xml:space="preserve">sodium was associated with </w:t>
      </w:r>
      <w:r>
        <w:t>statistically significant decreases in SBP (</w:t>
      </w:r>
      <w:r w:rsidRPr="00153AEE">
        <w:t>1.10 mm Hg</w:t>
      </w:r>
      <w:r>
        <w:t xml:space="preserve">, 95% CI </w:t>
      </w:r>
      <w:r w:rsidRPr="00153AEE">
        <w:t>0.66 to</w:t>
      </w:r>
      <w:r>
        <w:t xml:space="preserve"> </w:t>
      </w:r>
      <w:r w:rsidRPr="00153AEE">
        <w:t xml:space="preserve">1.54) </w:t>
      </w:r>
      <w:r>
        <w:t>and DBP (</w:t>
      </w:r>
      <w:r w:rsidRPr="00153AEE">
        <w:t>0.33</w:t>
      </w:r>
      <w:r>
        <w:t xml:space="preserve"> </w:t>
      </w:r>
      <w:r w:rsidRPr="00153AEE">
        <w:t>mm Hg</w:t>
      </w:r>
      <w:r>
        <w:t>, 95% CI</w:t>
      </w:r>
      <w:r w:rsidRPr="00153AEE">
        <w:t xml:space="preserve"> 0.04 to 0.63).</w:t>
      </w:r>
      <w:r>
        <w:t xml:space="preserve"> Reductions in blood pressure were reported across both hypertensive and non-hypertensive individuals. Effects of sodium reduction on SBP were modified by age, ethnicity and blood pressure level, with greater effects observed in older people, non-white populations and those with higher SBP at baseline. Shorter trials</w:t>
      </w:r>
      <w:r w:rsidR="00237390">
        <w:t xml:space="preserve"> (</w:t>
      </w:r>
      <w:r w:rsidR="00855033">
        <w:t>&lt;15 days duration)</w:t>
      </w:r>
      <w:r>
        <w:t xml:space="preserve"> showed smaller reductions in SBP for each 50mmol reduction in 24-hour urinary sodium (</w:t>
      </w:r>
      <w:r w:rsidRPr="002D40F3">
        <w:t>1.05</w:t>
      </w:r>
      <w:r>
        <w:t xml:space="preserve"> </w:t>
      </w:r>
      <w:r w:rsidRPr="002D40F3">
        <w:t>mm Hg</w:t>
      </w:r>
      <w:r>
        <w:t>, 95% CI</w:t>
      </w:r>
      <w:r w:rsidRPr="002D40F3">
        <w:t xml:space="preserve"> 0.40 to 1.70</w:t>
      </w:r>
      <w:r>
        <w:t>;</w:t>
      </w:r>
      <w:r w:rsidRPr="002D40F3">
        <w:t xml:space="preserve"> </w:t>
      </w:r>
      <w:r>
        <w:t>p</w:t>
      </w:r>
      <w:r w:rsidRPr="002D40F3">
        <w:t xml:space="preserve">=0.002) </w:t>
      </w:r>
      <w:r>
        <w:t xml:space="preserve">compared with longer trials </w:t>
      </w:r>
      <w:r w:rsidR="00386F1B">
        <w:t>of 15 days duration or more</w:t>
      </w:r>
      <w:r>
        <w:t xml:space="preserve"> (</w:t>
      </w:r>
      <w:r w:rsidRPr="002D40F3">
        <w:t>2.13</w:t>
      </w:r>
      <w:r>
        <w:t xml:space="preserve"> </w:t>
      </w:r>
      <w:r w:rsidRPr="002D40F3">
        <w:t xml:space="preserve">mm Hg; </w:t>
      </w:r>
      <w:r>
        <w:t xml:space="preserve">95% CI </w:t>
      </w:r>
      <w:r w:rsidRPr="002D40F3">
        <w:t xml:space="preserve">0.85 to 3.40; </w:t>
      </w:r>
      <w:r>
        <w:t>p</w:t>
      </w:r>
      <w:r w:rsidRPr="002D40F3">
        <w:t>=0.002</w:t>
      </w:r>
      <w:r>
        <w:t xml:space="preserve">), although confidence intervals for the latter were also wider. </w:t>
      </w:r>
    </w:p>
    <w:p w14:paraId="5C2D13CB" w14:textId="77777777" w:rsidR="00A164F8" w:rsidRDefault="00A164F8" w:rsidP="005D41BE">
      <w:pPr>
        <w:spacing w:line="276" w:lineRule="auto"/>
      </w:pPr>
      <w:r>
        <w:t>A dose response relationship was observed, with a greater magnitude of sodium reduction associated with greater reductions in SBP. This finding was also supported by a plot of studies with more than two levels of sodium intake which also showed a dose-response relationship for SBP across 7 studies.</w:t>
      </w:r>
    </w:p>
    <w:p w14:paraId="485D3D12" w14:textId="6C8AE8F5" w:rsidR="00A164F8" w:rsidRDefault="00A164F8" w:rsidP="005D41BE">
      <w:pPr>
        <w:spacing w:line="276" w:lineRule="auto"/>
      </w:pPr>
      <w:r>
        <w:t xml:space="preserve">Huang et al (2020) included literature published up to 21 January 2019 and is therefore not substantially more current than </w:t>
      </w:r>
      <w:r w:rsidRPr="00B53407">
        <w:t>the reviews undertaken by EFSA (current to October 2018) and AHRQ (current to December 2017).</w:t>
      </w:r>
      <w:r>
        <w:t xml:space="preserve"> Furthermore, as the dose-response analysis was performed as quintiles of sodium reduction from baseline, rather than comparing sodium intake to SBP, it does not facilitate selection of a reference value for the purposes of establishing </w:t>
      </w:r>
      <w:proofErr w:type="gramStart"/>
      <w:r>
        <w:t>a</w:t>
      </w:r>
      <w:proofErr w:type="gramEnd"/>
      <w:r>
        <w:t xml:space="preserve"> SDT</w:t>
      </w:r>
      <w:r w:rsidR="00475B5A">
        <w:t>/CDRR</w:t>
      </w:r>
      <w:r>
        <w:t xml:space="preserve"> for sodium. Nevertheless, it provides further supportive evidence of a consistent linear relationship between blood pressure and urinary sodium reduction. It also helps to explain divergent findings between various systematic reviews regarding the effect on SBP in non-hypertensive populations, by highlighting the sensitivity of analyses to both study duration and the level of sodium reduction of included studies. </w:t>
      </w:r>
    </w:p>
    <w:p w14:paraId="3BFCABB7" w14:textId="77777777" w:rsidR="00A164F8" w:rsidRDefault="00A164F8" w:rsidP="005D41BE">
      <w:pPr>
        <w:spacing w:line="276" w:lineRule="auto"/>
      </w:pPr>
      <w:r>
        <w:t xml:space="preserve">Graudal et al 2020 also conducted a Cochrane systematic review on the effects of low vs high sodium on blood pressure (low risk of bias), searching for studies up to 11 April 2018. The review adopted inclusive criteria, with studies that estimated sodium intake based on fractional urine samples (minimum 8 hour samples) and studies with any duration of intervention eligible for </w:t>
      </w:r>
      <w:r>
        <w:lastRenderedPageBreak/>
        <w:t>inclusion. These decisions are a significant departure from the preferred inclusion criteria nominated by the Sodium Expert Working Committee - and those adopted by EFSA (2019) and AHRQ (2018) - which required a minimum intervention duration of 4 weeks, and 24 hour sampling for urinary measures. Analyses for the effect of sodium intake on blood pressure were stratified by ‘race’ (grouped as ‘white’, ‘black’ or Asian populations) or hypertensive status (non-hypertensive vs hypertensive). Overall meta-analyses across all populations were not presented. Although mean sodium in the high and low intake groups was reported for each population, the magnitude of sodium reduction across different studies was not factored into analysis.</w:t>
      </w:r>
    </w:p>
    <w:p w14:paraId="67544C97" w14:textId="77777777" w:rsidR="00A164F8" w:rsidRDefault="00A164F8" w:rsidP="005D41BE">
      <w:pPr>
        <w:spacing w:line="276" w:lineRule="auto"/>
      </w:pPr>
      <w:r>
        <w:t xml:space="preserve">Sodium intakes – and the magnitude of sodium reduction between groups - varied substantially across studies, with a mean (SD) intake of 203 (66) mmol/day in the high sodium group and 65 (40) mmol/day in the low sodium group, equating to a mean sodium reduction of 138 mmol/day. Significant statistical heterogeneity was noted across all analyses except among normotensive Asian participants, with unexplained heterogeneity remaining after subgroup analysis to exclude trials of less than 7 days duration or with intakes above 250mmol/day. Significant clinical heterogeneity across studies was noted, including disparities in the duration of intervention (range 3 to 1,100 </w:t>
      </w:r>
      <w:r w:rsidRPr="00BB3CE5">
        <w:t>days</w:t>
      </w:r>
      <w:r>
        <w:t xml:space="preserve">) and the mean sodium reduction of included studies (range 23 mmol/day to 341 mmol/day) across studies. </w:t>
      </w:r>
    </w:p>
    <w:p w14:paraId="6218AD57" w14:textId="77777777" w:rsidR="002E7178" w:rsidRDefault="00A164F8" w:rsidP="005D41BE">
      <w:pPr>
        <w:spacing w:line="276" w:lineRule="auto"/>
      </w:pPr>
      <w:r>
        <w:t xml:space="preserve">Meta-analyses found statistically significant reductions in SBP with lower sodium intake across both “white” and “black” populations, with greater reductions observed in hypertensive populations. In Asian populations, a statistically significant reduction in SBP was reported with lower sodium intakes in hypertensive populations (MD </w:t>
      </w:r>
      <w:r w:rsidRPr="00A43005">
        <w:t>-7.75</w:t>
      </w:r>
      <w:r>
        <w:t xml:space="preserve"> mm Hg, 95% CI </w:t>
      </w:r>
      <w:r w:rsidRPr="00A43005">
        <w:t>-11.44 to -4.07)</w:t>
      </w:r>
      <w:r>
        <w:t xml:space="preserve">, although the effect was non-significant in normotensive Asian participants (MD -1.50 </w:t>
      </w:r>
      <w:r w:rsidRPr="00153AEE">
        <w:t>mm Hg</w:t>
      </w:r>
      <w:r>
        <w:t xml:space="preserve">, 95% CI -3.09 to 0.10). </w:t>
      </w:r>
      <w:r w:rsidR="002E7178">
        <w:t xml:space="preserve"> </w:t>
      </w:r>
    </w:p>
    <w:p w14:paraId="280B3724" w14:textId="20D6DA72" w:rsidR="00A164F8" w:rsidRDefault="002E7178" w:rsidP="005D41BE">
      <w:pPr>
        <w:spacing w:line="276" w:lineRule="auto"/>
      </w:pPr>
      <w:r>
        <w:t xml:space="preserve">Results for DBP </w:t>
      </w:r>
      <w:r w:rsidR="00DE5BBC">
        <w:t xml:space="preserve">varied depending on hypertensive status, with </w:t>
      </w:r>
      <w:r w:rsidR="009663E8">
        <w:t xml:space="preserve">sodium reduction having no effect on </w:t>
      </w:r>
      <w:r w:rsidR="009323EB">
        <w:t xml:space="preserve">DBP </w:t>
      </w:r>
      <w:r w:rsidR="009663E8">
        <w:t xml:space="preserve">among </w:t>
      </w:r>
      <w:r w:rsidR="006512AC">
        <w:t xml:space="preserve">normotensive </w:t>
      </w:r>
      <w:r w:rsidR="00A33CC2">
        <w:t>“</w:t>
      </w:r>
      <w:r w:rsidR="009663E8">
        <w:t>white</w:t>
      </w:r>
      <w:r w:rsidR="00A33CC2">
        <w:t>”</w:t>
      </w:r>
      <w:r w:rsidR="009663E8">
        <w:t xml:space="preserve"> participants (MD +0.01 mm Hg, 95% CI </w:t>
      </w:r>
      <w:r w:rsidR="006512AC">
        <w:t>-0.37 to 0.39</w:t>
      </w:r>
      <w:r w:rsidR="009323EB">
        <w:t xml:space="preserve">) and significantly reducing DBP among hypertensive </w:t>
      </w:r>
      <w:r w:rsidR="00C12C72">
        <w:t>“</w:t>
      </w:r>
      <w:r w:rsidR="009323EB">
        <w:t>white</w:t>
      </w:r>
      <w:r w:rsidR="00C12C72">
        <w:t>”</w:t>
      </w:r>
      <w:r w:rsidR="009323EB">
        <w:t xml:space="preserve"> participants (</w:t>
      </w:r>
      <w:r w:rsidR="00C92785">
        <w:t>MD -2.87 mm Hg, 95% CI -3.41 to -2.32).</w:t>
      </w:r>
      <w:r w:rsidR="00331278">
        <w:t xml:space="preserve"> Similar patterns were observed among </w:t>
      </w:r>
      <w:r w:rsidR="00A33CC2">
        <w:t>“black” and Asian populations.</w:t>
      </w:r>
    </w:p>
    <w:p w14:paraId="514F2456" w14:textId="77777777" w:rsidR="00A164F8" w:rsidRDefault="00A164F8" w:rsidP="005D41BE">
      <w:pPr>
        <w:spacing w:line="276" w:lineRule="auto"/>
      </w:pPr>
      <w:r>
        <w:t xml:space="preserve">Based on these </w:t>
      </w:r>
      <w:r w:rsidRPr="007D17CF">
        <w:t xml:space="preserve">analyses – coupled with findings </w:t>
      </w:r>
      <w:r>
        <w:t xml:space="preserve">examining the concomitant effects of </w:t>
      </w:r>
      <w:r w:rsidRPr="007D17CF">
        <w:t xml:space="preserve">short-term </w:t>
      </w:r>
      <w:r>
        <w:t xml:space="preserve">sodium </w:t>
      </w:r>
      <w:r w:rsidRPr="007D17CF">
        <w:t>reductions on hormones and lipids - the authors</w:t>
      </w:r>
      <w:r>
        <w:t xml:space="preserve"> questioned the benefit of sodium reduction in normotensive white populations. However, this conclusion should be interpreted with caution, as the review had several limitations. Firstly, the authors’ conclusions about the relative benefits and harms of sodium reduction may have been unduly influenced by the inclusion of studies with of short duration which may not accurately reflect long-term effects. Despite undertaking sensitivity analyses to explore the effect of intervention duration, the threshold selected by Graudal et al (2020) of 7 days duration or longer remained significantly shorter than the 4 week period adopted by other reviews. Huang et al (2020) reported an approximate doubling of effect size when studies longer than 2 weeks were compared with shorter studies, suggesting some latency in the effects of sodium reduction, which may not be captured in studies of shorter duration. Similarly, Huang et al (2020) noted that concerns about potential effects on hormones and lipids raised by Graudal et al (2020) are not found in studies with longer term </w:t>
      </w:r>
      <w:proofErr w:type="gramStart"/>
      <w:r>
        <w:t>interventions, and</w:t>
      </w:r>
      <w:proofErr w:type="gramEnd"/>
      <w:r>
        <w:t xml:space="preserve"> may represent short-term metabolic effects rather than adverse long-term outcomes. </w:t>
      </w:r>
    </w:p>
    <w:p w14:paraId="6431E349" w14:textId="77777777" w:rsidR="00A164F8" w:rsidRPr="003E4349" w:rsidRDefault="00A164F8" w:rsidP="005D41BE">
      <w:pPr>
        <w:spacing w:line="276" w:lineRule="auto"/>
      </w:pPr>
      <w:r>
        <w:lastRenderedPageBreak/>
        <w:t>Another limitation of the review was the failure to account for the magnitude of sodium reduction (and level of sodium intake) in analysis. In some cases, the level of intake – and associated sodium reductions – was not reflective of usual dietary intakes or the types of sodium reduction seen in response to public health interventions. Furthermore, no criteria were set for what constituted a ‘low’ vs ‘high’ sodium intake, instead relying on comparisons of lower vs higher intakes. Consequently, it is possible that there was overlap between classifications across studies (</w:t>
      </w:r>
      <w:proofErr w:type="spellStart"/>
      <w:r>
        <w:t>ie</w:t>
      </w:r>
      <w:proofErr w:type="spellEnd"/>
      <w:r>
        <w:t>. a ‘low’ intake for one study may correspond to a ‘high’ intake for another study). Insufficient data were presented in characteristics of included studies (which only reported sodium reduction, not intake levels for each group) limiting the ability to assess the extent to which this impacted on analysis.</w:t>
      </w:r>
    </w:p>
    <w:p w14:paraId="68E964DF" w14:textId="77777777" w:rsidR="00A164F8" w:rsidRDefault="00A164F8" w:rsidP="005D41BE">
      <w:pPr>
        <w:spacing w:line="276" w:lineRule="auto"/>
      </w:pPr>
      <w:r>
        <w:t>The review’s approach to analysing blood pressure relative to race and hypertensive status also had limitations. Studies in mixed race groups were classified according to the predominant group within the study, and where the race of participants was not reported, the study race was inferred based on the predominant race in the study country. In endeavouring to assign all studies to a single ‘race’ or hypertensive status grouping, the review may have introduced classification error in studies among mixed populations. Furthermore, analysis based on hypertensive status is challenging, with some populations including a mix of hypertensive and non-hypertensive participants, and the definition of ‘hypertension’ varying across studies and over time. Finally, conceptualising populations as hypertensive or not arbitrarily reduces baseline blood pressure to a binary measure, overlooking the graded relationship between reduced sodium intake, blood pressure reduction, and starting blood pressure consistently observed in the literature (Huang et al 2020).</w:t>
      </w:r>
    </w:p>
    <w:p w14:paraId="283DDA49" w14:textId="0BAFC0CC" w:rsidR="00A164F8" w:rsidRDefault="00A164F8" w:rsidP="00910FEC">
      <w:pPr>
        <w:spacing w:line="276" w:lineRule="auto"/>
      </w:pPr>
      <w:r w:rsidRPr="009278B8">
        <w:t>Finally, a systematic review by</w:t>
      </w:r>
      <w:r w:rsidR="00E23FA7">
        <w:t xml:space="preserve"> </w:t>
      </w:r>
      <w:r w:rsidR="00E23FA7">
        <w:fldChar w:fldCharType="begin"/>
      </w:r>
      <w:r w:rsidR="00F61D64">
        <w:instrText xml:space="preserve"> ADDIN EN.CITE &lt;EndNote&gt;&lt;Cite AuthorYear="1"&gt;&lt;Author&gt;Filippini&lt;/Author&gt;&lt;Year&gt;2021&lt;/Year&gt;&lt;RecNum&gt;3&lt;/RecNum&gt;&lt;DisplayText&gt;Filippini et al. (2021b)&lt;/DisplayText&gt;&lt;record&gt;&lt;rec-number&gt;3&lt;/rec-number&gt;&lt;foreign-keys&gt;&lt;key app="EN" db-id="wwsdv2wwp29fenerv0kx5tw9zxtx2fdrprx2" timestamp="1762739885"&gt;3&lt;/key&gt;&lt;/foreign-keys&gt;&lt;ref-type name="Journal Article"&gt;17&lt;/ref-type&gt;&lt;contributors&gt;&lt;authors&gt;&lt;author&gt;Filippini, T.&lt;/author&gt;&lt;author&gt;Malavolti, M.&lt;/author&gt;&lt;author&gt;Whelton, P. K.&lt;/author&gt;&lt;author&gt;Naska, A.&lt;/author&gt;&lt;author&gt;Orsini, N.&lt;/author&gt;&lt;author&gt;Vinceti, M.&lt;/author&gt;&lt;/authors&gt;&lt;/contributors&gt;&lt;titles&gt;&lt;title&gt;Blood Pressure Effects of Sodium Reduction:Dose-Response Meta-Analysis of Experimental Studies&lt;/title&gt;&lt;secondary-title&gt;Circulation&lt;/secondary-title&gt;&lt;/titles&gt;&lt;periodical&gt;&lt;full-title&gt;Circulation&lt;/full-title&gt;&lt;/periodical&gt;&lt;pages&gt;1542-1567&lt;/pages&gt;&lt;volume&gt;143&lt;/volume&gt;&lt;number&gt;16&lt;/number&gt;&lt;dates&gt;&lt;year&gt;2021&lt;/year&gt;&lt;/dates&gt;&lt;urls&gt;&lt;related-urls&gt;&lt;url&gt;https://www.ahajournals.org/doi/abs/10.1161/CIRCULATIONAHA.120.050371&lt;/url&gt;&lt;/related-urls&gt;&lt;/urls&gt;&lt;electronic-resource-num&gt;doi:10.1161/CIRCULATIONAHA.120.050371&lt;/electronic-resource-num&gt;&lt;/record&gt;&lt;/Cite&gt;&lt;/EndNote&gt;</w:instrText>
      </w:r>
      <w:r w:rsidR="00E23FA7">
        <w:fldChar w:fldCharType="separate"/>
      </w:r>
      <w:r w:rsidR="00F61D64">
        <w:rPr>
          <w:noProof/>
        </w:rPr>
        <w:t>Filippini et al. (2021b)</w:t>
      </w:r>
      <w:r w:rsidR="00E23FA7">
        <w:fldChar w:fldCharType="end"/>
      </w:r>
      <w:r w:rsidRPr="009278B8">
        <w:t xml:space="preserve"> searched for RCTs on the effect of dietary sodium reduction on blood pressure published up to 12 October 2020</w:t>
      </w:r>
      <w:r w:rsidR="003B3EEA">
        <w:t xml:space="preserve"> (high risk of bias)</w:t>
      </w:r>
      <w:r w:rsidRPr="009278B8">
        <w:t>. Eligib</w:t>
      </w:r>
      <w:r>
        <w:t xml:space="preserve">ility criteria included participants with or without hypertension (excluding secondary hypertension) undergoing experimental dietary intervention aimed at reducing sodium or sodium supplementation (vs. placebo) for a minimum of 4 weeks trial duration. Sodium was measured using 24-hour urinary sodium excretion. The review was judged to be at high risk of bias because of concerns about the comprehensiveness of its search strategy and unclear information about duplicate data extraction and risk of bias assessment. Eighty-five RCTs were identified for inclusion in the review, predominantly in hypertensive populations (65 RCTs). There was significant clinical heterogeneity across trials, with dietary sodium intakes ranging from </w:t>
      </w:r>
      <w:r w:rsidRPr="00BD3766">
        <w:t>0.4 to 7.6 g</w:t>
      </w:r>
      <w:r>
        <w:t xml:space="preserve">rams </w:t>
      </w:r>
      <w:r w:rsidRPr="00BD3766">
        <w:t>/</w:t>
      </w:r>
      <w:r>
        <w:t xml:space="preserve"> day, and study duration from 4 weeks to 36 months. </w:t>
      </w:r>
      <w:r w:rsidRPr="002875EC">
        <w:t>Dose–response meta-analysis</w:t>
      </w:r>
      <w:r>
        <w:t xml:space="preserve"> was undertaken using a 1-stage cubic spline mixed-effects model to explore the effect of dietary changes in sodium intake on blood pressure, using a reference value of 2,000mg/day of sodium (see </w:t>
      </w:r>
      <w:r>
        <w:fldChar w:fldCharType="begin"/>
      </w:r>
      <w:r>
        <w:instrText xml:space="preserve"> REF _Ref225759731 \h </w:instrText>
      </w:r>
      <w:r>
        <w:fldChar w:fldCharType="separate"/>
      </w:r>
      <w:r w:rsidR="00074E84">
        <w:t xml:space="preserve">Figure </w:t>
      </w:r>
      <w:r w:rsidR="00074E84">
        <w:rPr>
          <w:noProof/>
        </w:rPr>
        <w:t>1</w:t>
      </w:r>
      <w:r>
        <w:fldChar w:fldCharType="end"/>
      </w:r>
      <w:r>
        <w:t xml:space="preserve">). A linear relationship between sodium intake and SBP was observed across the range of included dietary sodium intakes, with greater effects noted in participants with higher blood pressure at baseline. Regression analysis reported that </w:t>
      </w:r>
      <w:r w:rsidR="00910FEC">
        <w:t xml:space="preserve">for every 10 mmol/day reduction in urinary </w:t>
      </w:r>
      <w:proofErr w:type="spellStart"/>
      <w:r w:rsidR="00910FEC">
        <w:t>sodum</w:t>
      </w:r>
      <w:proofErr w:type="spellEnd"/>
      <w:r w:rsidR="00910FEC">
        <w:t xml:space="preserve"> excretion, </w:t>
      </w:r>
      <w:r>
        <w:t xml:space="preserve">SBP reduced by 5.56mmHg (95% CI -4.52 to -6.59) </w:t>
      </w:r>
      <w:r w:rsidR="00910FEC">
        <w:t xml:space="preserve">and DBP by </w:t>
      </w:r>
      <w:r w:rsidR="00910FEC" w:rsidRPr="00910FEC">
        <w:t>2.33</w:t>
      </w:r>
      <w:r w:rsidR="00910FEC">
        <w:t xml:space="preserve"> mmHg (</w:t>
      </w:r>
      <w:r w:rsidR="00910FEC" w:rsidRPr="00910FEC">
        <w:t>95% CI, −1.66 to −3.00)</w:t>
      </w:r>
      <w:r w:rsidR="00F170DA">
        <w:t xml:space="preserve"> </w:t>
      </w:r>
      <w:r w:rsidR="00F170DA">
        <w:fldChar w:fldCharType="begin"/>
      </w:r>
      <w:r w:rsidR="00F61D64">
        <w:instrText xml:space="preserve"> ADDIN EN.CITE &lt;EndNote&gt;&lt;Cite&gt;&lt;Author&gt;Filippini&lt;/Author&gt;&lt;Year&gt;2021&lt;/Year&gt;&lt;RecNum&gt;3&lt;/RecNum&gt;&lt;DisplayText&gt;(Filippini et al., 2021b)&lt;/DisplayText&gt;&lt;record&gt;&lt;rec-number&gt;3&lt;/rec-number&gt;&lt;foreign-keys&gt;&lt;key app="EN" db-id="wwsdv2wwp29fenerv0kx5tw9zxtx2fdrprx2" timestamp="1762739885"&gt;3&lt;/key&gt;&lt;/foreign-keys&gt;&lt;ref-type name="Journal Article"&gt;17&lt;/ref-type&gt;&lt;contributors&gt;&lt;authors&gt;&lt;author&gt;Filippini, T.&lt;/author&gt;&lt;author&gt;Malavolti, M.&lt;/author&gt;&lt;author&gt;Whelton, P. K.&lt;/author&gt;&lt;author&gt;Naska, A.&lt;/author&gt;&lt;author&gt;Orsini, N.&lt;/author&gt;&lt;author&gt;Vinceti, M.&lt;/author&gt;&lt;/authors&gt;&lt;/contributors&gt;&lt;titles&gt;&lt;title&gt;Blood Pressure Effects of Sodium Reduction:Dose-Response Meta-Analysis of Experimental Studies&lt;/title&gt;&lt;secondary-title&gt;Circulation&lt;/secondary-title&gt;&lt;/titles&gt;&lt;periodical&gt;&lt;full-title&gt;Circulation&lt;/full-title&gt;&lt;/periodical&gt;&lt;pages&gt;1542-1567&lt;/pages&gt;&lt;volume&gt;143&lt;/volume&gt;&lt;number&gt;16&lt;/number&gt;&lt;dates&gt;&lt;year&gt;2021&lt;/year&gt;&lt;/dates&gt;&lt;urls&gt;&lt;related-urls&gt;&lt;url&gt;https://www.ahajournals.org/doi/abs/10.1161/CIRCULATIONAHA.120.050371&lt;/url&gt;&lt;/related-urls&gt;&lt;/urls&gt;&lt;electronic-resource-num&gt;doi:10.1161/CIRCULATIONAHA.120.050371&lt;/electronic-resource-num&gt;&lt;/record&gt;&lt;/Cite&gt;&lt;/EndNote&gt;</w:instrText>
      </w:r>
      <w:r w:rsidR="00F170DA">
        <w:fldChar w:fldCharType="separate"/>
      </w:r>
      <w:r w:rsidR="00F61D64">
        <w:rPr>
          <w:noProof/>
        </w:rPr>
        <w:t>(Filippini et al., 2021b)</w:t>
      </w:r>
      <w:r w:rsidR="00F170DA">
        <w:fldChar w:fldCharType="end"/>
      </w:r>
      <w:r>
        <w:t xml:space="preserve">. </w:t>
      </w:r>
    </w:p>
    <w:p w14:paraId="67EBE282" w14:textId="77777777" w:rsidR="00A164F8" w:rsidRDefault="00A164F8" w:rsidP="00A164F8">
      <w:pPr>
        <w:keepNext/>
        <w:ind w:left="-709"/>
      </w:pPr>
      <w:r>
        <w:rPr>
          <w:noProof/>
        </w:rPr>
        <w:lastRenderedPageBreak/>
        <mc:AlternateContent>
          <mc:Choice Requires="wpg">
            <w:drawing>
              <wp:anchor distT="0" distB="0" distL="114300" distR="114300" simplePos="0" relativeHeight="251658240" behindDoc="0" locked="0" layoutInCell="1" allowOverlap="1" wp14:anchorId="55441B81" wp14:editId="30DFFB75">
                <wp:simplePos x="0" y="0"/>
                <wp:positionH relativeFrom="column">
                  <wp:posOffset>38100</wp:posOffset>
                </wp:positionH>
                <wp:positionV relativeFrom="paragraph">
                  <wp:posOffset>-152400</wp:posOffset>
                </wp:positionV>
                <wp:extent cx="523875" cy="4638675"/>
                <wp:effectExtent l="0" t="0" r="0" b="0"/>
                <wp:wrapNone/>
                <wp:docPr id="1323989684" name="Group 2"/>
                <wp:cNvGraphicFramePr/>
                <a:graphic xmlns:a="http://schemas.openxmlformats.org/drawingml/2006/main">
                  <a:graphicData uri="http://schemas.microsoft.com/office/word/2010/wordprocessingGroup">
                    <wpg:wgp>
                      <wpg:cNvGrpSpPr/>
                      <wpg:grpSpPr>
                        <a:xfrm>
                          <a:off x="0" y="0"/>
                          <a:ext cx="523875" cy="4638675"/>
                          <a:chOff x="0" y="0"/>
                          <a:chExt cx="523875" cy="4638675"/>
                        </a:xfrm>
                      </wpg:grpSpPr>
                      <wps:wsp>
                        <wps:cNvPr id="217" name="Text Box 2"/>
                        <wps:cNvSpPr txBox="1">
                          <a:spLocks noChangeArrowheads="1"/>
                        </wps:cNvSpPr>
                        <wps:spPr bwMode="auto">
                          <a:xfrm>
                            <a:off x="0" y="0"/>
                            <a:ext cx="466725" cy="333375"/>
                          </a:xfrm>
                          <a:prstGeom prst="rect">
                            <a:avLst/>
                          </a:prstGeom>
                          <a:noFill/>
                          <a:ln w="9525">
                            <a:noFill/>
                            <a:miter lim="800000"/>
                            <a:headEnd/>
                            <a:tailEnd/>
                          </a:ln>
                        </wps:spPr>
                        <wps:txbx>
                          <w:txbxContent>
                            <w:p w14:paraId="3DCF5B08" w14:textId="77777777" w:rsidR="00A164F8" w:rsidRPr="00B766D5" w:rsidRDefault="00A164F8" w:rsidP="00A164F8">
                              <w:pPr>
                                <w:rPr>
                                  <w:b/>
                                  <w:bCs/>
                                </w:rPr>
                              </w:pPr>
                              <w:r w:rsidRPr="00B766D5">
                                <w:rPr>
                                  <w:b/>
                                  <w:bCs/>
                                </w:rPr>
                                <w:t>(a)</w:t>
                              </w:r>
                            </w:p>
                          </w:txbxContent>
                        </wps:txbx>
                        <wps:bodyPr rot="0" vert="horz" wrap="square" lIns="91440" tIns="45720" rIns="91440" bIns="45720" anchor="t" anchorCtr="0">
                          <a:noAutofit/>
                        </wps:bodyPr>
                      </wps:wsp>
                      <wps:wsp>
                        <wps:cNvPr id="283651804" name="Text Box 2"/>
                        <wps:cNvSpPr txBox="1">
                          <a:spLocks noChangeArrowheads="1"/>
                        </wps:cNvSpPr>
                        <wps:spPr bwMode="auto">
                          <a:xfrm>
                            <a:off x="57150" y="2238375"/>
                            <a:ext cx="466725" cy="333375"/>
                          </a:xfrm>
                          <a:prstGeom prst="rect">
                            <a:avLst/>
                          </a:prstGeom>
                          <a:noFill/>
                          <a:ln w="9525">
                            <a:noFill/>
                            <a:miter lim="800000"/>
                            <a:headEnd/>
                            <a:tailEnd/>
                          </a:ln>
                        </wps:spPr>
                        <wps:txbx>
                          <w:txbxContent>
                            <w:p w14:paraId="56E40F15" w14:textId="77777777" w:rsidR="00A164F8" w:rsidRPr="00B766D5" w:rsidRDefault="00A164F8" w:rsidP="00A164F8">
                              <w:pPr>
                                <w:rPr>
                                  <w:b/>
                                  <w:bCs/>
                                </w:rPr>
                              </w:pPr>
                              <w:r w:rsidRPr="00B766D5">
                                <w:rPr>
                                  <w:b/>
                                  <w:bCs/>
                                </w:rPr>
                                <w:t>(</w:t>
                              </w:r>
                              <w:r>
                                <w:rPr>
                                  <w:b/>
                                  <w:bCs/>
                                </w:rPr>
                                <w:t>b</w:t>
                              </w:r>
                              <w:r w:rsidRPr="00B766D5">
                                <w:rPr>
                                  <w:b/>
                                  <w:bCs/>
                                </w:rPr>
                                <w:t>)</w:t>
                              </w:r>
                            </w:p>
                          </w:txbxContent>
                        </wps:txbx>
                        <wps:bodyPr rot="0" vert="horz" wrap="square" lIns="91440" tIns="45720" rIns="91440" bIns="45720" anchor="t" anchorCtr="0">
                          <a:noAutofit/>
                        </wps:bodyPr>
                      </wps:wsp>
                      <wps:wsp>
                        <wps:cNvPr id="2000737202" name="Text Box 2"/>
                        <wps:cNvSpPr txBox="1">
                          <a:spLocks noChangeArrowheads="1"/>
                        </wps:cNvSpPr>
                        <wps:spPr bwMode="auto">
                          <a:xfrm>
                            <a:off x="57150" y="4305300"/>
                            <a:ext cx="466725" cy="333375"/>
                          </a:xfrm>
                          <a:prstGeom prst="rect">
                            <a:avLst/>
                          </a:prstGeom>
                          <a:noFill/>
                          <a:ln w="9525">
                            <a:noFill/>
                            <a:miter lim="800000"/>
                            <a:headEnd/>
                            <a:tailEnd/>
                          </a:ln>
                        </wps:spPr>
                        <wps:txbx>
                          <w:txbxContent>
                            <w:p w14:paraId="062375EB" w14:textId="77777777" w:rsidR="00A164F8" w:rsidRPr="00B766D5" w:rsidRDefault="00A164F8" w:rsidP="00A164F8">
                              <w:pPr>
                                <w:rPr>
                                  <w:b/>
                                  <w:bCs/>
                                </w:rPr>
                              </w:pPr>
                              <w:r w:rsidRPr="00B766D5">
                                <w:rPr>
                                  <w:b/>
                                  <w:bCs/>
                                </w:rPr>
                                <w:t>(</w:t>
                              </w:r>
                              <w:r>
                                <w:rPr>
                                  <w:b/>
                                  <w:bCs/>
                                </w:rPr>
                                <w:t>c</w:t>
                              </w:r>
                              <w:r w:rsidRPr="00B766D5">
                                <w:rPr>
                                  <w:b/>
                                  <w:bCs/>
                                </w:rPr>
                                <w:t>)</w:t>
                              </w:r>
                            </w:p>
                          </w:txbxContent>
                        </wps:txbx>
                        <wps:bodyPr rot="0" vert="horz" wrap="square" lIns="91440" tIns="45720" rIns="91440" bIns="45720" anchor="t" anchorCtr="0">
                          <a:noAutofit/>
                        </wps:bodyPr>
                      </wps:wsp>
                    </wpg:wgp>
                  </a:graphicData>
                </a:graphic>
              </wp:anchor>
            </w:drawing>
          </mc:Choice>
          <mc:Fallback>
            <w:pict>
              <v:group w14:anchorId="55441B81" id="Group 2" o:spid="_x0000_s1026" style="position:absolute;left:0;text-align:left;margin-left:3pt;margin-top:-12pt;width:41.25pt;height:365.25pt;z-index:251658240" coordsize="5238,46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">
                <v:shapetype id="_x0000_t202" coordsize="21600,21600" o:spt="202" path="m,l,21600r21600,l21600,xe">
                  <v:stroke joinstyle="miter"/>
                  <v:path gradientshapeok="t" o:connecttype="rect"/>
                </v:shapetype>
                <v:shape id="Text Box 2" o:spid="_x0000_s1027" type="#_x0000_t202" style="position:absolute;width:4667;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DCF5B08" w14:textId="77777777" w:rsidR="00A164F8" w:rsidRPr="00B766D5" w:rsidRDefault="00A164F8" w:rsidP="00A164F8">
                        <w:pPr>
                          <w:rPr>
                            <w:b/>
                            <w:bCs/>
                          </w:rPr>
                        </w:pPr>
                        <w:r w:rsidRPr="00B766D5">
                          <w:rPr>
                            <w:b/>
                            <w:bCs/>
                          </w:rPr>
                          <w:t>(a)</w:t>
                        </w:r>
                      </w:p>
                    </w:txbxContent>
                  </v:textbox>
                </v:shape>
                <v:shape id="Text Box 2" o:spid="_x0000_s1028" type="#_x0000_t202" style="position:absolute;left:571;top:22383;width:4667;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" filled="f" stroked="f">
                  <v:textbox>
                    <w:txbxContent>
                      <w:p w14:paraId="56E40F15" w14:textId="77777777" w:rsidR="00A164F8" w:rsidRPr="00B766D5" w:rsidRDefault="00A164F8" w:rsidP="00A164F8">
                        <w:pPr>
                          <w:rPr>
                            <w:b/>
                            <w:bCs/>
                          </w:rPr>
                        </w:pPr>
                        <w:r w:rsidRPr="00B766D5">
                          <w:rPr>
                            <w:b/>
                            <w:bCs/>
                          </w:rPr>
                          <w:t>(</w:t>
                        </w:r>
                        <w:r>
                          <w:rPr>
                            <w:b/>
                            <w:bCs/>
                          </w:rPr>
                          <w:t>b</w:t>
                        </w:r>
                        <w:r w:rsidRPr="00B766D5">
                          <w:rPr>
                            <w:b/>
                            <w:bCs/>
                          </w:rPr>
                          <w:t>)</w:t>
                        </w:r>
                      </w:p>
                    </w:txbxContent>
                  </v:textbox>
                </v:shape>
                <v:shape id="Text Box 2" o:spid="_x0000_s1029" type="#_x0000_t202" style="position:absolute;left:571;top:43053;width:4667;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" filled="f" stroked="f">
                  <v:textbox>
                    <w:txbxContent>
                      <w:p w14:paraId="062375EB" w14:textId="77777777" w:rsidR="00A164F8" w:rsidRPr="00B766D5" w:rsidRDefault="00A164F8" w:rsidP="00A164F8">
                        <w:pPr>
                          <w:rPr>
                            <w:b/>
                            <w:bCs/>
                          </w:rPr>
                        </w:pPr>
                        <w:r w:rsidRPr="00B766D5">
                          <w:rPr>
                            <w:b/>
                            <w:bCs/>
                          </w:rPr>
                          <w:t>(</w:t>
                        </w:r>
                        <w:r>
                          <w:rPr>
                            <w:b/>
                            <w:bCs/>
                          </w:rPr>
                          <w:t>c</w:t>
                        </w:r>
                        <w:r w:rsidRPr="00B766D5">
                          <w:rPr>
                            <w:b/>
                            <w:bCs/>
                          </w:rPr>
                          <w:t>)</w:t>
                        </w:r>
                      </w:p>
                    </w:txbxContent>
                  </v:textbox>
                </v:shape>
              </v:group>
            </w:pict>
          </mc:Fallback>
        </mc:AlternateContent>
      </w:r>
      <w:r>
        <w:rPr>
          <w:noProof/>
        </w:rPr>
        <mc:AlternateContent>
          <mc:Choice Requires="wpc">
            <w:drawing>
              <wp:inline distT="0" distB="0" distL="0" distR="0" wp14:anchorId="1BBE77F2" wp14:editId="5117C9EA">
                <wp:extent cx="6028054" cy="5796000"/>
                <wp:effectExtent l="0" t="0" r="0" b="0"/>
                <wp:docPr id="488223187" name="Canvas 1" descr="Dose-response meta-analysis showing changes in systolic blood pressure (SBP) according to achieved sodium excretion. Results shown are for: (a) all studies and by type of intervention (supplementation or diet); (b) studies by baseline hypertension status of included participants (no hypertension vs hypertension); (c) studies by trial duration (4 to &lt;12 weeks vs ≥12 weeks). The average curve (solid line) with 95% confidence limits (dashed lines) was estimated with a 1-stage random-effects restricted cubic spline model, using 2 g/d as referent. "/>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365572958" name="Picture 365572958" descr="Dose-response meta-analysis showing changes in systolic blood pressure (SBP) according to achieved sodium excretion. Results shown are for: (a) all studies and by type of intervention (supplementation or diet); (b) studies by baseline hypertension status of included participants (no hypertension vs hypertension); (c) studies by trial duration (4 to &lt;12 weeks vs ≥12 weeks). The average curve (solid line) with 95% confidence limits (dashed lines) was estimated with a 1-stage random-effects restricted cubic spline model, using 2 g/d as referent. &#10;"/>
                          <pic:cNvPicPr>
                            <a:picLocks noChangeAspect="1"/>
                          </pic:cNvPicPr>
                        </pic:nvPicPr>
                        <pic:blipFill rotWithShape="1">
                          <a:blip r:embed="rId48"/>
                          <a:srcRect l="1330" t="1924" r="1784" b="48048"/>
                          <a:stretch>
                            <a:fillRect/>
                          </a:stretch>
                        </pic:blipFill>
                        <pic:spPr bwMode="auto">
                          <a:xfrm>
                            <a:off x="80536" y="33820"/>
                            <a:ext cx="5935106" cy="1852261"/>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2754465" name="Picture 62754465"/>
                          <pic:cNvPicPr>
                            <a:picLocks noChangeAspect="1"/>
                          </pic:cNvPicPr>
                        </pic:nvPicPr>
                        <pic:blipFill>
                          <a:blip r:embed="rId49"/>
                          <a:stretch>
                            <a:fillRect/>
                          </a:stretch>
                        </pic:blipFill>
                        <pic:spPr>
                          <a:xfrm>
                            <a:off x="703361" y="2060548"/>
                            <a:ext cx="4441816" cy="1825247"/>
                          </a:xfrm>
                          <a:prstGeom prst="rect">
                            <a:avLst/>
                          </a:prstGeom>
                        </pic:spPr>
                      </pic:pic>
                      <pic:pic xmlns:pic="http://schemas.openxmlformats.org/drawingml/2006/picture">
                        <pic:nvPicPr>
                          <pic:cNvPr id="99379573" name="Picture 99379573"/>
                          <pic:cNvPicPr>
                            <a:picLocks noChangeAspect="1"/>
                          </pic:cNvPicPr>
                        </pic:nvPicPr>
                        <pic:blipFill>
                          <a:blip r:embed="rId50"/>
                          <a:stretch>
                            <a:fillRect/>
                          </a:stretch>
                        </pic:blipFill>
                        <pic:spPr>
                          <a:xfrm>
                            <a:off x="724804" y="3940575"/>
                            <a:ext cx="4420373" cy="1855842"/>
                          </a:xfrm>
                          <a:prstGeom prst="rect">
                            <a:avLst/>
                          </a:prstGeom>
                        </pic:spPr>
                      </pic:pic>
                    </wpc:wpc>
                  </a:graphicData>
                </a:graphic>
              </wp:inline>
            </w:drawing>
          </mc:Choice>
          <mc:Fallback>
            <w:pict>
              <v:group w14:anchorId="74420BB0" id="Canvas 1" o:spid="_x0000_s1026" editas="canvas" alt="Dose-response meta-analysis showing changes in systolic blood pressure (SBP) according to achieved sodium excretion. Results shown are for: (a) all studies and by type of intervention (supplementation or diet); (b) studies by baseline hypertension status of included participants (no hypertension vs hypertension); (c) studies by trial duration (4 to &lt;12 weeks vs ≥12 weeks). The average curve (solid line) with 95% confidence limits (dashed lines) was estimated with a 1-stage random-effects restricted cubic spline model, using 2 g/d as referent. " style="width:474.65pt;height:456.4pt;mso-position-horizontal-relative:char;mso-position-vertical-relative:line" coordsize="60274,57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Dose-response meta-analysis showing changes in systolic blood pressure (SBP) according to achieved sodium excretion. Results shown are for: (a) all studies and by type of intervention (supplementation or diet); (b) studies by baseline hypertension status of included participants (no hypertension vs hypertension); (c) studies by trial duration (4 to &lt;12 weeks vs ≥12 weeks). The average curve (solid line) with 95% confidence limits (dashed lines) was estimated with a 1-stage random-effects restricted cubic spline model, using 2 g/d as referent. " style="position:absolute;width:60274;height:57956;visibility:visible;mso-wrap-style:square" filled="t">
                  <v:fill o:detectmouseclick="t"/>
                  <v:path o:connecttype="none"/>
                </v:shape>
                <v:shape id="Picture 365572958" o:spid="_x0000_s1028" type="#_x0000_t75" alt="Dose-response meta-analysis showing changes in systolic blood pressure (SBP) according to achieved sodium excretion. Results shown are for: (a) all studies and by type of intervention (supplementation or diet); (b) studies by baseline hypertension status of included participants (no hypertension vs hypertension); (c) studies by trial duration (4 to &lt;12 weeks vs ≥12 weeks). The average curve (solid line) with 95% confidence limits (dashed lines) was estimated with a 1-stage random-effects restricted cubic spline model, using 2 g/d as referent. &#10;" style="position:absolute;left:805;top:338;width:59351;height:18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">
                  <v:imagedata r:id="rId51" o:title="d as referent" croptop="1261f" cropbottom="31489f" cropleft="872f" cropright="1169f"/>
                </v:shape>
                <v:shape id="Picture 62754465" o:spid="_x0000_s1029" type="#_x0000_t75" style="position:absolute;left:7033;top:20605;width:44418;height:18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">
                  <v:imagedata r:id="rId52" o:title=""/>
                </v:shape>
                <v:shape id="Picture 99379573" o:spid="_x0000_s1030" type="#_x0000_t75" style="position:absolute;left:7248;top:39405;width:44203;height:18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">
                  <v:imagedata r:id="rId53" o:title=""/>
                </v:shape>
                <w10:anchorlock/>
              </v:group>
            </w:pict>
          </mc:Fallback>
        </mc:AlternateContent>
      </w:r>
    </w:p>
    <w:p w14:paraId="5F5D73B6" w14:textId="186BF8A6" w:rsidR="00A164F8" w:rsidRPr="00813D57" w:rsidRDefault="00A164F8" w:rsidP="00A164F8">
      <w:pPr>
        <w:pStyle w:val="Caption"/>
        <w:spacing w:after="0"/>
        <w:rPr>
          <w:noProof/>
        </w:rPr>
      </w:pPr>
      <w:bookmarkStart w:id="64" w:name="_Ref225759731"/>
      <w:r>
        <w:t xml:space="preserve">Figure </w:t>
      </w:r>
      <w:r>
        <w:fldChar w:fldCharType="begin"/>
      </w:r>
      <w:r>
        <w:instrText>SEQ Figure \* ARABIC</w:instrText>
      </w:r>
      <w:r>
        <w:fldChar w:fldCharType="separate"/>
      </w:r>
      <w:r w:rsidR="00074E84">
        <w:rPr>
          <w:noProof/>
        </w:rPr>
        <w:t>1</w:t>
      </w:r>
      <w:r>
        <w:fldChar w:fldCharType="end"/>
      </w:r>
      <w:bookmarkEnd w:id="64"/>
      <w:r>
        <w:t xml:space="preserve"> - Dose-response meta-analysis </w:t>
      </w:r>
      <w:r>
        <w:rPr>
          <w:noProof/>
        </w:rPr>
        <w:t xml:space="preserve">showing changes in </w:t>
      </w:r>
      <w:r w:rsidR="006A7E5D" w:rsidRPr="006A7E5D">
        <w:rPr>
          <w:noProof/>
        </w:rPr>
        <w:t>systolic blood pressure</w:t>
      </w:r>
      <w:r w:rsidR="006A7E5D">
        <w:rPr>
          <w:noProof/>
        </w:rPr>
        <w:t xml:space="preserve"> (</w:t>
      </w:r>
      <w:r>
        <w:rPr>
          <w:noProof/>
        </w:rPr>
        <w:t>SBP</w:t>
      </w:r>
      <w:r w:rsidR="006A7E5D">
        <w:rPr>
          <w:noProof/>
        </w:rPr>
        <w:t>)</w:t>
      </w:r>
      <w:r>
        <w:rPr>
          <w:noProof/>
        </w:rPr>
        <w:t xml:space="preserve"> according to achieved sodium excretion. Results shown are for: (a) all studies and by type of intervention (supplementation or diet); (b) studies by baseline hypertension status of included participants (no hypertension vs hypertension); (c) studies by trial duration (4 to &lt;12 weeks vs ≥12 weeks). </w:t>
      </w:r>
      <w:r w:rsidR="006A7E5D" w:rsidRPr="006A7E5D">
        <w:rPr>
          <w:noProof/>
        </w:rPr>
        <w:t xml:space="preserve">The average curve (solid line) with 95% confidence limits (dashed lines) was estimated with a 1-stage random-effects restricted cubic spline model, using 2 g/d as referent. </w:t>
      </w:r>
      <w:r>
        <w:rPr>
          <w:noProof/>
        </w:rPr>
        <w:t>Source: Fillippini et al (2021), Figures 2 – 4.</w:t>
      </w:r>
      <w:r w:rsidR="006A7E5D">
        <w:rPr>
          <w:noProof/>
        </w:rPr>
        <w:t xml:space="preserve"> </w:t>
      </w:r>
    </w:p>
    <w:p w14:paraId="51E3E254" w14:textId="36B77BD8" w:rsidR="0018154D" w:rsidRDefault="0018154D" w:rsidP="005D41BE">
      <w:pPr>
        <w:pStyle w:val="Heading5"/>
        <w:spacing w:before="240"/>
      </w:pPr>
      <w:r>
        <w:t xml:space="preserve">Summary of evidence </w:t>
      </w:r>
    </w:p>
    <w:p w14:paraId="4970B70F" w14:textId="34AEE7FC" w:rsidR="00F41EEA" w:rsidRDefault="00A164F8" w:rsidP="005D41BE">
      <w:pPr>
        <w:spacing w:line="276" w:lineRule="auto"/>
      </w:pPr>
      <w:r w:rsidRPr="002875EC">
        <w:t xml:space="preserve">Overall, systematic reviews published since the EFSA (2019) and AHRQ (2018) reviews suggest that the </w:t>
      </w:r>
      <w:r w:rsidR="000955EC">
        <w:t xml:space="preserve">findings of these reviews remain a current reflection of the </w:t>
      </w:r>
      <w:r w:rsidRPr="002875EC">
        <w:t xml:space="preserve">evidence base. </w:t>
      </w:r>
      <w:r w:rsidR="00A26DA8">
        <w:t xml:space="preserve">There is </w:t>
      </w:r>
      <w:r w:rsidRPr="002875EC">
        <w:t xml:space="preserve">a consistent relationship between modest reductions in dietary sodium and reduced blood pressure over the long-term. There remains insufficient evidence to </w:t>
      </w:r>
      <w:r w:rsidRPr="0050692F">
        <w:t xml:space="preserve">characterise a level of sodium intake at which there is not a corresponding increase in blood pressure. Consequently, the sodium NRV for chronic disease risk reduction should be established based on pragmatic factors, including consideration of the evidence for the relative benefits and harms, alongside factors relevant to the Australian and New Zealand context. </w:t>
      </w:r>
    </w:p>
    <w:p w14:paraId="45A00C28" w14:textId="77777777" w:rsidR="00AD1315" w:rsidRDefault="00F41EEA" w:rsidP="005D41BE">
      <w:pPr>
        <w:spacing w:line="276" w:lineRule="auto"/>
      </w:pPr>
      <w:r>
        <w:t xml:space="preserve">The AHRQ (2018) review presented Summary of Findings tables for SBP in adults. Although several more recent systematic reviews were identified in supplementary searches, none of </w:t>
      </w:r>
      <w:r>
        <w:lastRenderedPageBreak/>
        <w:t xml:space="preserve">those reviews comprehensively evaluated the strength of evidence. Findings across systematic reviews are largely consistent, with variable findings explained by differing review criteria; notably, the inclusion of studies with short duration or with varying methods for measuring sodium intake. The AHRQ review applied a minimum 4 week intervention period for studies evaluating the effect of sodium on blood pressure, consistent with the Sodium Expert Working Group a priori criteria. Consequently, the </w:t>
      </w:r>
      <w:r w:rsidR="005F31D4">
        <w:t>AHRQ Summary of Findings table was considered</w:t>
      </w:r>
      <w:r w:rsidR="00AD1315">
        <w:t xml:space="preserve"> to remain an accurate summary of the current body of evidence. </w:t>
      </w:r>
    </w:p>
    <w:tbl>
      <w:tblPr>
        <w:tblStyle w:val="TableGrid"/>
        <w:tblW w:w="9776" w:type="dxa"/>
        <w:tblInd w:w="-382" w:type="dxa"/>
        <w:tblLook w:val="04A0" w:firstRow="1" w:lastRow="0" w:firstColumn="1" w:lastColumn="0" w:noHBand="0" w:noVBand="1"/>
      </w:tblPr>
      <w:tblGrid>
        <w:gridCol w:w="421"/>
        <w:gridCol w:w="9355"/>
      </w:tblGrid>
      <w:tr w:rsidR="00AD1315" w14:paraId="42510089" w14:textId="77777777" w:rsidTr="006A4BC9">
        <w:tc>
          <w:tcPr>
            <w:tcW w:w="9776" w:type="dxa"/>
            <w:gridSpan w:val="2"/>
            <w:tcBorders>
              <w:bottom w:val="single" w:sz="4" w:space="0" w:color="auto"/>
            </w:tcBorders>
            <w:shd w:val="clear" w:color="auto" w:fill="156082" w:themeFill="accent1"/>
          </w:tcPr>
          <w:p w14:paraId="02E26533" w14:textId="36150C2B" w:rsidR="00AD1315" w:rsidRPr="003807B2" w:rsidRDefault="00AD1315">
            <w:pPr>
              <w:rPr>
                <w:b/>
                <w:bCs/>
                <w:color w:val="FFFFFF" w:themeColor="background1"/>
              </w:rPr>
            </w:pPr>
            <w:r w:rsidRPr="003807B2">
              <w:rPr>
                <w:b/>
                <w:bCs/>
                <w:color w:val="FFFFFF" w:themeColor="background1"/>
              </w:rPr>
              <w:t>Summary of Findings: Effect of sodium reduction on systolic blood pressure in adults</w:t>
            </w:r>
            <w:r w:rsidR="00651415">
              <w:rPr>
                <w:b/>
                <w:bCs/>
                <w:color w:val="FFFFFF" w:themeColor="background1"/>
              </w:rPr>
              <w:t xml:space="preserve"> </w:t>
            </w:r>
            <w:r w:rsidR="00651415" w:rsidRPr="00651415">
              <w:rPr>
                <w:b/>
                <w:bCs/>
                <w:color w:val="FFFFFF" w:themeColor="background1"/>
              </w:rPr>
              <w:t>(Newberry et al., 2018)</w:t>
            </w:r>
          </w:p>
        </w:tc>
      </w:tr>
      <w:tr w:rsidR="00AD1315" w14:paraId="77614200" w14:textId="77777777" w:rsidTr="006A4BC9">
        <w:tc>
          <w:tcPr>
            <w:tcW w:w="421" w:type="dxa"/>
            <w:tcBorders>
              <w:right w:val="nil"/>
            </w:tcBorders>
          </w:tcPr>
          <w:p w14:paraId="388E6BA7" w14:textId="77777777" w:rsidR="00AD1315" w:rsidRDefault="00AD1315"/>
        </w:tc>
        <w:tc>
          <w:tcPr>
            <w:tcW w:w="9355" w:type="dxa"/>
            <w:tcBorders>
              <w:left w:val="nil"/>
            </w:tcBorders>
          </w:tcPr>
          <w:p w14:paraId="4AC4B504" w14:textId="77777777" w:rsidR="00AD1315" w:rsidRPr="00013066" w:rsidRDefault="00AD1315">
            <w:pPr>
              <w:rPr>
                <w:sz w:val="20"/>
                <w:szCs w:val="20"/>
              </w:rPr>
            </w:pPr>
            <w:r w:rsidRPr="00013066">
              <w:rPr>
                <w:b/>
                <w:bCs/>
                <w:sz w:val="20"/>
                <w:szCs w:val="20"/>
              </w:rPr>
              <w:t>Population:</w:t>
            </w:r>
            <w:r w:rsidRPr="00013066">
              <w:rPr>
                <w:sz w:val="20"/>
                <w:szCs w:val="20"/>
              </w:rPr>
              <w:t xml:space="preserve"> Free-living adults (including hypertensive and normotensive populations). Studies</w:t>
            </w:r>
            <w:r>
              <w:rPr>
                <w:sz w:val="20"/>
                <w:szCs w:val="20"/>
              </w:rPr>
              <w:t xml:space="preserve"> in outpatient settings were eligible;</w:t>
            </w:r>
            <w:r w:rsidRPr="00013066">
              <w:rPr>
                <w:sz w:val="20"/>
                <w:szCs w:val="20"/>
              </w:rPr>
              <w:t xml:space="preserve"> </w:t>
            </w:r>
            <w:r>
              <w:rPr>
                <w:sz w:val="20"/>
                <w:szCs w:val="20"/>
              </w:rPr>
              <w:t xml:space="preserve">samples </w:t>
            </w:r>
            <w:r w:rsidRPr="00013066">
              <w:rPr>
                <w:sz w:val="20"/>
                <w:szCs w:val="20"/>
              </w:rPr>
              <w:t xml:space="preserve">exclusively </w:t>
            </w:r>
            <w:r>
              <w:rPr>
                <w:sz w:val="20"/>
                <w:szCs w:val="20"/>
              </w:rPr>
              <w:t xml:space="preserve">comprised of </w:t>
            </w:r>
            <w:r w:rsidRPr="00013066">
              <w:rPr>
                <w:sz w:val="20"/>
                <w:szCs w:val="20"/>
              </w:rPr>
              <w:t xml:space="preserve">participants with </w:t>
            </w:r>
            <w:r>
              <w:rPr>
                <w:sz w:val="20"/>
                <w:szCs w:val="20"/>
              </w:rPr>
              <w:t xml:space="preserve">select </w:t>
            </w:r>
            <w:r w:rsidRPr="00013066">
              <w:rPr>
                <w:sz w:val="20"/>
                <w:szCs w:val="20"/>
              </w:rPr>
              <w:t>clinical conditions were excluded.</w:t>
            </w:r>
          </w:p>
        </w:tc>
      </w:tr>
      <w:tr w:rsidR="00AD1315" w14:paraId="154F0E0B" w14:textId="77777777" w:rsidTr="006A4BC9">
        <w:tc>
          <w:tcPr>
            <w:tcW w:w="421" w:type="dxa"/>
            <w:tcBorders>
              <w:right w:val="nil"/>
            </w:tcBorders>
          </w:tcPr>
          <w:p w14:paraId="692DFB40" w14:textId="77777777" w:rsidR="00AD1315" w:rsidRDefault="00AD1315"/>
        </w:tc>
        <w:tc>
          <w:tcPr>
            <w:tcW w:w="9355" w:type="dxa"/>
            <w:tcBorders>
              <w:left w:val="nil"/>
            </w:tcBorders>
          </w:tcPr>
          <w:p w14:paraId="240CACD4" w14:textId="77777777" w:rsidR="00AD1315" w:rsidRPr="00013066" w:rsidRDefault="00AD1315">
            <w:pPr>
              <w:rPr>
                <w:sz w:val="20"/>
                <w:szCs w:val="20"/>
              </w:rPr>
            </w:pPr>
            <w:r w:rsidRPr="00013066">
              <w:rPr>
                <w:b/>
                <w:bCs/>
                <w:sz w:val="20"/>
                <w:szCs w:val="20"/>
              </w:rPr>
              <w:t>Study designs:</w:t>
            </w:r>
            <w:r w:rsidRPr="00013066">
              <w:rPr>
                <w:sz w:val="20"/>
                <w:szCs w:val="20"/>
              </w:rPr>
              <w:t xml:space="preserve"> Randomised controlled trials evaluating reduced sodium intake (via oral consumption of food or supplements of quantified amounts of sodium). The minimum intervention duration was 4 weeks.</w:t>
            </w:r>
            <w:r>
              <w:rPr>
                <w:sz w:val="20"/>
                <w:szCs w:val="20"/>
              </w:rPr>
              <w:t xml:space="preserve"> For cross-over RCTs, a minimum washout period of 2 weeks was applied.</w:t>
            </w:r>
          </w:p>
        </w:tc>
      </w:tr>
      <w:tr w:rsidR="00AD1315" w14:paraId="403B4734" w14:textId="77777777" w:rsidTr="006A4BC9">
        <w:tc>
          <w:tcPr>
            <w:tcW w:w="421" w:type="dxa"/>
            <w:tcBorders>
              <w:right w:val="nil"/>
            </w:tcBorders>
          </w:tcPr>
          <w:p w14:paraId="14DA8B59" w14:textId="77777777" w:rsidR="00AD1315" w:rsidRDefault="00AD1315"/>
        </w:tc>
        <w:tc>
          <w:tcPr>
            <w:tcW w:w="9355" w:type="dxa"/>
            <w:tcBorders>
              <w:left w:val="nil"/>
            </w:tcBorders>
          </w:tcPr>
          <w:p w14:paraId="1F209686" w14:textId="77777777" w:rsidR="00AD1315" w:rsidRPr="00013066" w:rsidRDefault="00AD1315">
            <w:pPr>
              <w:rPr>
                <w:sz w:val="20"/>
                <w:szCs w:val="20"/>
              </w:rPr>
            </w:pPr>
            <w:r w:rsidRPr="00013066">
              <w:rPr>
                <w:b/>
                <w:bCs/>
                <w:sz w:val="20"/>
                <w:szCs w:val="20"/>
              </w:rPr>
              <w:t>Intervention:</w:t>
            </w:r>
            <w:r w:rsidRPr="00013066">
              <w:rPr>
                <w:sz w:val="20"/>
                <w:szCs w:val="20"/>
              </w:rPr>
              <w:t xml:space="preserve"> Lower sodium diet</w:t>
            </w:r>
          </w:p>
        </w:tc>
      </w:tr>
      <w:tr w:rsidR="00AD1315" w14:paraId="47493D38" w14:textId="77777777" w:rsidTr="006A4BC9">
        <w:tc>
          <w:tcPr>
            <w:tcW w:w="421" w:type="dxa"/>
            <w:tcBorders>
              <w:right w:val="nil"/>
            </w:tcBorders>
          </w:tcPr>
          <w:p w14:paraId="3D277C65" w14:textId="77777777" w:rsidR="00AD1315" w:rsidRDefault="00AD1315"/>
        </w:tc>
        <w:tc>
          <w:tcPr>
            <w:tcW w:w="9355" w:type="dxa"/>
            <w:tcBorders>
              <w:left w:val="nil"/>
            </w:tcBorders>
          </w:tcPr>
          <w:p w14:paraId="2EDBF4C0" w14:textId="77777777" w:rsidR="00AD1315" w:rsidRPr="00013066" w:rsidRDefault="00AD1315">
            <w:pPr>
              <w:rPr>
                <w:sz w:val="20"/>
                <w:szCs w:val="20"/>
              </w:rPr>
            </w:pPr>
            <w:r w:rsidRPr="00013066">
              <w:rPr>
                <w:b/>
                <w:bCs/>
                <w:sz w:val="20"/>
                <w:szCs w:val="20"/>
              </w:rPr>
              <w:t>Comparison:</w:t>
            </w:r>
            <w:r w:rsidRPr="00013066">
              <w:rPr>
                <w:sz w:val="20"/>
                <w:szCs w:val="20"/>
              </w:rPr>
              <w:t xml:space="preserve"> Higher sodium diet</w:t>
            </w:r>
          </w:p>
        </w:tc>
      </w:tr>
    </w:tbl>
    <w:p w14:paraId="092A08FB" w14:textId="77777777" w:rsidR="00D67399" w:rsidRPr="00D67399" w:rsidRDefault="00D67399" w:rsidP="00D67399">
      <w:pPr>
        <w:spacing w:after="0"/>
        <w:rPr>
          <w:sz w:val="4"/>
          <w:szCs w:val="4"/>
        </w:rPr>
      </w:pPr>
    </w:p>
    <w:tbl>
      <w:tblPr>
        <w:tblStyle w:val="TableGrid"/>
        <w:tblW w:w="9776" w:type="dxa"/>
        <w:tblInd w:w="-382" w:type="dxa"/>
        <w:tblLook w:val="04A0" w:firstRow="1" w:lastRow="0" w:firstColumn="1" w:lastColumn="0" w:noHBand="0" w:noVBand="1"/>
      </w:tblPr>
      <w:tblGrid>
        <w:gridCol w:w="421"/>
        <w:gridCol w:w="2307"/>
        <w:gridCol w:w="1654"/>
        <w:gridCol w:w="1528"/>
        <w:gridCol w:w="1529"/>
        <w:gridCol w:w="2337"/>
      </w:tblGrid>
      <w:tr w:rsidR="00AD1315" w14:paraId="01978402" w14:textId="77777777" w:rsidTr="006A4BC9">
        <w:tc>
          <w:tcPr>
            <w:tcW w:w="421" w:type="dxa"/>
            <w:tcBorders>
              <w:right w:val="nil"/>
            </w:tcBorders>
            <w:shd w:val="clear" w:color="auto" w:fill="156082" w:themeFill="accent1"/>
          </w:tcPr>
          <w:p w14:paraId="5FBE7485" w14:textId="77777777" w:rsidR="00AD1315" w:rsidRDefault="00AD1315"/>
        </w:tc>
        <w:tc>
          <w:tcPr>
            <w:tcW w:w="2307" w:type="dxa"/>
            <w:tcBorders>
              <w:left w:val="nil"/>
            </w:tcBorders>
            <w:shd w:val="clear" w:color="auto" w:fill="156082" w:themeFill="accent1"/>
          </w:tcPr>
          <w:p w14:paraId="2888F0BA" w14:textId="77777777" w:rsidR="00AD1315" w:rsidRPr="003807B2" w:rsidRDefault="00AD1315">
            <w:pPr>
              <w:rPr>
                <w:b/>
                <w:bCs/>
                <w:color w:val="FFFFFF" w:themeColor="background1"/>
                <w:sz w:val="20"/>
                <w:szCs w:val="20"/>
              </w:rPr>
            </w:pPr>
            <w:r w:rsidRPr="003807B2">
              <w:rPr>
                <w:b/>
                <w:bCs/>
                <w:color w:val="FFFFFF" w:themeColor="background1"/>
                <w:sz w:val="20"/>
                <w:szCs w:val="20"/>
              </w:rPr>
              <w:t>Outcomes</w:t>
            </w:r>
          </w:p>
        </w:tc>
        <w:tc>
          <w:tcPr>
            <w:tcW w:w="1654" w:type="dxa"/>
            <w:shd w:val="clear" w:color="auto" w:fill="156082" w:themeFill="accent1"/>
          </w:tcPr>
          <w:p w14:paraId="2887E451" w14:textId="77777777" w:rsidR="00AD1315" w:rsidRPr="003807B2" w:rsidRDefault="00AD1315">
            <w:pPr>
              <w:rPr>
                <w:b/>
                <w:bCs/>
                <w:color w:val="FFFFFF" w:themeColor="background1"/>
                <w:sz w:val="20"/>
                <w:szCs w:val="20"/>
              </w:rPr>
            </w:pPr>
            <w:r w:rsidRPr="003807B2">
              <w:rPr>
                <w:b/>
                <w:bCs/>
                <w:color w:val="FFFFFF" w:themeColor="background1"/>
                <w:sz w:val="20"/>
                <w:szCs w:val="20"/>
              </w:rPr>
              <w:t xml:space="preserve">SBP </w:t>
            </w:r>
          </w:p>
          <w:p w14:paraId="004EBB9D" w14:textId="77777777" w:rsidR="00AD1315" w:rsidRPr="003807B2" w:rsidRDefault="00AD1315">
            <w:pPr>
              <w:rPr>
                <w:b/>
                <w:bCs/>
                <w:color w:val="FFFFFF" w:themeColor="background1"/>
                <w:sz w:val="20"/>
                <w:szCs w:val="20"/>
              </w:rPr>
            </w:pPr>
            <w:r w:rsidRPr="003807B2">
              <w:rPr>
                <w:b/>
                <w:bCs/>
                <w:color w:val="FFFFFF" w:themeColor="background1"/>
                <w:sz w:val="20"/>
                <w:szCs w:val="20"/>
              </w:rPr>
              <w:t>(mm Hg)</w:t>
            </w:r>
          </w:p>
        </w:tc>
        <w:tc>
          <w:tcPr>
            <w:tcW w:w="1528" w:type="dxa"/>
            <w:shd w:val="clear" w:color="auto" w:fill="156082" w:themeFill="accent1"/>
          </w:tcPr>
          <w:p w14:paraId="678034C0" w14:textId="77777777" w:rsidR="00AD1315" w:rsidRPr="003807B2" w:rsidRDefault="00AD1315">
            <w:pPr>
              <w:rPr>
                <w:b/>
                <w:bCs/>
                <w:color w:val="FFFFFF" w:themeColor="background1"/>
                <w:sz w:val="20"/>
                <w:szCs w:val="20"/>
              </w:rPr>
            </w:pPr>
            <w:r w:rsidRPr="003807B2">
              <w:rPr>
                <w:b/>
                <w:bCs/>
                <w:color w:val="FFFFFF" w:themeColor="background1"/>
                <w:sz w:val="20"/>
                <w:szCs w:val="20"/>
              </w:rPr>
              <w:t xml:space="preserve">Number of studies </w:t>
            </w:r>
          </w:p>
          <w:p w14:paraId="3C7484DD" w14:textId="77777777" w:rsidR="00AD1315" w:rsidRPr="003807B2" w:rsidRDefault="00AD1315">
            <w:pPr>
              <w:rPr>
                <w:b/>
                <w:bCs/>
                <w:color w:val="FFFFFF" w:themeColor="background1"/>
                <w:sz w:val="20"/>
                <w:szCs w:val="20"/>
              </w:rPr>
            </w:pPr>
            <w:r w:rsidRPr="003807B2">
              <w:rPr>
                <w:b/>
                <w:bCs/>
                <w:color w:val="FFFFFF" w:themeColor="background1"/>
                <w:sz w:val="20"/>
                <w:szCs w:val="20"/>
              </w:rPr>
              <w:t>(No. participants)</w:t>
            </w:r>
          </w:p>
        </w:tc>
        <w:tc>
          <w:tcPr>
            <w:tcW w:w="1529" w:type="dxa"/>
            <w:shd w:val="clear" w:color="auto" w:fill="156082" w:themeFill="accent1"/>
          </w:tcPr>
          <w:p w14:paraId="5D19F5B7" w14:textId="77777777" w:rsidR="00AD1315" w:rsidRPr="003807B2" w:rsidRDefault="00AD1315">
            <w:pPr>
              <w:rPr>
                <w:b/>
                <w:bCs/>
                <w:color w:val="FFFFFF" w:themeColor="background1"/>
                <w:sz w:val="20"/>
                <w:szCs w:val="20"/>
              </w:rPr>
            </w:pPr>
            <w:r w:rsidRPr="003807B2">
              <w:rPr>
                <w:b/>
                <w:bCs/>
                <w:color w:val="FFFFFF" w:themeColor="background1"/>
                <w:sz w:val="20"/>
                <w:szCs w:val="20"/>
              </w:rPr>
              <w:t>Strength of evidence (AHRQ approach)</w:t>
            </w:r>
          </w:p>
        </w:tc>
        <w:tc>
          <w:tcPr>
            <w:tcW w:w="2337" w:type="dxa"/>
            <w:shd w:val="clear" w:color="auto" w:fill="156082" w:themeFill="accent1"/>
          </w:tcPr>
          <w:p w14:paraId="47F448BE" w14:textId="77777777" w:rsidR="00AD1315" w:rsidRPr="003807B2" w:rsidRDefault="00AD1315">
            <w:pPr>
              <w:rPr>
                <w:b/>
                <w:bCs/>
                <w:color w:val="FFFFFF" w:themeColor="background1"/>
                <w:sz w:val="20"/>
                <w:szCs w:val="20"/>
              </w:rPr>
            </w:pPr>
            <w:r w:rsidRPr="003807B2">
              <w:rPr>
                <w:b/>
                <w:bCs/>
                <w:color w:val="FFFFFF" w:themeColor="background1"/>
                <w:sz w:val="20"/>
                <w:szCs w:val="20"/>
              </w:rPr>
              <w:t>Evidence statement</w:t>
            </w:r>
          </w:p>
        </w:tc>
      </w:tr>
      <w:tr w:rsidR="00AD1315" w14:paraId="40B58EB9" w14:textId="77777777" w:rsidTr="006A4BC9">
        <w:tc>
          <w:tcPr>
            <w:tcW w:w="421" w:type="dxa"/>
            <w:tcBorders>
              <w:right w:val="nil"/>
            </w:tcBorders>
          </w:tcPr>
          <w:p w14:paraId="2CAFF22E" w14:textId="77777777" w:rsidR="00AD1315" w:rsidRDefault="00AD1315"/>
        </w:tc>
        <w:tc>
          <w:tcPr>
            <w:tcW w:w="2307" w:type="dxa"/>
            <w:tcBorders>
              <w:left w:val="nil"/>
            </w:tcBorders>
          </w:tcPr>
          <w:p w14:paraId="74EAA40D" w14:textId="77777777" w:rsidR="00AD1315" w:rsidRPr="003807B2" w:rsidRDefault="00AD1315">
            <w:pPr>
              <w:rPr>
                <w:sz w:val="20"/>
                <w:szCs w:val="20"/>
              </w:rPr>
            </w:pPr>
            <w:r w:rsidRPr="003807B2">
              <w:rPr>
                <w:sz w:val="20"/>
                <w:szCs w:val="20"/>
              </w:rPr>
              <w:t>SBP (all adults)</w:t>
            </w:r>
          </w:p>
        </w:tc>
        <w:tc>
          <w:tcPr>
            <w:tcW w:w="1654" w:type="dxa"/>
          </w:tcPr>
          <w:p w14:paraId="68A48E27" w14:textId="77777777" w:rsidR="00AD1315" w:rsidRPr="003807B2" w:rsidRDefault="00AD1315">
            <w:pPr>
              <w:rPr>
                <w:sz w:val="20"/>
                <w:szCs w:val="20"/>
              </w:rPr>
            </w:pPr>
            <w:r w:rsidRPr="003807B2">
              <w:rPr>
                <w:sz w:val="20"/>
                <w:szCs w:val="20"/>
              </w:rPr>
              <w:t xml:space="preserve">MD -3.2, 95% CI </w:t>
            </w:r>
            <w:r>
              <w:rPr>
                <w:sz w:val="20"/>
                <w:szCs w:val="20"/>
              </w:rPr>
              <w:t>-</w:t>
            </w:r>
            <w:r w:rsidRPr="003807B2">
              <w:rPr>
                <w:sz w:val="20"/>
                <w:szCs w:val="20"/>
              </w:rPr>
              <w:t>4.1 -2.4</w:t>
            </w:r>
          </w:p>
        </w:tc>
        <w:tc>
          <w:tcPr>
            <w:tcW w:w="1528" w:type="dxa"/>
          </w:tcPr>
          <w:p w14:paraId="0BEE6755" w14:textId="77777777" w:rsidR="00AD1315" w:rsidRPr="003807B2" w:rsidRDefault="00AD1315">
            <w:pPr>
              <w:rPr>
                <w:sz w:val="20"/>
                <w:szCs w:val="20"/>
              </w:rPr>
            </w:pPr>
            <w:r w:rsidRPr="003807B2">
              <w:rPr>
                <w:sz w:val="20"/>
                <w:szCs w:val="20"/>
              </w:rPr>
              <w:t>47 RCTs; 54 comparisons</w:t>
            </w:r>
          </w:p>
          <w:p w14:paraId="53FED057" w14:textId="77777777" w:rsidR="00AD1315" w:rsidRPr="003807B2" w:rsidRDefault="00AD1315">
            <w:pPr>
              <w:rPr>
                <w:sz w:val="20"/>
                <w:szCs w:val="20"/>
              </w:rPr>
            </w:pPr>
            <w:r w:rsidRPr="003807B2">
              <w:rPr>
                <w:sz w:val="20"/>
                <w:szCs w:val="20"/>
              </w:rPr>
              <w:t>(N= NR)</w:t>
            </w:r>
          </w:p>
        </w:tc>
        <w:tc>
          <w:tcPr>
            <w:tcW w:w="1529" w:type="dxa"/>
          </w:tcPr>
          <w:p w14:paraId="718B76BD" w14:textId="77777777" w:rsidR="00AD1315" w:rsidRPr="003807B2" w:rsidRDefault="00AD1315">
            <w:pPr>
              <w:rPr>
                <w:sz w:val="20"/>
                <w:szCs w:val="20"/>
              </w:rPr>
            </w:pPr>
            <w:proofErr w:type="spellStart"/>
            <w:r w:rsidRPr="003807B2">
              <w:rPr>
                <w:sz w:val="20"/>
                <w:szCs w:val="20"/>
              </w:rPr>
              <w:t>Moderate</w:t>
            </w:r>
            <w:r w:rsidRPr="003807B2">
              <w:rPr>
                <w:sz w:val="20"/>
                <w:szCs w:val="20"/>
                <w:vertAlign w:val="superscript"/>
              </w:rPr>
              <w:t>a</w:t>
            </w:r>
            <w:proofErr w:type="spellEnd"/>
          </w:p>
        </w:tc>
        <w:tc>
          <w:tcPr>
            <w:tcW w:w="2337" w:type="dxa"/>
          </w:tcPr>
          <w:p w14:paraId="0E572866" w14:textId="77777777" w:rsidR="00AD1315" w:rsidRPr="003807B2" w:rsidRDefault="00AD1315">
            <w:pPr>
              <w:rPr>
                <w:sz w:val="20"/>
                <w:szCs w:val="20"/>
              </w:rPr>
            </w:pPr>
            <w:r w:rsidRPr="003807B2">
              <w:rPr>
                <w:sz w:val="20"/>
                <w:szCs w:val="20"/>
              </w:rPr>
              <w:t>Moderate strength of evidence for a beneficial effect of sodium reduction on systolic BP in adults</w:t>
            </w:r>
          </w:p>
        </w:tc>
      </w:tr>
      <w:tr w:rsidR="00AD1315" w14:paraId="44A7F276" w14:textId="77777777" w:rsidTr="006A4BC9">
        <w:tc>
          <w:tcPr>
            <w:tcW w:w="421" w:type="dxa"/>
            <w:tcBorders>
              <w:right w:val="nil"/>
            </w:tcBorders>
          </w:tcPr>
          <w:p w14:paraId="1031157E" w14:textId="77777777" w:rsidR="00AD1315" w:rsidRDefault="00AD1315"/>
        </w:tc>
        <w:tc>
          <w:tcPr>
            <w:tcW w:w="2307" w:type="dxa"/>
            <w:tcBorders>
              <w:left w:val="nil"/>
            </w:tcBorders>
          </w:tcPr>
          <w:p w14:paraId="461244C9" w14:textId="77777777" w:rsidR="00AD1315" w:rsidRPr="003807B2" w:rsidRDefault="00AD1315">
            <w:pPr>
              <w:rPr>
                <w:sz w:val="20"/>
                <w:szCs w:val="20"/>
              </w:rPr>
            </w:pPr>
            <w:r w:rsidRPr="003807B2">
              <w:rPr>
                <w:sz w:val="20"/>
                <w:szCs w:val="20"/>
              </w:rPr>
              <w:t>SBP (hypertensive adults)</w:t>
            </w:r>
          </w:p>
        </w:tc>
        <w:tc>
          <w:tcPr>
            <w:tcW w:w="1654" w:type="dxa"/>
          </w:tcPr>
          <w:p w14:paraId="45E5ADD5" w14:textId="77777777" w:rsidR="00AD1315" w:rsidRPr="003807B2" w:rsidRDefault="00AD1315">
            <w:pPr>
              <w:rPr>
                <w:sz w:val="20"/>
                <w:szCs w:val="20"/>
              </w:rPr>
            </w:pPr>
            <w:r w:rsidRPr="003807B2">
              <w:rPr>
                <w:sz w:val="20"/>
                <w:szCs w:val="20"/>
              </w:rPr>
              <w:t>MD -4.4, 95% CI -5.6, -3.3</w:t>
            </w:r>
          </w:p>
        </w:tc>
        <w:tc>
          <w:tcPr>
            <w:tcW w:w="1528" w:type="dxa"/>
          </w:tcPr>
          <w:p w14:paraId="174AA3EA" w14:textId="77777777" w:rsidR="00AD1315" w:rsidRPr="003807B2" w:rsidRDefault="00AD1315">
            <w:pPr>
              <w:rPr>
                <w:sz w:val="20"/>
                <w:szCs w:val="20"/>
              </w:rPr>
            </w:pPr>
            <w:r w:rsidRPr="003807B2">
              <w:rPr>
                <w:sz w:val="20"/>
                <w:szCs w:val="20"/>
              </w:rPr>
              <w:t>36 RCTs; 38 comparisons</w:t>
            </w:r>
          </w:p>
          <w:p w14:paraId="257F1230" w14:textId="77777777" w:rsidR="00AD1315" w:rsidRPr="003807B2" w:rsidRDefault="00AD1315">
            <w:pPr>
              <w:rPr>
                <w:sz w:val="20"/>
                <w:szCs w:val="20"/>
              </w:rPr>
            </w:pPr>
            <w:r w:rsidRPr="003807B2">
              <w:rPr>
                <w:sz w:val="20"/>
                <w:szCs w:val="20"/>
              </w:rPr>
              <w:t>(N= NR)</w:t>
            </w:r>
          </w:p>
        </w:tc>
        <w:tc>
          <w:tcPr>
            <w:tcW w:w="1529" w:type="dxa"/>
          </w:tcPr>
          <w:p w14:paraId="16E98E89" w14:textId="77777777" w:rsidR="00AD1315" w:rsidRPr="003807B2" w:rsidRDefault="00AD1315">
            <w:pPr>
              <w:rPr>
                <w:sz w:val="20"/>
                <w:szCs w:val="20"/>
              </w:rPr>
            </w:pPr>
            <w:proofErr w:type="spellStart"/>
            <w:r w:rsidRPr="003807B2">
              <w:rPr>
                <w:sz w:val="20"/>
                <w:szCs w:val="20"/>
              </w:rPr>
              <w:t>Moderate</w:t>
            </w:r>
            <w:r w:rsidRPr="003807B2">
              <w:rPr>
                <w:sz w:val="20"/>
                <w:szCs w:val="20"/>
                <w:vertAlign w:val="superscript"/>
              </w:rPr>
              <w:t>b</w:t>
            </w:r>
            <w:proofErr w:type="spellEnd"/>
          </w:p>
        </w:tc>
        <w:tc>
          <w:tcPr>
            <w:tcW w:w="2337" w:type="dxa"/>
          </w:tcPr>
          <w:p w14:paraId="190DE21B" w14:textId="77777777" w:rsidR="00AD1315" w:rsidRPr="003807B2" w:rsidRDefault="00AD1315">
            <w:pPr>
              <w:rPr>
                <w:sz w:val="20"/>
                <w:szCs w:val="20"/>
              </w:rPr>
            </w:pPr>
            <w:r w:rsidRPr="003807B2">
              <w:rPr>
                <w:sz w:val="20"/>
                <w:szCs w:val="20"/>
              </w:rPr>
              <w:t xml:space="preserve">Moderate strength of evidence that sodium reduction decreases systolic BP in populations with HTN </w:t>
            </w:r>
          </w:p>
        </w:tc>
      </w:tr>
      <w:tr w:rsidR="00AD1315" w14:paraId="6545B9AE" w14:textId="77777777" w:rsidTr="006A4BC9">
        <w:tc>
          <w:tcPr>
            <w:tcW w:w="421" w:type="dxa"/>
            <w:tcBorders>
              <w:right w:val="nil"/>
            </w:tcBorders>
          </w:tcPr>
          <w:p w14:paraId="7A0D6BBC" w14:textId="77777777" w:rsidR="00AD1315" w:rsidRDefault="00AD1315"/>
        </w:tc>
        <w:tc>
          <w:tcPr>
            <w:tcW w:w="2307" w:type="dxa"/>
            <w:tcBorders>
              <w:left w:val="nil"/>
            </w:tcBorders>
          </w:tcPr>
          <w:p w14:paraId="6FEB0773" w14:textId="77777777" w:rsidR="00AD1315" w:rsidRPr="003807B2" w:rsidRDefault="00AD1315">
            <w:pPr>
              <w:rPr>
                <w:sz w:val="20"/>
                <w:szCs w:val="20"/>
              </w:rPr>
            </w:pPr>
            <w:r w:rsidRPr="003807B2">
              <w:rPr>
                <w:sz w:val="20"/>
                <w:szCs w:val="20"/>
              </w:rPr>
              <w:t>SBP (normotensive adults)</w:t>
            </w:r>
          </w:p>
        </w:tc>
        <w:tc>
          <w:tcPr>
            <w:tcW w:w="1654" w:type="dxa"/>
          </w:tcPr>
          <w:p w14:paraId="2689C63B" w14:textId="77777777" w:rsidR="00AD1315" w:rsidRPr="003807B2" w:rsidRDefault="00AD1315">
            <w:pPr>
              <w:rPr>
                <w:sz w:val="20"/>
                <w:szCs w:val="20"/>
              </w:rPr>
            </w:pPr>
            <w:r w:rsidRPr="003807B2">
              <w:rPr>
                <w:sz w:val="20"/>
                <w:szCs w:val="20"/>
              </w:rPr>
              <w:t>MD -1.5, 95% CI -2.8, -0.3</w:t>
            </w:r>
          </w:p>
        </w:tc>
        <w:tc>
          <w:tcPr>
            <w:tcW w:w="1528" w:type="dxa"/>
          </w:tcPr>
          <w:p w14:paraId="0E869E3A" w14:textId="77777777" w:rsidR="00AD1315" w:rsidRPr="003807B2" w:rsidRDefault="00AD1315">
            <w:pPr>
              <w:rPr>
                <w:sz w:val="20"/>
                <w:szCs w:val="20"/>
              </w:rPr>
            </w:pPr>
            <w:r w:rsidRPr="003807B2">
              <w:rPr>
                <w:sz w:val="20"/>
                <w:szCs w:val="20"/>
              </w:rPr>
              <w:t>9 RCTs; 14 comparisons</w:t>
            </w:r>
          </w:p>
          <w:p w14:paraId="5D70D3E9" w14:textId="77777777" w:rsidR="00AD1315" w:rsidRPr="003807B2" w:rsidRDefault="00AD1315">
            <w:pPr>
              <w:rPr>
                <w:sz w:val="20"/>
                <w:szCs w:val="20"/>
              </w:rPr>
            </w:pPr>
            <w:r w:rsidRPr="003807B2">
              <w:rPr>
                <w:sz w:val="20"/>
                <w:szCs w:val="20"/>
              </w:rPr>
              <w:t>(N= NR)</w:t>
            </w:r>
          </w:p>
        </w:tc>
        <w:tc>
          <w:tcPr>
            <w:tcW w:w="1529" w:type="dxa"/>
          </w:tcPr>
          <w:p w14:paraId="4C7E7E5D" w14:textId="77777777" w:rsidR="00AD1315" w:rsidRPr="003807B2" w:rsidRDefault="00AD1315">
            <w:pPr>
              <w:rPr>
                <w:sz w:val="20"/>
                <w:szCs w:val="20"/>
              </w:rPr>
            </w:pPr>
            <w:proofErr w:type="spellStart"/>
            <w:r w:rsidRPr="003807B2">
              <w:rPr>
                <w:sz w:val="20"/>
                <w:szCs w:val="20"/>
              </w:rPr>
              <w:t>Moderate</w:t>
            </w:r>
            <w:r w:rsidRPr="003807B2">
              <w:rPr>
                <w:sz w:val="20"/>
                <w:szCs w:val="20"/>
                <w:vertAlign w:val="superscript"/>
              </w:rPr>
              <w:t>c</w:t>
            </w:r>
            <w:proofErr w:type="spellEnd"/>
          </w:p>
        </w:tc>
        <w:tc>
          <w:tcPr>
            <w:tcW w:w="2337" w:type="dxa"/>
          </w:tcPr>
          <w:p w14:paraId="2BC2A521" w14:textId="77777777" w:rsidR="00AD1315" w:rsidRPr="003807B2" w:rsidRDefault="00AD1315">
            <w:pPr>
              <w:rPr>
                <w:sz w:val="20"/>
                <w:szCs w:val="20"/>
              </w:rPr>
            </w:pPr>
            <w:r w:rsidRPr="003807B2">
              <w:rPr>
                <w:sz w:val="20"/>
                <w:szCs w:val="20"/>
              </w:rPr>
              <w:t>Moderate SoE that sodium reduction decreases systolic BP in adults with normal BP</w:t>
            </w:r>
          </w:p>
        </w:tc>
      </w:tr>
    </w:tbl>
    <w:p w14:paraId="64C3D434" w14:textId="77777777" w:rsidR="00D67399" w:rsidRPr="00D67399" w:rsidRDefault="00D67399" w:rsidP="00D67399">
      <w:pPr>
        <w:spacing w:after="0"/>
        <w:rPr>
          <w:sz w:val="4"/>
          <w:szCs w:val="4"/>
        </w:rPr>
      </w:pPr>
    </w:p>
    <w:tbl>
      <w:tblPr>
        <w:tblStyle w:val="TableGrid"/>
        <w:tblW w:w="9776" w:type="dxa"/>
        <w:tblInd w:w="-382" w:type="dxa"/>
        <w:tblLook w:val="04A0" w:firstRow="1" w:lastRow="0" w:firstColumn="1" w:lastColumn="0" w:noHBand="0" w:noVBand="1"/>
      </w:tblPr>
      <w:tblGrid>
        <w:gridCol w:w="9776"/>
      </w:tblGrid>
      <w:tr w:rsidR="00AD1315" w14:paraId="11CB3277" w14:textId="77777777" w:rsidTr="006A4BC9">
        <w:tc>
          <w:tcPr>
            <w:tcW w:w="9776" w:type="dxa"/>
            <w:shd w:val="clear" w:color="auto" w:fill="C1E4F5" w:themeFill="accent1" w:themeFillTint="33"/>
          </w:tcPr>
          <w:p w14:paraId="3EF1281F" w14:textId="77777777" w:rsidR="00AD1315" w:rsidRPr="00C9584E" w:rsidRDefault="00AD1315">
            <w:pPr>
              <w:rPr>
                <w:sz w:val="20"/>
                <w:szCs w:val="20"/>
              </w:rPr>
            </w:pPr>
            <w:r w:rsidRPr="00C9584E">
              <w:rPr>
                <w:sz w:val="20"/>
                <w:szCs w:val="20"/>
              </w:rPr>
              <w:t xml:space="preserve">* </w:t>
            </w:r>
            <w:r>
              <w:rPr>
                <w:b/>
                <w:bCs/>
                <w:sz w:val="20"/>
                <w:szCs w:val="20"/>
                <w:u w:val="single"/>
              </w:rPr>
              <w:t>Strength of evidence levels (AHRQ)</w:t>
            </w:r>
          </w:p>
          <w:p w14:paraId="449CF3EB" w14:textId="77777777" w:rsidR="00AD1315" w:rsidRPr="008A5D8D" w:rsidRDefault="00AD1315">
            <w:pPr>
              <w:rPr>
                <w:sz w:val="20"/>
                <w:szCs w:val="20"/>
              </w:rPr>
            </w:pPr>
            <w:r w:rsidRPr="00C9584E">
              <w:rPr>
                <w:b/>
                <w:bCs/>
                <w:sz w:val="20"/>
                <w:szCs w:val="20"/>
              </w:rPr>
              <w:t>High</w:t>
            </w:r>
            <w:r>
              <w:rPr>
                <w:b/>
                <w:bCs/>
                <w:sz w:val="20"/>
                <w:szCs w:val="20"/>
              </w:rPr>
              <w:t xml:space="preserve"> strength </w:t>
            </w:r>
            <w:r w:rsidRPr="008A5D8D">
              <w:rPr>
                <w:b/>
                <w:bCs/>
                <w:sz w:val="20"/>
                <w:szCs w:val="20"/>
              </w:rPr>
              <w:t xml:space="preserve">of evidence: </w:t>
            </w:r>
            <w:r w:rsidRPr="008A5D8D">
              <w:rPr>
                <w:sz w:val="20"/>
                <w:szCs w:val="20"/>
              </w:rPr>
              <w:t>We are very confident that the estimate of effect lies close to the true effect for this outcome. The body of evidence has few or no deficiencies. We believe that the findings are stable, i.e., another study would not change the conclusions.</w:t>
            </w:r>
          </w:p>
          <w:p w14:paraId="54466339" w14:textId="77777777" w:rsidR="00AD1315" w:rsidRPr="008A5D8D" w:rsidRDefault="00AD1315">
            <w:pPr>
              <w:rPr>
                <w:sz w:val="20"/>
                <w:szCs w:val="20"/>
              </w:rPr>
            </w:pPr>
            <w:r w:rsidRPr="008A5D8D">
              <w:rPr>
                <w:b/>
                <w:bCs/>
                <w:sz w:val="20"/>
                <w:szCs w:val="20"/>
              </w:rPr>
              <w:t>Moderate strength of evidence:</w:t>
            </w:r>
            <w:r w:rsidRPr="008A5D8D">
              <w:rPr>
                <w:sz w:val="20"/>
                <w:szCs w:val="20"/>
              </w:rPr>
              <w:t xml:space="preserve"> We are moderately confident that the estimate of effect lies close to the true effect for this outcome. The body of evidence has some deficiencies. We believe that the findings are likely to be stable, but some doubt remains</w:t>
            </w:r>
          </w:p>
          <w:p w14:paraId="2B596E48" w14:textId="77777777" w:rsidR="00AD1315" w:rsidRPr="008A5D8D" w:rsidRDefault="00AD1315">
            <w:pPr>
              <w:rPr>
                <w:sz w:val="20"/>
                <w:szCs w:val="20"/>
              </w:rPr>
            </w:pPr>
            <w:r w:rsidRPr="008A5D8D">
              <w:rPr>
                <w:b/>
                <w:bCs/>
                <w:sz w:val="20"/>
                <w:szCs w:val="20"/>
              </w:rPr>
              <w:t>Low certainty:</w:t>
            </w:r>
            <w:r w:rsidRPr="008A5D8D">
              <w:rPr>
                <w:sz w:val="20"/>
                <w:szCs w:val="20"/>
              </w:rPr>
              <w:t xml:space="preserve"> We have limited confidence that the estimate of effect lies close to the true effect for this outcome. The body of evidence has major or numerous deficiencies (or both). We believe that additional evidence is needed before concluding either that the findings are stable or that the estimate of effect is close to the true effect</w:t>
            </w:r>
          </w:p>
          <w:p w14:paraId="20E87B34" w14:textId="77777777" w:rsidR="00AD1315" w:rsidRPr="00C9584E" w:rsidRDefault="00AD1315">
            <w:r w:rsidRPr="008A5D8D">
              <w:rPr>
                <w:b/>
                <w:bCs/>
                <w:sz w:val="20"/>
                <w:szCs w:val="20"/>
              </w:rPr>
              <w:t>Insufficient:</w:t>
            </w:r>
            <w:r w:rsidRPr="008A5D8D">
              <w:rPr>
                <w:sz w:val="20"/>
                <w:szCs w:val="20"/>
              </w:rPr>
              <w:t xml:space="preserve"> We have no evidence, we are unable to estimate an effect, or we have no confidence in the estimate of effect for this outcome. No evidence is available or the body of evidence has unacceptable deficiencies, precluding reaching a conclusion</w:t>
            </w:r>
          </w:p>
        </w:tc>
      </w:tr>
    </w:tbl>
    <w:p w14:paraId="3B5BB807" w14:textId="77777777" w:rsidR="00AD1315" w:rsidRPr="008A5D8D" w:rsidRDefault="00AD1315" w:rsidP="00AD1315">
      <w:pPr>
        <w:spacing w:after="0"/>
        <w:rPr>
          <w:sz w:val="20"/>
          <w:szCs w:val="20"/>
        </w:rPr>
      </w:pPr>
      <w:r w:rsidRPr="00C52CFA">
        <w:rPr>
          <w:sz w:val="20"/>
          <w:szCs w:val="20"/>
          <w:vertAlign w:val="superscript"/>
        </w:rPr>
        <w:t>a</w:t>
      </w:r>
      <w:r w:rsidRPr="008A5D8D">
        <w:rPr>
          <w:sz w:val="20"/>
          <w:szCs w:val="20"/>
        </w:rPr>
        <w:t xml:space="preserve"> -1 for inconsistency</w:t>
      </w:r>
    </w:p>
    <w:p w14:paraId="48AFB23E" w14:textId="77777777" w:rsidR="00AD1315" w:rsidRPr="008A5D8D" w:rsidRDefault="00AD1315" w:rsidP="00AD1315">
      <w:pPr>
        <w:spacing w:after="0"/>
        <w:rPr>
          <w:sz w:val="20"/>
          <w:szCs w:val="20"/>
        </w:rPr>
      </w:pPr>
      <w:r w:rsidRPr="00C52CFA">
        <w:rPr>
          <w:sz w:val="20"/>
          <w:szCs w:val="20"/>
          <w:vertAlign w:val="superscript"/>
        </w:rPr>
        <w:t>b</w:t>
      </w:r>
      <w:r w:rsidRPr="008A5D8D">
        <w:rPr>
          <w:sz w:val="20"/>
          <w:szCs w:val="20"/>
        </w:rPr>
        <w:t xml:space="preserve"> -1 for inconsistency and some indirectness</w:t>
      </w:r>
    </w:p>
    <w:p w14:paraId="53EE5F88" w14:textId="75947D0A" w:rsidR="00AD1315" w:rsidRDefault="00AD1315" w:rsidP="00AD1315">
      <w:pPr>
        <w:spacing w:after="0"/>
        <w:rPr>
          <w:rFonts w:eastAsiaTheme="majorEastAsia" w:cstheme="majorBidi"/>
          <w:color w:val="0F4761" w:themeColor="accent1" w:themeShade="BF"/>
          <w:sz w:val="24"/>
          <w:szCs w:val="28"/>
        </w:rPr>
      </w:pPr>
      <w:r w:rsidRPr="00C52CFA">
        <w:rPr>
          <w:sz w:val="20"/>
          <w:szCs w:val="20"/>
          <w:vertAlign w:val="superscript"/>
        </w:rPr>
        <w:t>c</w:t>
      </w:r>
      <w:r w:rsidRPr="008A5D8D">
        <w:rPr>
          <w:sz w:val="20"/>
          <w:szCs w:val="20"/>
        </w:rPr>
        <w:t>-1 for inconsistency</w:t>
      </w:r>
      <w:r>
        <w:br w:type="page"/>
      </w:r>
    </w:p>
    <w:p w14:paraId="3FC20FC7" w14:textId="6B62D0FC" w:rsidR="00E430F1" w:rsidRPr="007E42EA" w:rsidRDefault="00E430F1" w:rsidP="008D5E5E">
      <w:pPr>
        <w:pStyle w:val="Heading4"/>
      </w:pPr>
      <w:r>
        <w:lastRenderedPageBreak/>
        <w:t>Children and adolescents</w:t>
      </w:r>
    </w:p>
    <w:p w14:paraId="5120E2F3" w14:textId="77777777" w:rsidR="008D5E5E" w:rsidRPr="007E42EA" w:rsidRDefault="008D5E5E" w:rsidP="008D5E5E">
      <w:pPr>
        <w:pStyle w:val="Heading5"/>
      </w:pPr>
      <w:r>
        <w:t>Evidence underpinning international recommendations</w:t>
      </w:r>
    </w:p>
    <w:p w14:paraId="7F99A293" w14:textId="4415C2BF" w:rsidR="00CA5C5F" w:rsidRDefault="00D83446" w:rsidP="005D41BE">
      <w:pPr>
        <w:spacing w:line="276" w:lineRule="auto"/>
      </w:pPr>
      <w:r>
        <w:t xml:space="preserve">Two RCTs were identified </w:t>
      </w:r>
      <w:r w:rsidR="00825442">
        <w:t>for inclusion in EFSA’s review; one 12-week trial in school-age identical twin pairs</w:t>
      </w:r>
      <w:r w:rsidR="0032023B">
        <w:t xml:space="preserve"> in the United Kingdom</w:t>
      </w:r>
      <w:r w:rsidR="00916CB9">
        <w:t xml:space="preserve"> at low risk of bias</w:t>
      </w:r>
      <w:r w:rsidR="00825442">
        <w:t xml:space="preserve">, and </w:t>
      </w:r>
      <w:r w:rsidR="000E1F17">
        <w:t xml:space="preserve">a cluster randomised </w:t>
      </w:r>
      <w:r w:rsidR="0032023B">
        <w:t>study across 28 primary schools in China</w:t>
      </w:r>
      <w:r w:rsidR="00916CB9">
        <w:t xml:space="preserve"> at moderate risk of bias</w:t>
      </w:r>
      <w:r w:rsidR="002C28E7">
        <w:t xml:space="preserve"> (EFSA 2019)</w:t>
      </w:r>
      <w:r w:rsidR="0032023B">
        <w:t xml:space="preserve">. </w:t>
      </w:r>
      <w:r w:rsidR="005D3E2D">
        <w:t xml:space="preserve">No significant association between </w:t>
      </w:r>
      <w:r w:rsidR="001244DF">
        <w:t>urinary sodium and blood pressure was observed in either study.</w:t>
      </w:r>
    </w:p>
    <w:p w14:paraId="0A82278D" w14:textId="40F4D7E8" w:rsidR="001244DF" w:rsidRDefault="001244DF" w:rsidP="005D41BE">
      <w:pPr>
        <w:spacing w:line="276" w:lineRule="auto"/>
      </w:pPr>
      <w:r>
        <w:t xml:space="preserve">Two publications from </w:t>
      </w:r>
      <w:r w:rsidR="004A5E4E">
        <w:t xml:space="preserve">the DONALD </w:t>
      </w:r>
      <w:proofErr w:type="gramStart"/>
      <w:r>
        <w:t>prospective</w:t>
      </w:r>
      <w:proofErr w:type="gramEnd"/>
      <w:r>
        <w:t xml:space="preserve"> cohort study</w:t>
      </w:r>
      <w:r w:rsidR="000D4143">
        <w:t xml:space="preserve">, </w:t>
      </w:r>
      <w:r w:rsidR="001D7780">
        <w:t>an open cohort study ongoing in Germany since 1985</w:t>
      </w:r>
      <w:r w:rsidR="000D4143">
        <w:t xml:space="preserve"> examining </w:t>
      </w:r>
      <w:r w:rsidR="001D7780">
        <w:t xml:space="preserve">children </w:t>
      </w:r>
      <w:r w:rsidR="00513F42">
        <w:t>throughout early childhood (</w:t>
      </w:r>
      <w:r w:rsidR="001D7780">
        <w:t>3</w:t>
      </w:r>
      <w:r w:rsidR="00513F42">
        <w:t xml:space="preserve">, 6, 9, 12, 18 and 24- months) and then annually </w:t>
      </w:r>
      <w:r w:rsidR="000D4143">
        <w:t xml:space="preserve">into </w:t>
      </w:r>
      <w:r w:rsidR="001C5D6F">
        <w:t>young adulthood</w:t>
      </w:r>
      <w:r w:rsidR="00F823B5">
        <w:t xml:space="preserve"> were identified</w:t>
      </w:r>
      <w:r w:rsidR="001C5D6F">
        <w:t xml:space="preserve">. </w:t>
      </w:r>
      <w:r w:rsidR="00576500">
        <w:t xml:space="preserve">One analysis in 435 children </w:t>
      </w:r>
      <w:r w:rsidR="00264E57">
        <w:t>stratified by age group</w:t>
      </w:r>
      <w:r w:rsidR="0094742C">
        <w:t xml:space="preserve"> </w:t>
      </w:r>
      <w:r w:rsidR="00A17EEF">
        <w:t xml:space="preserve">found </w:t>
      </w:r>
      <w:r w:rsidR="002C413E">
        <w:t>n</w:t>
      </w:r>
      <w:r w:rsidR="002C413E" w:rsidRPr="002C413E">
        <w:t>o</w:t>
      </w:r>
      <w:r w:rsidR="002C413E">
        <w:t xml:space="preserve"> </w:t>
      </w:r>
      <w:r w:rsidR="002C413E" w:rsidRPr="002C413E">
        <w:t xml:space="preserve">significant association </w:t>
      </w:r>
      <w:r w:rsidR="0094742C">
        <w:t xml:space="preserve">between urinary sodium </w:t>
      </w:r>
      <w:r w:rsidR="002C413E" w:rsidRPr="002C413E">
        <w:t xml:space="preserve">and </w:t>
      </w:r>
      <w:r w:rsidR="0094742C">
        <w:t xml:space="preserve">SBP </w:t>
      </w:r>
      <w:r w:rsidR="0096507F">
        <w:t xml:space="preserve">or DBP </w:t>
      </w:r>
      <w:r w:rsidR="002C413E" w:rsidRPr="002C413E">
        <w:t>in pre-pubertal and pubertal children</w:t>
      </w:r>
      <w:r w:rsidR="00D80C51">
        <w:t xml:space="preserve"> (Shi et al 2014). A second publication </w:t>
      </w:r>
      <w:r w:rsidR="007D585A">
        <w:t xml:space="preserve">used multivariable linear regression to examine the association between urinary sodium </w:t>
      </w:r>
      <w:r w:rsidR="00F758C2">
        <w:t xml:space="preserve">(per 1 mmol/day increase) </w:t>
      </w:r>
      <w:r w:rsidR="007D585A">
        <w:t xml:space="preserve">in adolescence </w:t>
      </w:r>
      <w:r w:rsidR="00CB6768">
        <w:t xml:space="preserve">(11 to 16 years) </w:t>
      </w:r>
      <w:r w:rsidR="007D585A">
        <w:t>and SBP in you</w:t>
      </w:r>
      <w:r w:rsidR="00CB6768">
        <w:t>n</w:t>
      </w:r>
      <w:r w:rsidR="007D585A">
        <w:t>g adulthood (18 to 25 years)</w:t>
      </w:r>
      <w:r w:rsidR="00CB6768">
        <w:t xml:space="preserve">. A positive association was observed </w:t>
      </w:r>
      <w:r w:rsidR="001D7D9D">
        <w:t xml:space="preserve">for SBP </w:t>
      </w:r>
      <w:r w:rsidR="00CB6768">
        <w:t xml:space="preserve">in boys </w:t>
      </w:r>
      <w:r w:rsidR="00F758C2">
        <w:t>(</w:t>
      </w:r>
      <w:r w:rsidR="008055E8">
        <w:t>β</w:t>
      </w:r>
      <w:r w:rsidR="008055E8" w:rsidRPr="008055E8">
        <w:t xml:space="preserve"> (95% CI) = 0.10 (0.03, 0.18), p = 0.01) </w:t>
      </w:r>
      <w:r w:rsidR="00CB6768">
        <w:t xml:space="preserve">but not </w:t>
      </w:r>
      <w:r w:rsidR="001D7D9D">
        <w:t xml:space="preserve">for SBP </w:t>
      </w:r>
      <w:r w:rsidR="00CB6768">
        <w:t>in girls</w:t>
      </w:r>
      <w:r w:rsidR="008055E8">
        <w:t xml:space="preserve"> (</w:t>
      </w:r>
      <w:r w:rsidR="008055E8" w:rsidRPr="008055E8">
        <w:t>0.05 (0.11, 0.02), p = 0.1)</w:t>
      </w:r>
      <w:r w:rsidR="001D7D9D">
        <w:t>, nor for DBP for either sex</w:t>
      </w:r>
      <w:r w:rsidR="00C7023D">
        <w:t xml:space="preserve"> (</w:t>
      </w:r>
      <w:r w:rsidR="00C7023D" w:rsidRPr="00C7023D">
        <w:t>boys: 0.02 (0.08, 0.04), p = 0.6; girls: 0.02 (_0.03, 0.08), p = 0.4).</w:t>
      </w:r>
      <w:r w:rsidR="004E4615">
        <w:t xml:space="preserve"> </w:t>
      </w:r>
    </w:p>
    <w:p w14:paraId="3594F49E" w14:textId="52D65618" w:rsidR="004E4615" w:rsidRDefault="004E4615" w:rsidP="005D41BE">
      <w:pPr>
        <w:spacing w:line="276" w:lineRule="auto"/>
      </w:pPr>
      <w:r>
        <w:t xml:space="preserve">The EFSA Panel concluded that </w:t>
      </w:r>
      <w:proofErr w:type="gramStart"/>
      <w:r w:rsidR="00C5345F">
        <w:t>overall</w:t>
      </w:r>
      <w:proofErr w:type="gramEnd"/>
      <w:r w:rsidR="00C5345F">
        <w:t xml:space="preserve"> the</w:t>
      </w:r>
      <w:r w:rsidR="00B56B2D">
        <w:t xml:space="preserve"> available evidence does not support an effect of sodium reduction on blood pressure in school-age children.</w:t>
      </w:r>
    </w:p>
    <w:p w14:paraId="22EE4AD9" w14:textId="779847FB" w:rsidR="00153632" w:rsidRDefault="00153632" w:rsidP="005D41BE">
      <w:pPr>
        <w:spacing w:line="276" w:lineRule="auto"/>
      </w:pPr>
      <w:r>
        <w:t>These findings were echoed in the AHRQ (201</w:t>
      </w:r>
      <w:r w:rsidR="00263375">
        <w:t>8</w:t>
      </w:r>
      <w:r>
        <w:t xml:space="preserve">) review, </w:t>
      </w:r>
      <w:r w:rsidR="00023A48">
        <w:t xml:space="preserve">which </w:t>
      </w:r>
      <w:r w:rsidR="00AE7696">
        <w:t>reported “</w:t>
      </w:r>
      <w:r w:rsidR="00EE3286">
        <w:t xml:space="preserve">low </w:t>
      </w:r>
      <w:r w:rsidR="00AE7696" w:rsidRPr="00AE7696">
        <w:t xml:space="preserve">strength of </w:t>
      </w:r>
      <w:r w:rsidR="00EE3286">
        <w:t xml:space="preserve">evidence </w:t>
      </w:r>
      <w:r w:rsidR="00AE7696" w:rsidRPr="00AE7696">
        <w:t xml:space="preserve">for a lack of beneficial </w:t>
      </w:r>
      <w:r w:rsidR="00E34172">
        <w:t xml:space="preserve">effect of sodium </w:t>
      </w:r>
      <w:r w:rsidR="00AE7696" w:rsidRPr="00AE7696">
        <w:t xml:space="preserve">reduction </w:t>
      </w:r>
      <w:r w:rsidR="00E34172">
        <w:t xml:space="preserve">on </w:t>
      </w:r>
      <w:r w:rsidR="00AE7696" w:rsidRPr="00AE7696">
        <w:t>systolic BP in children</w:t>
      </w:r>
      <w:r w:rsidR="00AE7696">
        <w:t>”</w:t>
      </w:r>
      <w:r w:rsidR="00E52F4B">
        <w:t xml:space="preserve"> </w:t>
      </w:r>
      <w:r w:rsidR="00E52F4B">
        <w:fldChar w:fldCharType="begin"/>
      </w:r>
      <w:r w:rsidR="00E52F4B">
        <w:instrText xml:space="preserve"> ADDIN EN.CITE &lt;EndNote&gt;&lt;Cite&gt;&lt;Author&gt;Newberry&lt;/Author&gt;&lt;Year&gt;2018&lt;/Year&gt;&lt;RecNum&gt;621&lt;/RecNum&gt;&lt;DisplayText&gt;(Newberry et al., 2018)&lt;/DisplayText&gt;&lt;record&gt;&lt;rec-number&gt;621&lt;/rec-number&gt;&lt;foreign-keys&gt;&lt;key app="EN" db-id="wwsdv2wwp29fenerv0kx5tw9zxtx2fdrprx2" timestamp="1762743452"&gt;621&lt;/key&gt;&lt;/foreign-keys&gt;&lt;ref-type name="Book Section"&gt;5&lt;/ref-type&gt;&lt;contributors&gt;&lt;authors&gt;&lt;author&gt;Newberry, S. J.&lt;/author&gt;&lt;author&gt;Chung, M.&lt;/author&gt;&lt;author&gt;Anderson, C. A. M.&lt;/author&gt;&lt;author&gt;Chen, C.&lt;/author&gt;&lt;author&gt;Fu, Z.&lt;/author&gt;&lt;author&gt;Tang, A.&lt;/author&gt;&lt;author&gt;Zhao, N.&lt;/author&gt;&lt;author&gt;Booth, M.&lt;/author&gt;&lt;author&gt;Marks, J.&lt;/author&gt;&lt;author&gt;Hollands, S.&lt;/author&gt;&lt;author&gt;Motala, A.&lt;/author&gt;&lt;author&gt;Larkin, J.&lt;/author&gt;&lt;author&gt;Shanman, R.&lt;/author&gt;&lt;author&gt;Hempel, S.&lt;/author&gt;&lt;/authors&gt;&lt;/contributors&gt;&lt;auth-address&gt;RAND Southern California Evidence-based Practice Center&lt;/auth-address&gt;&lt;titles&gt;&lt;title&gt;Sodium and Potassium Intake: Effects on Chronic Disease Outcomes and Risks&lt;/title&gt;&lt;tertiary-title&gt;AHRQ Comparative Effectiveness Reviews&lt;/tertiary-title&gt;&lt;/titles&gt;&lt;dates&gt;&lt;year&gt;2018&lt;/year&gt;&lt;/dates&gt;&lt;pub-location&gt;Rockville (MD)&lt;/pub-location&gt;&lt;publisher&gt;Agency for Healthcare Research and Quality (US)&lt;/publisher&gt;&lt;accession-num&gt;30125063&lt;/accession-num&gt;&lt;urls&gt;&lt;/urls&gt;&lt;language&gt;eng&lt;/language&gt;&lt;/record&gt;&lt;/Cite&gt;&lt;/EndNote&gt;</w:instrText>
      </w:r>
      <w:r w:rsidR="00E52F4B">
        <w:fldChar w:fldCharType="separate"/>
      </w:r>
      <w:r w:rsidR="00E52F4B">
        <w:rPr>
          <w:noProof/>
        </w:rPr>
        <w:t>(Newberry et al., 2018)</w:t>
      </w:r>
      <w:r w:rsidR="00E52F4B">
        <w:fldChar w:fldCharType="end"/>
      </w:r>
      <w:r w:rsidR="00AE7696">
        <w:t xml:space="preserve">. </w:t>
      </w:r>
      <w:r w:rsidR="00D825E2">
        <w:t xml:space="preserve">Pooled estimates found </w:t>
      </w:r>
      <w:r w:rsidR="00286DE4">
        <w:t xml:space="preserve">reduced sodium intake resulted in </w:t>
      </w:r>
      <w:r w:rsidR="006E0979">
        <w:t xml:space="preserve">a </w:t>
      </w:r>
      <w:r w:rsidR="00E34172">
        <w:t>no</w:t>
      </w:r>
      <w:r w:rsidR="006E0979">
        <w:t>n-</w:t>
      </w:r>
      <w:r w:rsidR="00E34172">
        <w:t xml:space="preserve">significant </w:t>
      </w:r>
      <w:r w:rsidR="006E0979">
        <w:t xml:space="preserve">reduction </w:t>
      </w:r>
      <w:r w:rsidR="00286DE4">
        <w:t xml:space="preserve">in </w:t>
      </w:r>
      <w:r w:rsidR="00E34172">
        <w:t>SBP (</w:t>
      </w:r>
      <w:r w:rsidR="008F5283" w:rsidRPr="008F5283">
        <w:t>–0.73</w:t>
      </w:r>
      <w:r w:rsidR="008F5283">
        <w:t xml:space="preserve"> </w:t>
      </w:r>
      <w:r w:rsidR="008F5283" w:rsidRPr="003D3C2B">
        <w:t>mm Hg</w:t>
      </w:r>
      <w:r w:rsidR="008F5283" w:rsidRPr="008F5283">
        <w:t>, 95% CI –1.83</w:t>
      </w:r>
      <w:r w:rsidR="008F5283">
        <w:t xml:space="preserve"> to</w:t>
      </w:r>
      <w:r w:rsidR="008F5283" w:rsidRPr="008F5283">
        <w:t xml:space="preserve"> 0.36; I</w:t>
      </w:r>
      <w:r w:rsidR="008F5283" w:rsidRPr="008F5283">
        <w:rPr>
          <w:vertAlign w:val="superscript"/>
        </w:rPr>
        <w:t xml:space="preserve">2 </w:t>
      </w:r>
      <w:r w:rsidR="008F5283">
        <w:t>=</w:t>
      </w:r>
      <w:r w:rsidR="008F5283" w:rsidRPr="008F5283">
        <w:t>48%</w:t>
      </w:r>
      <w:r w:rsidR="00286DE4">
        <w:t>, 8 RCTs;</w:t>
      </w:r>
      <w:r w:rsidR="006149CE">
        <w:t>) or DBP (</w:t>
      </w:r>
      <w:r w:rsidR="000909FC" w:rsidRPr="000909FC">
        <w:t>–2.10</w:t>
      </w:r>
      <w:r w:rsidR="000909FC">
        <w:t xml:space="preserve"> mm Hg</w:t>
      </w:r>
      <w:r w:rsidR="000909FC" w:rsidRPr="000909FC">
        <w:t>, 95% CI –4.75</w:t>
      </w:r>
      <w:r w:rsidR="000909FC">
        <w:t xml:space="preserve"> to</w:t>
      </w:r>
      <w:r w:rsidR="000909FC" w:rsidRPr="000909FC">
        <w:t xml:space="preserve"> 0.55; I</w:t>
      </w:r>
      <w:r w:rsidR="000909FC" w:rsidRPr="000909FC">
        <w:rPr>
          <w:vertAlign w:val="superscript"/>
        </w:rPr>
        <w:t>2</w:t>
      </w:r>
      <w:r w:rsidR="000909FC" w:rsidRPr="000909FC">
        <w:t xml:space="preserve"> </w:t>
      </w:r>
      <w:r w:rsidR="000909FC">
        <w:t>=</w:t>
      </w:r>
      <w:r w:rsidR="000909FC" w:rsidRPr="000909FC">
        <w:t>79%</w:t>
      </w:r>
      <w:r w:rsidR="00286DE4">
        <w:t>, 7 RCTs</w:t>
      </w:r>
      <w:r w:rsidR="000909FC" w:rsidRPr="000909FC">
        <w:t>)</w:t>
      </w:r>
      <w:r w:rsidR="00EE3286">
        <w:t xml:space="preserve">. </w:t>
      </w:r>
      <w:r w:rsidR="00E03E00">
        <w:t>S</w:t>
      </w:r>
      <w:r w:rsidR="00EE3286">
        <w:t xml:space="preserve">ensitivity analyses </w:t>
      </w:r>
      <w:r w:rsidR="00E03E00">
        <w:t>omit</w:t>
      </w:r>
      <w:r w:rsidR="00BB6DB6">
        <w:t>ting</w:t>
      </w:r>
      <w:r w:rsidR="00E03E00">
        <w:t xml:space="preserve"> studies at high or unclear risk of bias </w:t>
      </w:r>
      <w:r w:rsidR="00BB6DB6">
        <w:t xml:space="preserve">found that </w:t>
      </w:r>
      <w:r w:rsidR="00FB5B57">
        <w:t>blood pressure reductions with low sodium reached statistical</w:t>
      </w:r>
      <w:r w:rsidR="00BB6DB6">
        <w:t xml:space="preserve"> significan</w:t>
      </w:r>
      <w:r w:rsidR="00FB5B57">
        <w:t>ce for</w:t>
      </w:r>
      <w:r w:rsidR="00BB6DB6">
        <w:t xml:space="preserve"> DBP but not for SBP.</w:t>
      </w:r>
      <w:r w:rsidR="00EA2E5A">
        <w:t xml:space="preserve"> </w:t>
      </w:r>
      <w:r w:rsidR="00DF58DF">
        <w:t>The review identified</w:t>
      </w:r>
      <w:r w:rsidR="003D7B25">
        <w:t xml:space="preserve"> three prospective cohort studies at high risk of bias that examined the association between sodium intake and blood pressure, finding insufficient evidence to draw conclusions. </w:t>
      </w:r>
    </w:p>
    <w:p w14:paraId="30DFF973" w14:textId="35844E8A" w:rsidR="00A164F8" w:rsidRPr="007E42EA" w:rsidRDefault="00A164F8" w:rsidP="00A164F8">
      <w:pPr>
        <w:pStyle w:val="Heading5"/>
      </w:pPr>
      <w:r>
        <w:t>Supplementary evidence</w:t>
      </w:r>
    </w:p>
    <w:p w14:paraId="35D38976" w14:textId="23C4430D" w:rsidR="0076637E" w:rsidRDefault="00DB3968" w:rsidP="005D41BE">
      <w:pPr>
        <w:spacing w:line="276" w:lineRule="auto"/>
      </w:pPr>
      <w:r>
        <w:t>One</w:t>
      </w:r>
      <w:r w:rsidR="0090467D">
        <w:t xml:space="preserve"> supplementary</w:t>
      </w:r>
      <w:r>
        <w:t xml:space="preserve"> systematic review </w:t>
      </w:r>
      <w:r w:rsidR="0090467D">
        <w:t xml:space="preserve">was identified that </w:t>
      </w:r>
      <w:r>
        <w:t xml:space="preserve">examined the </w:t>
      </w:r>
      <w:r w:rsidR="002A63BD">
        <w:t>association between sodium intake and blood pressure in children and adolescents</w:t>
      </w:r>
      <w:r w:rsidR="0090467D">
        <w:t xml:space="preserve">. The review </w:t>
      </w:r>
      <w:r w:rsidR="00FF2850">
        <w:t>was assessed at high risk of bias</w:t>
      </w:r>
      <w:r w:rsidR="00064C60">
        <w:t xml:space="preserve">; there was insufficient detail in the a priori data analysis plan to confirm adherence, and </w:t>
      </w:r>
      <w:r w:rsidR="00FF2850">
        <w:t>the exclusion of conference abstracts, and studies in languages other than English, French, German or Spanish</w:t>
      </w:r>
      <w:r w:rsidR="00573385">
        <w:t xml:space="preserve"> </w:t>
      </w:r>
      <w:r w:rsidR="00B5650D">
        <w:fldChar w:fldCharType="begin"/>
      </w:r>
      <w:r w:rsidR="00B5650D">
        <w:instrText xml:space="preserve"> ADDIN EN.CITE &lt;EndNote&gt;&lt;Cite&gt;&lt;Author&gt;Leyvraz&lt;/Author&gt;&lt;Year&gt;2018&lt;/Year&gt;&lt;RecNum&gt;260&lt;/RecNum&gt;&lt;DisplayText&gt;(Leyvraz et al., 2018)&lt;/DisplayText&gt;&lt;record&gt;&lt;rec-number&gt;260&lt;/rec-number&gt;&lt;foreign-keys&gt;&lt;key app="EN" db-id="wwsdv2wwp29fenerv0kx5tw9zxtx2fdrprx2" timestamp="1762743452"&gt;260&lt;/key&gt;&lt;/foreign-keys&gt;&lt;ref-type name="Journal Article"&gt;17&lt;/ref-type&gt;&lt;contributors&gt;&lt;authors&gt;&lt;author&gt;Leyvraz, M.&lt;/author&gt;&lt;author&gt;Chatelan, A.&lt;/author&gt;&lt;author&gt;da Costa, B. R.&lt;/author&gt;&lt;author&gt;Taffé, P.&lt;/author&gt;&lt;author&gt;Paradis, G.&lt;/author&gt;&lt;author&gt;Bovet, P.&lt;/author&gt;&lt;author&gt;Bochud, M.&lt;/author&gt;&lt;author&gt;Chiolero, A.&lt;/author&gt;&lt;/authors&gt;&lt;/contributors&gt;&lt;auth-address&gt;Institute of Social and Preventive Medicine (IUMSP), Lausanne University Hospital (CHUV), Lausanne, Switzerland.&amp;#xD;Institute of Primary Health Care (BIHAM), University of Bern, Bern, Switzerland.&amp;#xD;Department of Epidemiology, Biostatistics and Occupational Health, McGill University, Montreal, Canada.&lt;/auth-address&gt;&lt;titles&gt;&lt;title&gt;Sodium intake and blood pressure in children and adolescents: a systematic review and meta-analysis of experimental and observational studies&lt;/title&gt;&lt;secondary-title&gt;Int J Epidemiol&lt;/secondary-title&gt;&lt;/titles&gt;&lt;periodical&gt;&lt;full-title&gt;Int J Epidemiol&lt;/full-title&gt;&lt;/periodical&gt;&lt;pages&gt;1796-1810&lt;/pages&gt;&lt;volume&gt;47&lt;/volume&gt;&lt;number&gt;6&lt;/number&gt;&lt;keywords&gt;&lt;keyword&gt;Adolescent&lt;/keyword&gt;&lt;keyword&gt;*Blood Pressure&lt;/keyword&gt;&lt;keyword&gt;Blood Pressure Determination&lt;/keyword&gt;&lt;keyword&gt;Child&lt;/keyword&gt;&lt;keyword&gt;Humans&lt;/keyword&gt;&lt;keyword&gt;Hypertension/*prevention &amp;amp; control&lt;/keyword&gt;&lt;keyword&gt;Observational Studies as Topic&lt;/keyword&gt;&lt;keyword&gt;Overweight/*etiology&lt;/keyword&gt;&lt;keyword&gt;Sodium Chloride, Dietary/*administration &amp;amp; dosage&lt;/keyword&gt;&lt;/keywords&gt;&lt;dates&gt;&lt;year&gt;2018&lt;/year&gt;&lt;pub-dates&gt;&lt;date&gt;Dec 1&lt;/date&gt;&lt;/pub-dates&gt;&lt;/dates&gt;&lt;isbn&gt;0300-5771&lt;/isbn&gt;&lt;accession-num&gt;29955869&lt;/accession-num&gt;&lt;urls&gt;&lt;/urls&gt;&lt;electronic-resource-num&gt;10.1093/ije/dyy121&lt;/electronic-resource-num&gt;&lt;remote-database-provider&gt;NLM&lt;/remote-database-provider&gt;&lt;language&gt;eng&lt;/language&gt;&lt;/record&gt;&lt;/Cite&gt;&lt;/EndNote&gt;</w:instrText>
      </w:r>
      <w:r w:rsidR="00B5650D">
        <w:fldChar w:fldCharType="separate"/>
      </w:r>
      <w:r w:rsidR="00B5650D">
        <w:rPr>
          <w:noProof/>
        </w:rPr>
        <w:t>(Leyvraz et al., 2018)</w:t>
      </w:r>
      <w:r w:rsidR="00B5650D">
        <w:fldChar w:fldCharType="end"/>
      </w:r>
      <w:r w:rsidR="00573385">
        <w:t>.</w:t>
      </w:r>
      <w:r w:rsidR="00573385" w:rsidRPr="00FF2850">
        <w:t xml:space="preserve"> </w:t>
      </w:r>
      <w:r w:rsidR="00573385">
        <w:t xml:space="preserve">Both experimental and observational studies were included, with a minimum duration of 8 days for experimental </w:t>
      </w:r>
      <w:r w:rsidR="002D2D5B">
        <w:t>designs</w:t>
      </w:r>
      <w:r w:rsidR="00573385">
        <w:t xml:space="preserve">. </w:t>
      </w:r>
      <w:r w:rsidR="002D2D5B">
        <w:t xml:space="preserve">A broad range of sodium measurement methods were eligible for inclusion including </w:t>
      </w:r>
      <w:r w:rsidR="00884717">
        <w:t xml:space="preserve">dietary </w:t>
      </w:r>
      <w:r w:rsidR="00692077">
        <w:t xml:space="preserve">methods (24-hour recall, semi-quantitative food frequency questionnaire) </w:t>
      </w:r>
      <w:r w:rsidR="00884717">
        <w:t xml:space="preserve">or urinary sodium </w:t>
      </w:r>
      <w:r w:rsidR="00692077">
        <w:t>(</w:t>
      </w:r>
      <w:r w:rsidR="00884717">
        <w:t xml:space="preserve">including </w:t>
      </w:r>
      <w:r w:rsidR="00692077">
        <w:t xml:space="preserve">spot or 24-hour samples). </w:t>
      </w:r>
    </w:p>
    <w:p w14:paraId="2081A052" w14:textId="77777777" w:rsidR="0014557B" w:rsidRDefault="00777FAD" w:rsidP="00AB4AC8">
      <w:pPr>
        <w:spacing w:line="276" w:lineRule="auto"/>
      </w:pPr>
      <w:r>
        <w:t>Eighty-five studies conducted in 58,531 participants were included, comprising</w:t>
      </w:r>
      <w:r w:rsidR="0014557B">
        <w:t>:</w:t>
      </w:r>
    </w:p>
    <w:p w14:paraId="7F0C715F" w14:textId="2ECFFFCB" w:rsidR="0014557B" w:rsidRDefault="00777FAD" w:rsidP="005411B7">
      <w:pPr>
        <w:pStyle w:val="ListParagraph"/>
        <w:numPr>
          <w:ilvl w:val="0"/>
          <w:numId w:val="11"/>
        </w:numPr>
        <w:spacing w:line="276" w:lineRule="auto"/>
      </w:pPr>
      <w:r>
        <w:t xml:space="preserve">14 experimental </w:t>
      </w:r>
      <w:r w:rsidR="0014557B">
        <w:t xml:space="preserve">studies </w:t>
      </w:r>
      <w:r w:rsidR="0084176B">
        <w:t xml:space="preserve">in 3,094 participants </w:t>
      </w:r>
      <w:r w:rsidR="00FF2850">
        <w:t>(</w:t>
      </w:r>
      <w:r w:rsidR="00BA68EB">
        <w:t xml:space="preserve">7 </w:t>
      </w:r>
      <w:r w:rsidR="00E5424B">
        <w:t xml:space="preserve">parallel </w:t>
      </w:r>
      <w:r w:rsidR="00BA68EB">
        <w:t xml:space="preserve">RCTs, </w:t>
      </w:r>
      <w:r w:rsidR="00E5424B">
        <w:t xml:space="preserve">3 cross-over RCTs, </w:t>
      </w:r>
      <w:r w:rsidR="0014557B">
        <w:t>2</w:t>
      </w:r>
      <w:r w:rsidR="00BA68EB">
        <w:t xml:space="preserve"> </w:t>
      </w:r>
      <w:r w:rsidR="0014557B">
        <w:t>non-randomised controlled trials and 2 non-controlled trials)</w:t>
      </w:r>
    </w:p>
    <w:p w14:paraId="3B0EC335" w14:textId="0F0E987E" w:rsidR="0014557B" w:rsidRDefault="00777FAD" w:rsidP="005411B7">
      <w:pPr>
        <w:pStyle w:val="ListParagraph"/>
        <w:numPr>
          <w:ilvl w:val="0"/>
          <w:numId w:val="11"/>
        </w:numPr>
        <w:spacing w:line="276" w:lineRule="auto"/>
      </w:pPr>
      <w:r>
        <w:t xml:space="preserve">71 observational studies </w:t>
      </w:r>
      <w:r w:rsidR="0084176B">
        <w:t xml:space="preserve">in </w:t>
      </w:r>
      <w:r w:rsidR="001B78E0">
        <w:t xml:space="preserve">55,437 participants </w:t>
      </w:r>
      <w:r>
        <w:t xml:space="preserve">(60 cross-sectional, 6 cohort and 5 case-control). </w:t>
      </w:r>
    </w:p>
    <w:p w14:paraId="797874AB" w14:textId="221E1499" w:rsidR="003E230B" w:rsidRDefault="00DB68A7" w:rsidP="0014557B">
      <w:pPr>
        <w:spacing w:line="276" w:lineRule="auto"/>
      </w:pPr>
      <w:r>
        <w:lastRenderedPageBreak/>
        <w:t>Included studies were</w:t>
      </w:r>
      <w:r w:rsidRPr="00936A33">
        <w:t xml:space="preserve"> quality asses</w:t>
      </w:r>
      <w:r>
        <w:t>sed</w:t>
      </w:r>
      <w:r w:rsidRPr="00936A33">
        <w:t xml:space="preserve"> across </w:t>
      </w:r>
      <w:r>
        <w:t xml:space="preserve">four criteria: </w:t>
      </w:r>
      <w:r w:rsidRPr="00936A33">
        <w:t>sodium measurement, blood pressure measurement, external validity and reporting</w:t>
      </w:r>
      <w:r>
        <w:t xml:space="preserve">, and risk of bias assessment was also undertaken. </w:t>
      </w:r>
      <w:r w:rsidR="003E230B">
        <w:t>Only five of the included studies met the quality criteria across all four measures (comprising 1 RCT, 1 prospective cohort study, 3 cross-sectional studies).</w:t>
      </w:r>
    </w:p>
    <w:p w14:paraId="4ACDCF8C" w14:textId="3E5FC18C" w:rsidR="00F76866" w:rsidRPr="00F76866" w:rsidRDefault="00F76866" w:rsidP="00F76866">
      <w:pPr>
        <w:spacing w:line="276" w:lineRule="auto"/>
      </w:pPr>
      <w:r w:rsidRPr="00F76866">
        <w:t xml:space="preserve">The review reported multiple pooled and subgroup analyses of experimental and observational studies. However, most analyses were not eligible for data extraction because they included study designs or measurement methods that did not meet the pre-specified inclusion criteria for this </w:t>
      </w:r>
      <w:r w:rsidR="00A7689E">
        <w:t xml:space="preserve">evidence evaluation (see </w:t>
      </w:r>
      <w:r w:rsidR="00A7689E">
        <w:fldChar w:fldCharType="begin"/>
      </w:r>
      <w:r w:rsidR="00A7689E">
        <w:instrText xml:space="preserve"> REF _Ref234947446 \h </w:instrText>
      </w:r>
      <w:r w:rsidR="00A7689E">
        <w:fldChar w:fldCharType="separate"/>
      </w:r>
      <w:r w:rsidR="00A7689E" w:rsidRPr="005F45FC">
        <w:rPr>
          <w:b/>
          <w:bCs/>
        </w:rPr>
        <w:t xml:space="preserve">Appendix </w:t>
      </w:r>
      <w:r w:rsidR="00A7689E">
        <w:rPr>
          <w:b/>
          <w:bCs/>
        </w:rPr>
        <w:t>B</w:t>
      </w:r>
      <w:r w:rsidR="00A7689E" w:rsidRPr="005F45FC">
        <w:rPr>
          <w:b/>
          <w:bCs/>
        </w:rPr>
        <w:t xml:space="preserve"> </w:t>
      </w:r>
      <w:r w:rsidR="00A7689E">
        <w:rPr>
          <w:b/>
          <w:bCs/>
        </w:rPr>
        <w:t>–</w:t>
      </w:r>
      <w:r w:rsidR="00A7689E" w:rsidRPr="005F45FC">
        <w:rPr>
          <w:b/>
          <w:bCs/>
        </w:rPr>
        <w:t xml:space="preserve"> Methods</w:t>
      </w:r>
      <w:r w:rsidR="00A7689E">
        <w:rPr>
          <w:b/>
          <w:bCs/>
        </w:rPr>
        <w:t xml:space="preserve"> for supplementary evidence searches</w:t>
      </w:r>
      <w:r w:rsidR="00A7689E">
        <w:fldChar w:fldCharType="end"/>
      </w:r>
      <w:r w:rsidR="00A7689E">
        <w:t>)</w:t>
      </w:r>
      <w:r w:rsidR="00264989">
        <w:t xml:space="preserve">; </w:t>
      </w:r>
      <w:r w:rsidR="0067268D">
        <w:t xml:space="preserve">most </w:t>
      </w:r>
      <w:r w:rsidRPr="00F76866">
        <w:t xml:space="preserve">pooled analyses </w:t>
      </w:r>
      <w:r w:rsidR="0067268D">
        <w:t xml:space="preserve">and the dose response modelling </w:t>
      </w:r>
      <w:r w:rsidR="00264989">
        <w:t xml:space="preserve">included studies with ineligible sodium intake measurement methods, </w:t>
      </w:r>
      <w:r w:rsidR="0067268D">
        <w:t>and/</w:t>
      </w:r>
      <w:r w:rsidR="00264989">
        <w:t xml:space="preserve">or </w:t>
      </w:r>
      <w:r w:rsidR="0067268D">
        <w:t xml:space="preserve">uncontrolled </w:t>
      </w:r>
      <w:r w:rsidR="00264989">
        <w:t>experimental studies</w:t>
      </w:r>
      <w:r w:rsidRPr="00F76866">
        <w:t>.</w:t>
      </w:r>
    </w:p>
    <w:p w14:paraId="51AA1C04" w14:textId="2B915AF2" w:rsidR="00302A9B" w:rsidRDefault="0023242E" w:rsidP="008012C9">
      <w:pPr>
        <w:spacing w:line="276" w:lineRule="auto"/>
      </w:pPr>
      <w:r w:rsidRPr="0023242E">
        <w:t xml:space="preserve">Although a separate meta-analysis of observational studies with high-quality sodium intake and blood pressure measurement met the review's inclusion criteria, the findings were not extracted owing to significant concerns about risk of bias. </w:t>
      </w:r>
      <w:r w:rsidR="00C665FB">
        <w:t>T</w:t>
      </w:r>
      <w:r w:rsidRPr="0023242E">
        <w:t>he analysis combined evidence from cohort, cross-sectional and case-control studies despite the differing methodological strengths and limitations of these designs, resulting in substantial heterogeneity (I² = 99%). In addition, the authors departed from their pre-specified analytical approach by applying post hoc study selection criteria and implementing modelling decisions that were not described in the protocol. These deviations were not acknowledged or justified and may have materially influenced the results. Given these concerns regarding methodological rigour and potential bias, no data were extracted from this review.</w:t>
      </w:r>
    </w:p>
    <w:p w14:paraId="3CB4742A" w14:textId="301946C4" w:rsidR="00BF5A28" w:rsidRPr="007E42EA" w:rsidRDefault="00BF5A28" w:rsidP="00BF5A28">
      <w:pPr>
        <w:pStyle w:val="Heading5"/>
      </w:pPr>
      <w:r>
        <w:t>Summary of findings</w:t>
      </w:r>
    </w:p>
    <w:p w14:paraId="015641AD" w14:textId="4BFD123F" w:rsidR="00543541" w:rsidRDefault="00144471" w:rsidP="00BF1893">
      <w:pPr>
        <w:spacing w:line="276" w:lineRule="auto"/>
      </w:pPr>
      <w:r w:rsidRPr="006D5A7E">
        <w:t xml:space="preserve">Systematic reviews on the relationship between sodium and blood pressure in children and adolescents report </w:t>
      </w:r>
      <w:r w:rsidR="00A76E1E">
        <w:t>inconsistent</w:t>
      </w:r>
      <w:r w:rsidRPr="006D5A7E">
        <w:t xml:space="preserve"> findings depending on the review inclusion criteria</w:t>
      </w:r>
      <w:r w:rsidR="006D5A7E" w:rsidRPr="006D5A7E">
        <w:t xml:space="preserve"> and analytical approach</w:t>
      </w:r>
      <w:r w:rsidR="00A76E1E">
        <w:t xml:space="preserve"> adopted</w:t>
      </w:r>
      <w:r w:rsidRPr="006D5A7E">
        <w:t xml:space="preserve">. </w:t>
      </w:r>
      <w:r w:rsidR="00A76E1E">
        <w:t xml:space="preserve">Both the </w:t>
      </w:r>
      <w:proofErr w:type="spellStart"/>
      <w:r w:rsidR="00C035DD">
        <w:t>Leyvraz</w:t>
      </w:r>
      <w:proofErr w:type="spellEnd"/>
      <w:r w:rsidR="00C035DD">
        <w:t xml:space="preserve"> (2018) and AHRQ </w:t>
      </w:r>
      <w:r w:rsidR="006A2DFE">
        <w:t xml:space="preserve">(2018) </w:t>
      </w:r>
      <w:r w:rsidR="00C035DD">
        <w:t xml:space="preserve">reviews </w:t>
      </w:r>
      <w:r w:rsidR="00ED792F" w:rsidRPr="006D5A7E">
        <w:t xml:space="preserve">included </w:t>
      </w:r>
      <w:r w:rsidR="00F37786" w:rsidRPr="006D5A7E">
        <w:t xml:space="preserve">RCTs and </w:t>
      </w:r>
      <w:r w:rsidR="00DE2FE8">
        <w:t xml:space="preserve">controlled observational studies; </w:t>
      </w:r>
      <w:proofErr w:type="gramStart"/>
      <w:r w:rsidR="00DE2FE8">
        <w:t>however</w:t>
      </w:r>
      <w:proofErr w:type="gramEnd"/>
      <w:r w:rsidR="00DE2FE8">
        <w:t xml:space="preserve"> </w:t>
      </w:r>
      <w:r w:rsidR="00ED792F" w:rsidRPr="006D5A7E">
        <w:t xml:space="preserve">the </w:t>
      </w:r>
      <w:proofErr w:type="spellStart"/>
      <w:r w:rsidR="000B3A27">
        <w:t>Leyvraz</w:t>
      </w:r>
      <w:proofErr w:type="spellEnd"/>
      <w:r w:rsidR="000B3A27">
        <w:t xml:space="preserve"> review included a broader range of </w:t>
      </w:r>
      <w:r w:rsidR="00DB53A8">
        <w:t xml:space="preserve">study designs including cross-sectional studies and single-arm or shorter duration experimental studies. </w:t>
      </w:r>
      <w:r w:rsidR="007058BE">
        <w:t xml:space="preserve">The </w:t>
      </w:r>
      <w:proofErr w:type="spellStart"/>
      <w:r w:rsidR="007058BE">
        <w:t>Leyvraz</w:t>
      </w:r>
      <w:proofErr w:type="spellEnd"/>
      <w:r w:rsidR="007058BE">
        <w:t xml:space="preserve"> (2018) review’s inclusion of studies that did not meet our a priori review criteria – and concerns about methodological rigour and risk of bias – </w:t>
      </w:r>
      <w:r w:rsidR="00BA24E3">
        <w:t xml:space="preserve">limited the utility of this review for informing our evidence evaluation. </w:t>
      </w:r>
      <w:r w:rsidR="00543541">
        <w:t xml:space="preserve">In contrast, the </w:t>
      </w:r>
      <w:r w:rsidR="00ED792F" w:rsidRPr="006D5A7E">
        <w:t xml:space="preserve">AHRQ review </w:t>
      </w:r>
      <w:r w:rsidR="00543541">
        <w:t xml:space="preserve">restricted inclusion to interventions of at least 4 weeks duration, </w:t>
      </w:r>
      <w:r w:rsidR="007058BE">
        <w:t xml:space="preserve">in line </w:t>
      </w:r>
      <w:r w:rsidR="00543541">
        <w:t xml:space="preserve">with the a priori criteria for this evidence evaluation (see </w:t>
      </w:r>
      <w:r w:rsidR="00B92E7A">
        <w:fldChar w:fldCharType="begin"/>
      </w:r>
      <w:r w:rsidR="00B92E7A">
        <w:instrText xml:space="preserve"> REF _Ref234947446 \h </w:instrText>
      </w:r>
      <w:r w:rsidR="00B92E7A">
        <w:fldChar w:fldCharType="separate"/>
      </w:r>
      <w:r w:rsidR="00B92E7A" w:rsidRPr="005F45FC">
        <w:rPr>
          <w:b/>
          <w:bCs/>
        </w:rPr>
        <w:t xml:space="preserve">Appendix </w:t>
      </w:r>
      <w:r w:rsidR="00B92E7A">
        <w:rPr>
          <w:b/>
          <w:bCs/>
        </w:rPr>
        <w:t>B</w:t>
      </w:r>
      <w:r w:rsidR="00B92E7A" w:rsidRPr="005F45FC">
        <w:rPr>
          <w:b/>
          <w:bCs/>
        </w:rPr>
        <w:t xml:space="preserve"> </w:t>
      </w:r>
      <w:r w:rsidR="00B92E7A">
        <w:rPr>
          <w:b/>
          <w:bCs/>
        </w:rPr>
        <w:t>–</w:t>
      </w:r>
      <w:r w:rsidR="00B92E7A" w:rsidRPr="005F45FC">
        <w:rPr>
          <w:b/>
          <w:bCs/>
        </w:rPr>
        <w:t xml:space="preserve"> Methods</w:t>
      </w:r>
      <w:r w:rsidR="00B92E7A">
        <w:rPr>
          <w:b/>
          <w:bCs/>
        </w:rPr>
        <w:t xml:space="preserve"> for supplementary evidence searches</w:t>
      </w:r>
      <w:r w:rsidR="00B92E7A">
        <w:fldChar w:fldCharType="end"/>
      </w:r>
      <w:r w:rsidR="00543541">
        <w:t>).</w:t>
      </w:r>
    </w:p>
    <w:p w14:paraId="2AF65DD8" w14:textId="6B8D4857" w:rsidR="00C87156" w:rsidRDefault="00B74E24" w:rsidP="00BF1893">
      <w:pPr>
        <w:spacing w:line="276" w:lineRule="auto"/>
        <w:rPr>
          <w:i/>
          <w:iCs/>
          <w:color w:val="0E2841" w:themeColor="text2"/>
          <w:sz w:val="18"/>
          <w:szCs w:val="18"/>
        </w:rPr>
      </w:pPr>
      <w:r w:rsidRPr="006D5A7E">
        <w:t>Overall, there is no co</w:t>
      </w:r>
      <w:r w:rsidR="00F20D92">
        <w:t xml:space="preserve">nsistent </w:t>
      </w:r>
      <w:r w:rsidRPr="006D5A7E">
        <w:t>evidence that lower sodium intake reduces blood pressure in children</w:t>
      </w:r>
      <w:r w:rsidR="00317F97">
        <w:t>; further high-quality</w:t>
      </w:r>
      <w:r w:rsidR="00B20F1B">
        <w:t>, controlled</w:t>
      </w:r>
      <w:r w:rsidR="00317F97">
        <w:t xml:space="preserve"> studies are required to </w:t>
      </w:r>
      <w:r w:rsidR="005129ED">
        <w:t xml:space="preserve">clarify </w:t>
      </w:r>
      <w:r w:rsidR="00317F97">
        <w:t>this relationship</w:t>
      </w:r>
      <w:r w:rsidRPr="006D5A7E">
        <w:t>.</w:t>
      </w:r>
      <w:r w:rsidR="00C87156">
        <w:br w:type="page"/>
      </w:r>
    </w:p>
    <w:tbl>
      <w:tblPr>
        <w:tblStyle w:val="TableGrid"/>
        <w:tblW w:w="9776" w:type="dxa"/>
        <w:tblInd w:w="-382" w:type="dxa"/>
        <w:tblLook w:val="04A0" w:firstRow="1" w:lastRow="0" w:firstColumn="1" w:lastColumn="0" w:noHBand="0" w:noVBand="1"/>
      </w:tblPr>
      <w:tblGrid>
        <w:gridCol w:w="421"/>
        <w:gridCol w:w="9355"/>
      </w:tblGrid>
      <w:tr w:rsidR="00BF5A28" w14:paraId="3A62DCEC" w14:textId="77777777" w:rsidTr="00BF5A28">
        <w:trPr>
          <w:cantSplit/>
        </w:trPr>
        <w:tc>
          <w:tcPr>
            <w:tcW w:w="9776" w:type="dxa"/>
            <w:gridSpan w:val="2"/>
            <w:tcBorders>
              <w:bottom w:val="single" w:sz="4" w:space="0" w:color="auto"/>
            </w:tcBorders>
            <w:shd w:val="clear" w:color="auto" w:fill="156082" w:themeFill="accent1"/>
          </w:tcPr>
          <w:p w14:paraId="497C234B" w14:textId="476A449C" w:rsidR="00BF5A28" w:rsidRPr="003A21E3" w:rsidRDefault="00BF5A28" w:rsidP="00D50098">
            <w:pPr>
              <w:keepLines/>
              <w:rPr>
                <w:b/>
                <w:bCs/>
              </w:rPr>
            </w:pPr>
            <w:r w:rsidRPr="003807B2">
              <w:rPr>
                <w:b/>
                <w:bCs/>
                <w:color w:val="FFFFFF" w:themeColor="background1"/>
              </w:rPr>
              <w:lastRenderedPageBreak/>
              <w:t>Summary of Findings: Effect of sodium reduction on systolic blood pressure in children</w:t>
            </w:r>
            <w:r w:rsidR="00724F18">
              <w:rPr>
                <w:b/>
                <w:bCs/>
                <w:color w:val="FFFFFF" w:themeColor="background1"/>
              </w:rPr>
              <w:t xml:space="preserve"> </w:t>
            </w:r>
            <w:r w:rsidR="004C4415">
              <w:rPr>
                <w:b/>
                <w:bCs/>
                <w:color w:val="FFFFFF" w:themeColor="background1"/>
              </w:rPr>
              <w:t xml:space="preserve"> </w:t>
            </w:r>
            <w:r w:rsidR="004C4415" w:rsidRPr="004C4415">
              <w:rPr>
                <w:b/>
                <w:bCs/>
                <w:color w:val="FFFFFF" w:themeColor="background1"/>
              </w:rPr>
              <w:fldChar w:fldCharType="begin"/>
            </w:r>
            <w:r w:rsidR="004C4415" w:rsidRPr="004C4415">
              <w:rPr>
                <w:b/>
                <w:bCs/>
                <w:color w:val="FFFFFF" w:themeColor="background1"/>
              </w:rPr>
              <w:instrText xml:space="preserve"> ADDIN EN.CITE &lt;EndNote&gt;&lt;Cite&gt;&lt;Author&gt;Newberry&lt;/Author&gt;&lt;Year&gt;2018&lt;/Year&gt;&lt;RecNum&gt;621&lt;/RecNum&gt;&lt;DisplayText&gt;(Newberry et al., 2018)&lt;/DisplayText&gt;&lt;record&gt;&lt;rec-number&gt;621&lt;/rec-number&gt;&lt;foreign-keys&gt;&lt;key app="EN" db-id="wwsdv2wwp29fenerv0kx5tw9zxtx2fdrprx2" timestamp="1762743452"&gt;621&lt;/key&gt;&lt;/foreign-keys&gt;&lt;ref-type name="Book Section"&gt;5&lt;/ref-type&gt;&lt;contributors&gt;&lt;authors&gt;&lt;author&gt;Newberry, S. J.&lt;/author&gt;&lt;author&gt;Chung, M.&lt;/author&gt;&lt;author&gt;Anderson, C. A. M.&lt;/author&gt;&lt;author&gt;Chen, C.&lt;/author&gt;&lt;author&gt;Fu, Z.&lt;/author&gt;&lt;author&gt;Tang, A.&lt;/author&gt;&lt;author&gt;Zhao, N.&lt;/author&gt;&lt;author&gt;Booth, M.&lt;/author&gt;&lt;author&gt;Marks, J.&lt;/author&gt;&lt;author&gt;Hollands, S.&lt;/author&gt;&lt;author&gt;Motala, A.&lt;/author&gt;&lt;author&gt;Larkin, J.&lt;/author&gt;&lt;author&gt;Shanman, R.&lt;/author&gt;&lt;author&gt;Hempel, S.&lt;/author&gt;&lt;/authors&gt;&lt;/contributors&gt;&lt;auth-address&gt;RAND Southern California Evidence-based Practice Center&lt;/auth-address&gt;&lt;titles&gt;&lt;title&gt;Sodium and Potassium Intake: Effects on Chronic Disease Outcomes and Risks&lt;/title&gt;&lt;tertiary-title&gt;AHRQ Comparative Effectiveness Reviews&lt;/tertiary-title&gt;&lt;/titles&gt;&lt;dates&gt;&lt;year&gt;2018&lt;/year&gt;&lt;/dates&gt;&lt;pub-location&gt;Rockville (MD)&lt;/pub-location&gt;&lt;publisher&gt;Agency for Healthcare Research and Quality (US)&lt;/publisher&gt;&lt;accession-num&gt;30125063&lt;/accession-num&gt;&lt;urls&gt;&lt;/urls&gt;&lt;language&gt;eng&lt;/language&gt;&lt;/record&gt;&lt;/Cite&gt;&lt;/EndNote&gt;</w:instrText>
            </w:r>
            <w:r w:rsidR="004C4415" w:rsidRPr="004C4415">
              <w:rPr>
                <w:b/>
                <w:bCs/>
                <w:color w:val="FFFFFF" w:themeColor="background1"/>
              </w:rPr>
              <w:fldChar w:fldCharType="separate"/>
            </w:r>
            <w:r w:rsidR="004C4415" w:rsidRPr="004C4415">
              <w:rPr>
                <w:b/>
                <w:bCs/>
                <w:color w:val="FFFFFF" w:themeColor="background1"/>
              </w:rPr>
              <w:t>(Newberry et al., 2018)</w:t>
            </w:r>
            <w:r w:rsidR="004C4415" w:rsidRPr="004C4415">
              <w:rPr>
                <w:b/>
                <w:bCs/>
                <w:color w:val="FFFFFF" w:themeColor="background1"/>
              </w:rPr>
              <w:fldChar w:fldCharType="end"/>
            </w:r>
          </w:p>
        </w:tc>
      </w:tr>
      <w:tr w:rsidR="00BF5A28" w14:paraId="1C447A41" w14:textId="77777777" w:rsidTr="00BF5A28">
        <w:trPr>
          <w:cantSplit/>
        </w:trPr>
        <w:tc>
          <w:tcPr>
            <w:tcW w:w="421" w:type="dxa"/>
            <w:tcBorders>
              <w:right w:val="nil"/>
            </w:tcBorders>
          </w:tcPr>
          <w:p w14:paraId="7DC21A0E" w14:textId="77777777" w:rsidR="00BF5A28" w:rsidRDefault="00BF5A28"/>
        </w:tc>
        <w:tc>
          <w:tcPr>
            <w:tcW w:w="9355" w:type="dxa"/>
            <w:tcBorders>
              <w:left w:val="nil"/>
            </w:tcBorders>
          </w:tcPr>
          <w:p w14:paraId="1A6E8080" w14:textId="77777777" w:rsidR="00BF5A28" w:rsidRPr="00013066" w:rsidRDefault="00BF5A28" w:rsidP="00D50098">
            <w:pPr>
              <w:keepLines/>
              <w:rPr>
                <w:sz w:val="20"/>
                <w:szCs w:val="20"/>
              </w:rPr>
            </w:pPr>
            <w:r w:rsidRPr="00013066">
              <w:rPr>
                <w:b/>
                <w:bCs/>
                <w:sz w:val="20"/>
                <w:szCs w:val="20"/>
              </w:rPr>
              <w:t>Population:</w:t>
            </w:r>
            <w:r w:rsidRPr="00013066">
              <w:rPr>
                <w:sz w:val="20"/>
                <w:szCs w:val="20"/>
              </w:rPr>
              <w:t xml:space="preserve"> Free-living </w:t>
            </w:r>
            <w:r>
              <w:rPr>
                <w:sz w:val="20"/>
                <w:szCs w:val="20"/>
              </w:rPr>
              <w:t>children, including studies in outpatient settings;</w:t>
            </w:r>
            <w:r w:rsidRPr="00013066">
              <w:rPr>
                <w:sz w:val="20"/>
                <w:szCs w:val="20"/>
              </w:rPr>
              <w:t xml:space="preserve"> </w:t>
            </w:r>
            <w:r>
              <w:rPr>
                <w:sz w:val="20"/>
                <w:szCs w:val="20"/>
              </w:rPr>
              <w:t xml:space="preserve">samples </w:t>
            </w:r>
            <w:r w:rsidRPr="00013066">
              <w:rPr>
                <w:sz w:val="20"/>
                <w:szCs w:val="20"/>
              </w:rPr>
              <w:t xml:space="preserve">exclusively </w:t>
            </w:r>
            <w:r>
              <w:rPr>
                <w:sz w:val="20"/>
                <w:szCs w:val="20"/>
              </w:rPr>
              <w:t xml:space="preserve">comprised of </w:t>
            </w:r>
            <w:r w:rsidRPr="00013066">
              <w:rPr>
                <w:sz w:val="20"/>
                <w:szCs w:val="20"/>
              </w:rPr>
              <w:t xml:space="preserve">participants with </w:t>
            </w:r>
            <w:r>
              <w:rPr>
                <w:sz w:val="20"/>
                <w:szCs w:val="20"/>
              </w:rPr>
              <w:t xml:space="preserve">select </w:t>
            </w:r>
            <w:r w:rsidRPr="00013066">
              <w:rPr>
                <w:sz w:val="20"/>
                <w:szCs w:val="20"/>
              </w:rPr>
              <w:t>clinical conditions were excluded.</w:t>
            </w:r>
          </w:p>
        </w:tc>
      </w:tr>
      <w:tr w:rsidR="00BF5A28" w14:paraId="75B1F72D" w14:textId="77777777" w:rsidTr="00BF5A28">
        <w:trPr>
          <w:cantSplit/>
        </w:trPr>
        <w:tc>
          <w:tcPr>
            <w:tcW w:w="421" w:type="dxa"/>
            <w:tcBorders>
              <w:right w:val="nil"/>
            </w:tcBorders>
          </w:tcPr>
          <w:p w14:paraId="0A12DB98" w14:textId="77777777" w:rsidR="00BF5A28" w:rsidRDefault="00BF5A28"/>
        </w:tc>
        <w:tc>
          <w:tcPr>
            <w:tcW w:w="9355" w:type="dxa"/>
            <w:tcBorders>
              <w:left w:val="nil"/>
            </w:tcBorders>
          </w:tcPr>
          <w:p w14:paraId="107F10BE" w14:textId="77777777" w:rsidR="00BF5A28" w:rsidRPr="00013066" w:rsidRDefault="00BF5A28" w:rsidP="00D50098">
            <w:pPr>
              <w:keepLines/>
              <w:rPr>
                <w:sz w:val="20"/>
                <w:szCs w:val="20"/>
              </w:rPr>
            </w:pPr>
            <w:r w:rsidRPr="00013066">
              <w:rPr>
                <w:b/>
                <w:bCs/>
                <w:sz w:val="20"/>
                <w:szCs w:val="20"/>
              </w:rPr>
              <w:t>Study designs:</w:t>
            </w:r>
            <w:r w:rsidRPr="00013066">
              <w:rPr>
                <w:sz w:val="20"/>
                <w:szCs w:val="20"/>
              </w:rPr>
              <w:t xml:space="preserve"> Randomised controlled trials evaluating reduced sodium intake (via oral consumption of food or supplements of quantified amounts of sodium). The minimum intervention duration was 4 weeks.</w:t>
            </w:r>
            <w:r>
              <w:rPr>
                <w:sz w:val="20"/>
                <w:szCs w:val="20"/>
              </w:rPr>
              <w:t xml:space="preserve"> For cross-over RCTs, a minimum washout period of 2 weeks was applied.</w:t>
            </w:r>
          </w:p>
        </w:tc>
      </w:tr>
      <w:tr w:rsidR="00BF5A28" w14:paraId="6343CB93" w14:textId="77777777" w:rsidTr="00BF5A28">
        <w:trPr>
          <w:cantSplit/>
        </w:trPr>
        <w:tc>
          <w:tcPr>
            <w:tcW w:w="421" w:type="dxa"/>
            <w:tcBorders>
              <w:right w:val="nil"/>
            </w:tcBorders>
          </w:tcPr>
          <w:p w14:paraId="4764755B" w14:textId="77777777" w:rsidR="00BF5A28" w:rsidRDefault="00BF5A28"/>
        </w:tc>
        <w:tc>
          <w:tcPr>
            <w:tcW w:w="9355" w:type="dxa"/>
            <w:tcBorders>
              <w:left w:val="nil"/>
            </w:tcBorders>
          </w:tcPr>
          <w:p w14:paraId="73F6EF35" w14:textId="77777777" w:rsidR="00BF5A28" w:rsidRPr="00013066" w:rsidRDefault="00BF5A28" w:rsidP="00D50098">
            <w:pPr>
              <w:keepLines/>
              <w:rPr>
                <w:sz w:val="20"/>
                <w:szCs w:val="20"/>
              </w:rPr>
            </w:pPr>
            <w:r w:rsidRPr="00013066">
              <w:rPr>
                <w:b/>
                <w:bCs/>
                <w:sz w:val="20"/>
                <w:szCs w:val="20"/>
              </w:rPr>
              <w:t>Intervention:</w:t>
            </w:r>
            <w:r w:rsidRPr="00013066">
              <w:rPr>
                <w:sz w:val="20"/>
                <w:szCs w:val="20"/>
              </w:rPr>
              <w:t xml:space="preserve"> Lower sodium diet</w:t>
            </w:r>
          </w:p>
        </w:tc>
      </w:tr>
      <w:tr w:rsidR="00BF5A28" w14:paraId="364910EE" w14:textId="77777777" w:rsidTr="00BF5A28">
        <w:trPr>
          <w:cantSplit/>
        </w:trPr>
        <w:tc>
          <w:tcPr>
            <w:tcW w:w="421" w:type="dxa"/>
            <w:tcBorders>
              <w:right w:val="nil"/>
            </w:tcBorders>
          </w:tcPr>
          <w:p w14:paraId="3AE5A20A" w14:textId="77777777" w:rsidR="00BF5A28" w:rsidRDefault="00BF5A28"/>
        </w:tc>
        <w:tc>
          <w:tcPr>
            <w:tcW w:w="9355" w:type="dxa"/>
            <w:tcBorders>
              <w:left w:val="nil"/>
            </w:tcBorders>
          </w:tcPr>
          <w:p w14:paraId="16863918" w14:textId="77777777" w:rsidR="00BF5A28" w:rsidRPr="00013066" w:rsidRDefault="00BF5A28" w:rsidP="00D50098">
            <w:pPr>
              <w:keepLines/>
              <w:rPr>
                <w:sz w:val="20"/>
                <w:szCs w:val="20"/>
              </w:rPr>
            </w:pPr>
            <w:r w:rsidRPr="00013066">
              <w:rPr>
                <w:b/>
                <w:bCs/>
                <w:sz w:val="20"/>
                <w:szCs w:val="20"/>
              </w:rPr>
              <w:t>Comparison:</w:t>
            </w:r>
            <w:r w:rsidRPr="00013066">
              <w:rPr>
                <w:sz w:val="20"/>
                <w:szCs w:val="20"/>
              </w:rPr>
              <w:t xml:space="preserve"> Higher sodium diet</w:t>
            </w:r>
          </w:p>
        </w:tc>
      </w:tr>
    </w:tbl>
    <w:p w14:paraId="00712B69" w14:textId="77777777" w:rsidR="00D67399" w:rsidRPr="00D67399" w:rsidRDefault="00D67399" w:rsidP="00D67399">
      <w:pPr>
        <w:spacing w:after="0"/>
        <w:rPr>
          <w:sz w:val="4"/>
          <w:szCs w:val="4"/>
        </w:rPr>
      </w:pPr>
    </w:p>
    <w:tbl>
      <w:tblPr>
        <w:tblStyle w:val="TableGrid"/>
        <w:tblW w:w="9776" w:type="dxa"/>
        <w:tblInd w:w="-382" w:type="dxa"/>
        <w:tblLook w:val="04A0" w:firstRow="1" w:lastRow="0" w:firstColumn="1" w:lastColumn="0" w:noHBand="0" w:noVBand="1"/>
      </w:tblPr>
      <w:tblGrid>
        <w:gridCol w:w="421"/>
        <w:gridCol w:w="2307"/>
        <w:gridCol w:w="1654"/>
        <w:gridCol w:w="1528"/>
        <w:gridCol w:w="1529"/>
        <w:gridCol w:w="2337"/>
      </w:tblGrid>
      <w:tr w:rsidR="00BF5A28" w14:paraId="0E0E2D73" w14:textId="77777777" w:rsidTr="00BF5A28">
        <w:trPr>
          <w:cantSplit/>
        </w:trPr>
        <w:tc>
          <w:tcPr>
            <w:tcW w:w="421" w:type="dxa"/>
            <w:tcBorders>
              <w:right w:val="nil"/>
            </w:tcBorders>
            <w:shd w:val="clear" w:color="auto" w:fill="156082" w:themeFill="accent1"/>
          </w:tcPr>
          <w:p w14:paraId="2C1B51AE" w14:textId="77777777" w:rsidR="00BF5A28" w:rsidRDefault="00BF5A28"/>
        </w:tc>
        <w:tc>
          <w:tcPr>
            <w:tcW w:w="2307" w:type="dxa"/>
            <w:tcBorders>
              <w:left w:val="nil"/>
            </w:tcBorders>
            <w:shd w:val="clear" w:color="auto" w:fill="156082" w:themeFill="accent1"/>
          </w:tcPr>
          <w:p w14:paraId="2F19442C" w14:textId="77777777" w:rsidR="00BF5A28" w:rsidRPr="003807B2" w:rsidRDefault="00BF5A28" w:rsidP="00D50098">
            <w:pPr>
              <w:keepLines/>
              <w:rPr>
                <w:b/>
                <w:bCs/>
                <w:color w:val="FFFFFF" w:themeColor="background1"/>
                <w:sz w:val="20"/>
                <w:szCs w:val="20"/>
              </w:rPr>
            </w:pPr>
            <w:r w:rsidRPr="003807B2">
              <w:rPr>
                <w:b/>
                <w:bCs/>
                <w:color w:val="FFFFFF" w:themeColor="background1"/>
                <w:sz w:val="20"/>
                <w:szCs w:val="20"/>
              </w:rPr>
              <w:t>Outcomes</w:t>
            </w:r>
          </w:p>
        </w:tc>
        <w:tc>
          <w:tcPr>
            <w:tcW w:w="1654" w:type="dxa"/>
            <w:shd w:val="clear" w:color="auto" w:fill="156082" w:themeFill="accent1"/>
          </w:tcPr>
          <w:p w14:paraId="77591C28" w14:textId="77777777" w:rsidR="00BF5A28" w:rsidRPr="003807B2" w:rsidRDefault="00BF5A28" w:rsidP="00D50098">
            <w:pPr>
              <w:keepLines/>
              <w:rPr>
                <w:b/>
                <w:bCs/>
                <w:color w:val="FFFFFF" w:themeColor="background1"/>
                <w:sz w:val="20"/>
                <w:szCs w:val="20"/>
              </w:rPr>
            </w:pPr>
            <w:r w:rsidRPr="003807B2">
              <w:rPr>
                <w:b/>
                <w:bCs/>
                <w:color w:val="FFFFFF" w:themeColor="background1"/>
                <w:sz w:val="20"/>
                <w:szCs w:val="20"/>
              </w:rPr>
              <w:t xml:space="preserve">SBP </w:t>
            </w:r>
          </w:p>
          <w:p w14:paraId="309A1202" w14:textId="77777777" w:rsidR="00BF5A28" w:rsidRPr="003807B2" w:rsidRDefault="00BF5A28" w:rsidP="00D50098">
            <w:pPr>
              <w:keepLines/>
              <w:rPr>
                <w:b/>
                <w:bCs/>
                <w:color w:val="FFFFFF" w:themeColor="background1"/>
                <w:sz w:val="20"/>
                <w:szCs w:val="20"/>
              </w:rPr>
            </w:pPr>
            <w:r w:rsidRPr="003807B2">
              <w:rPr>
                <w:b/>
                <w:bCs/>
                <w:color w:val="FFFFFF" w:themeColor="background1"/>
                <w:sz w:val="20"/>
                <w:szCs w:val="20"/>
              </w:rPr>
              <w:t>(mm Hg)</w:t>
            </w:r>
          </w:p>
        </w:tc>
        <w:tc>
          <w:tcPr>
            <w:tcW w:w="1528" w:type="dxa"/>
            <w:shd w:val="clear" w:color="auto" w:fill="156082" w:themeFill="accent1"/>
          </w:tcPr>
          <w:p w14:paraId="21B1AAB9" w14:textId="77777777" w:rsidR="00BF5A28" w:rsidRPr="003807B2" w:rsidRDefault="00BF5A28" w:rsidP="00D50098">
            <w:pPr>
              <w:keepLines/>
              <w:rPr>
                <w:b/>
                <w:bCs/>
                <w:color w:val="FFFFFF" w:themeColor="background1"/>
                <w:sz w:val="20"/>
                <w:szCs w:val="20"/>
              </w:rPr>
            </w:pPr>
            <w:r w:rsidRPr="003807B2">
              <w:rPr>
                <w:b/>
                <w:bCs/>
                <w:color w:val="FFFFFF" w:themeColor="background1"/>
                <w:sz w:val="20"/>
                <w:szCs w:val="20"/>
              </w:rPr>
              <w:t xml:space="preserve">Number of studies </w:t>
            </w:r>
          </w:p>
          <w:p w14:paraId="37EF4670" w14:textId="77777777" w:rsidR="00BF5A28" w:rsidRPr="003807B2" w:rsidRDefault="00BF5A28" w:rsidP="00D50098">
            <w:pPr>
              <w:keepLines/>
              <w:rPr>
                <w:b/>
                <w:bCs/>
                <w:color w:val="FFFFFF" w:themeColor="background1"/>
                <w:sz w:val="20"/>
                <w:szCs w:val="20"/>
              </w:rPr>
            </w:pPr>
            <w:r w:rsidRPr="003807B2">
              <w:rPr>
                <w:b/>
                <w:bCs/>
                <w:color w:val="FFFFFF" w:themeColor="background1"/>
                <w:sz w:val="20"/>
                <w:szCs w:val="20"/>
              </w:rPr>
              <w:t>(No. participants)</w:t>
            </w:r>
          </w:p>
        </w:tc>
        <w:tc>
          <w:tcPr>
            <w:tcW w:w="1529" w:type="dxa"/>
            <w:shd w:val="clear" w:color="auto" w:fill="156082" w:themeFill="accent1"/>
          </w:tcPr>
          <w:p w14:paraId="716DF83F" w14:textId="77777777" w:rsidR="00BF5A28" w:rsidRPr="003807B2" w:rsidRDefault="00BF5A28" w:rsidP="00D50098">
            <w:pPr>
              <w:keepLines/>
              <w:rPr>
                <w:b/>
                <w:bCs/>
                <w:color w:val="FFFFFF" w:themeColor="background1"/>
                <w:sz w:val="20"/>
                <w:szCs w:val="20"/>
              </w:rPr>
            </w:pPr>
            <w:r w:rsidRPr="003807B2">
              <w:rPr>
                <w:b/>
                <w:bCs/>
                <w:color w:val="FFFFFF" w:themeColor="background1"/>
                <w:sz w:val="20"/>
                <w:szCs w:val="20"/>
              </w:rPr>
              <w:t>Strength of evidence (AHRQ approach)</w:t>
            </w:r>
          </w:p>
        </w:tc>
        <w:tc>
          <w:tcPr>
            <w:tcW w:w="2337" w:type="dxa"/>
            <w:shd w:val="clear" w:color="auto" w:fill="156082" w:themeFill="accent1"/>
          </w:tcPr>
          <w:p w14:paraId="22D9869E" w14:textId="77777777" w:rsidR="00BF5A28" w:rsidRPr="003807B2" w:rsidRDefault="00BF5A28" w:rsidP="00D50098">
            <w:pPr>
              <w:keepLines/>
              <w:rPr>
                <w:b/>
                <w:bCs/>
                <w:color w:val="FFFFFF" w:themeColor="background1"/>
                <w:sz w:val="20"/>
                <w:szCs w:val="20"/>
              </w:rPr>
            </w:pPr>
            <w:r w:rsidRPr="003807B2">
              <w:rPr>
                <w:b/>
                <w:bCs/>
                <w:color w:val="FFFFFF" w:themeColor="background1"/>
                <w:sz w:val="20"/>
                <w:szCs w:val="20"/>
              </w:rPr>
              <w:t>Evidence statement</w:t>
            </w:r>
          </w:p>
        </w:tc>
      </w:tr>
      <w:tr w:rsidR="00BF5A28" w14:paraId="415D5CD0" w14:textId="77777777" w:rsidTr="00BF5A28">
        <w:trPr>
          <w:cantSplit/>
        </w:trPr>
        <w:tc>
          <w:tcPr>
            <w:tcW w:w="421" w:type="dxa"/>
            <w:tcBorders>
              <w:right w:val="nil"/>
            </w:tcBorders>
          </w:tcPr>
          <w:p w14:paraId="50F24448" w14:textId="77777777" w:rsidR="00BF5A28" w:rsidRDefault="00BF5A28"/>
        </w:tc>
        <w:tc>
          <w:tcPr>
            <w:tcW w:w="2307" w:type="dxa"/>
            <w:tcBorders>
              <w:left w:val="nil"/>
            </w:tcBorders>
          </w:tcPr>
          <w:p w14:paraId="79325E23" w14:textId="77777777" w:rsidR="00BF5A28" w:rsidRPr="003807B2" w:rsidRDefault="00BF5A28" w:rsidP="00D50098">
            <w:pPr>
              <w:keepLines/>
              <w:rPr>
                <w:sz w:val="20"/>
                <w:szCs w:val="20"/>
              </w:rPr>
            </w:pPr>
            <w:r w:rsidRPr="003807B2">
              <w:rPr>
                <w:sz w:val="20"/>
                <w:szCs w:val="20"/>
              </w:rPr>
              <w:t xml:space="preserve">SBP (all </w:t>
            </w:r>
            <w:r>
              <w:rPr>
                <w:sz w:val="20"/>
                <w:szCs w:val="20"/>
              </w:rPr>
              <w:t>children and adolescent</w:t>
            </w:r>
            <w:r w:rsidRPr="003807B2">
              <w:rPr>
                <w:sz w:val="20"/>
                <w:szCs w:val="20"/>
              </w:rPr>
              <w:t>s)</w:t>
            </w:r>
          </w:p>
        </w:tc>
        <w:tc>
          <w:tcPr>
            <w:tcW w:w="1654" w:type="dxa"/>
          </w:tcPr>
          <w:p w14:paraId="1C5258B5" w14:textId="77777777" w:rsidR="00BF5A28" w:rsidRPr="003807B2" w:rsidRDefault="00BF5A28" w:rsidP="00D50098">
            <w:pPr>
              <w:keepLines/>
              <w:rPr>
                <w:sz w:val="20"/>
                <w:szCs w:val="20"/>
              </w:rPr>
            </w:pPr>
            <w:r w:rsidRPr="003807B2">
              <w:rPr>
                <w:sz w:val="20"/>
                <w:szCs w:val="20"/>
              </w:rPr>
              <w:t>MD -</w:t>
            </w:r>
            <w:r>
              <w:rPr>
                <w:sz w:val="20"/>
                <w:szCs w:val="20"/>
              </w:rPr>
              <w:t>0.7</w:t>
            </w:r>
            <w:r w:rsidRPr="003807B2">
              <w:rPr>
                <w:sz w:val="20"/>
                <w:szCs w:val="20"/>
              </w:rPr>
              <w:t xml:space="preserve">, 95% CI </w:t>
            </w:r>
            <w:r>
              <w:rPr>
                <w:sz w:val="20"/>
                <w:szCs w:val="20"/>
              </w:rPr>
              <w:t>-1.8, 0</w:t>
            </w:r>
            <w:r w:rsidRPr="003807B2">
              <w:rPr>
                <w:sz w:val="20"/>
                <w:szCs w:val="20"/>
              </w:rPr>
              <w:t>.4</w:t>
            </w:r>
          </w:p>
        </w:tc>
        <w:tc>
          <w:tcPr>
            <w:tcW w:w="1528" w:type="dxa"/>
          </w:tcPr>
          <w:p w14:paraId="1E21D220" w14:textId="77777777" w:rsidR="00BF5A28" w:rsidRPr="003807B2" w:rsidRDefault="00BF5A28" w:rsidP="00D50098">
            <w:pPr>
              <w:keepLines/>
              <w:rPr>
                <w:sz w:val="20"/>
                <w:szCs w:val="20"/>
              </w:rPr>
            </w:pPr>
            <w:r>
              <w:rPr>
                <w:sz w:val="20"/>
                <w:szCs w:val="20"/>
              </w:rPr>
              <w:t>8</w:t>
            </w:r>
            <w:r w:rsidRPr="003807B2">
              <w:rPr>
                <w:sz w:val="20"/>
                <w:szCs w:val="20"/>
              </w:rPr>
              <w:t xml:space="preserve"> RCTs; </w:t>
            </w:r>
            <w:r>
              <w:rPr>
                <w:sz w:val="20"/>
                <w:szCs w:val="20"/>
              </w:rPr>
              <w:t>11</w:t>
            </w:r>
            <w:r w:rsidRPr="003807B2">
              <w:rPr>
                <w:sz w:val="20"/>
                <w:szCs w:val="20"/>
              </w:rPr>
              <w:t xml:space="preserve"> comparisons</w:t>
            </w:r>
          </w:p>
          <w:p w14:paraId="1286DC36" w14:textId="77777777" w:rsidR="00BF5A28" w:rsidRPr="003807B2" w:rsidRDefault="00BF5A28" w:rsidP="00D50098">
            <w:pPr>
              <w:keepLines/>
              <w:rPr>
                <w:sz w:val="20"/>
                <w:szCs w:val="20"/>
              </w:rPr>
            </w:pPr>
            <w:r w:rsidRPr="003807B2">
              <w:rPr>
                <w:sz w:val="20"/>
                <w:szCs w:val="20"/>
              </w:rPr>
              <w:t>(N= NR)</w:t>
            </w:r>
          </w:p>
        </w:tc>
        <w:tc>
          <w:tcPr>
            <w:tcW w:w="1529" w:type="dxa"/>
          </w:tcPr>
          <w:p w14:paraId="5ABABB23" w14:textId="77777777" w:rsidR="00BF5A28" w:rsidRPr="003807B2" w:rsidRDefault="00BF5A28" w:rsidP="00D50098">
            <w:pPr>
              <w:keepLines/>
              <w:rPr>
                <w:sz w:val="20"/>
                <w:szCs w:val="20"/>
              </w:rPr>
            </w:pPr>
            <w:r>
              <w:rPr>
                <w:sz w:val="20"/>
                <w:szCs w:val="20"/>
              </w:rPr>
              <w:t>Low</w:t>
            </w:r>
            <w:r w:rsidRPr="003807B2">
              <w:rPr>
                <w:sz w:val="20"/>
                <w:szCs w:val="20"/>
                <w:vertAlign w:val="superscript"/>
              </w:rPr>
              <w:t>a</w:t>
            </w:r>
          </w:p>
        </w:tc>
        <w:tc>
          <w:tcPr>
            <w:tcW w:w="2337" w:type="dxa"/>
          </w:tcPr>
          <w:p w14:paraId="48AA1E68" w14:textId="0DBAC8CA" w:rsidR="00BF5A28" w:rsidRPr="003807B2" w:rsidRDefault="00BF5A28" w:rsidP="00D50098">
            <w:pPr>
              <w:keepLines/>
              <w:rPr>
                <w:sz w:val="20"/>
                <w:szCs w:val="20"/>
              </w:rPr>
            </w:pPr>
            <w:r w:rsidRPr="000F7A9B">
              <w:rPr>
                <w:sz w:val="20"/>
                <w:szCs w:val="20"/>
              </w:rPr>
              <w:t>Low strength of evidence for a lack of beneficial effect of sodium reduction on systolic BP in children</w:t>
            </w:r>
            <w:r w:rsidR="00B74E24">
              <w:rPr>
                <w:rStyle w:val="FootnoteReference"/>
                <w:sz w:val="20"/>
                <w:szCs w:val="20"/>
              </w:rPr>
              <w:footnoteReference w:id="4"/>
            </w:r>
          </w:p>
        </w:tc>
      </w:tr>
    </w:tbl>
    <w:p w14:paraId="109B093B" w14:textId="77777777" w:rsidR="00D67399" w:rsidRPr="00D67399" w:rsidRDefault="00D67399" w:rsidP="00D67399">
      <w:pPr>
        <w:spacing w:after="0"/>
        <w:rPr>
          <w:sz w:val="4"/>
          <w:szCs w:val="4"/>
        </w:rPr>
      </w:pPr>
    </w:p>
    <w:tbl>
      <w:tblPr>
        <w:tblStyle w:val="TableGrid"/>
        <w:tblW w:w="9776" w:type="dxa"/>
        <w:tblInd w:w="-382" w:type="dxa"/>
        <w:tblLook w:val="04A0" w:firstRow="1" w:lastRow="0" w:firstColumn="1" w:lastColumn="0" w:noHBand="0" w:noVBand="1"/>
      </w:tblPr>
      <w:tblGrid>
        <w:gridCol w:w="9776"/>
      </w:tblGrid>
      <w:tr w:rsidR="00BF5A28" w14:paraId="3AE4A3C0" w14:textId="77777777" w:rsidTr="00BF5A28">
        <w:trPr>
          <w:cantSplit/>
        </w:trPr>
        <w:tc>
          <w:tcPr>
            <w:tcW w:w="9776" w:type="dxa"/>
            <w:shd w:val="clear" w:color="auto" w:fill="C1E4F5" w:themeFill="accent1" w:themeFillTint="33"/>
          </w:tcPr>
          <w:p w14:paraId="35BE7A05" w14:textId="77777777" w:rsidR="00BF5A28" w:rsidRPr="00C9584E" w:rsidRDefault="00BF5A28">
            <w:pPr>
              <w:rPr>
                <w:sz w:val="20"/>
                <w:szCs w:val="20"/>
              </w:rPr>
            </w:pPr>
            <w:r w:rsidRPr="00C9584E">
              <w:rPr>
                <w:sz w:val="20"/>
                <w:szCs w:val="20"/>
              </w:rPr>
              <w:t xml:space="preserve">* </w:t>
            </w:r>
            <w:r>
              <w:rPr>
                <w:b/>
                <w:bCs/>
                <w:sz w:val="20"/>
                <w:szCs w:val="20"/>
                <w:u w:val="single"/>
              </w:rPr>
              <w:t>Strength of evidence levels (AHRQ)</w:t>
            </w:r>
          </w:p>
          <w:p w14:paraId="675BDF37" w14:textId="77777777" w:rsidR="00BF5A28" w:rsidRPr="008A5D8D" w:rsidRDefault="00BF5A28">
            <w:pPr>
              <w:rPr>
                <w:sz w:val="20"/>
                <w:szCs w:val="20"/>
              </w:rPr>
            </w:pPr>
            <w:r w:rsidRPr="00C9584E">
              <w:rPr>
                <w:b/>
                <w:bCs/>
                <w:sz w:val="20"/>
                <w:szCs w:val="20"/>
              </w:rPr>
              <w:t>High</w:t>
            </w:r>
            <w:r>
              <w:rPr>
                <w:b/>
                <w:bCs/>
                <w:sz w:val="20"/>
                <w:szCs w:val="20"/>
              </w:rPr>
              <w:t xml:space="preserve"> strength </w:t>
            </w:r>
            <w:r w:rsidRPr="008A5D8D">
              <w:rPr>
                <w:b/>
                <w:bCs/>
                <w:sz w:val="20"/>
                <w:szCs w:val="20"/>
              </w:rPr>
              <w:t xml:space="preserve">of evidence: </w:t>
            </w:r>
            <w:r w:rsidRPr="008A5D8D">
              <w:rPr>
                <w:sz w:val="20"/>
                <w:szCs w:val="20"/>
              </w:rPr>
              <w:t>We are very confident that the estimate of effect lies close to the true effect for this outcome. The body of evidence has few or no deficiencies. We believe that the findings are stable, i.e., another study would not change the conclusions.</w:t>
            </w:r>
          </w:p>
          <w:p w14:paraId="4A8F332C" w14:textId="77777777" w:rsidR="00BF5A28" w:rsidRPr="008A5D8D" w:rsidRDefault="00BF5A28">
            <w:pPr>
              <w:rPr>
                <w:sz w:val="20"/>
                <w:szCs w:val="20"/>
              </w:rPr>
            </w:pPr>
            <w:r w:rsidRPr="008A5D8D">
              <w:rPr>
                <w:b/>
                <w:bCs/>
                <w:sz w:val="20"/>
                <w:szCs w:val="20"/>
              </w:rPr>
              <w:t>Moderate strength of evidence:</w:t>
            </w:r>
            <w:r w:rsidRPr="008A5D8D">
              <w:rPr>
                <w:sz w:val="20"/>
                <w:szCs w:val="20"/>
              </w:rPr>
              <w:t xml:space="preserve"> We are moderately confident that the estimate of effect lies close to the true effect for this outcome. The body of evidence has some deficiencies. We believe that the findings are likely to be stable, but some doubt remains</w:t>
            </w:r>
          </w:p>
          <w:p w14:paraId="72AAF1ED" w14:textId="77777777" w:rsidR="00BF5A28" w:rsidRPr="008A5D8D" w:rsidRDefault="00BF5A28">
            <w:pPr>
              <w:rPr>
                <w:sz w:val="20"/>
                <w:szCs w:val="20"/>
              </w:rPr>
            </w:pPr>
            <w:r w:rsidRPr="008A5D8D">
              <w:rPr>
                <w:b/>
                <w:bCs/>
                <w:sz w:val="20"/>
                <w:szCs w:val="20"/>
              </w:rPr>
              <w:t>Low certainty:</w:t>
            </w:r>
            <w:r w:rsidRPr="008A5D8D">
              <w:rPr>
                <w:sz w:val="20"/>
                <w:szCs w:val="20"/>
              </w:rPr>
              <w:t xml:space="preserve"> We have limited confidence that the estimate of effect lies close to the true effect for this outcome. The body of evidence has major or numerous deficiencies (or both). We believe that additional evidence is needed before concluding either that the findings are stable or that the estimate of effect is close to the true effect</w:t>
            </w:r>
          </w:p>
          <w:p w14:paraId="23101439" w14:textId="77777777" w:rsidR="00BF5A28" w:rsidRPr="00C9584E" w:rsidRDefault="00BF5A28">
            <w:r w:rsidRPr="008A5D8D">
              <w:rPr>
                <w:b/>
                <w:bCs/>
                <w:sz w:val="20"/>
                <w:szCs w:val="20"/>
              </w:rPr>
              <w:t>Insufficient:</w:t>
            </w:r>
            <w:r w:rsidRPr="008A5D8D">
              <w:rPr>
                <w:sz w:val="20"/>
                <w:szCs w:val="20"/>
              </w:rPr>
              <w:t xml:space="preserve"> We have no evidence, we are unable to estimate an effect, or we have no confidence in the estimate of effect for this outcome. No evidence is available or the body of evidence has unacceptable deficiencies, precluding reaching a conclusion</w:t>
            </w:r>
          </w:p>
        </w:tc>
      </w:tr>
    </w:tbl>
    <w:p w14:paraId="706ADCCE" w14:textId="77777777" w:rsidR="00BF5A28" w:rsidRPr="008A5D8D" w:rsidRDefault="00BF5A28" w:rsidP="00BF5A28">
      <w:pPr>
        <w:spacing w:after="0"/>
        <w:rPr>
          <w:sz w:val="20"/>
          <w:szCs w:val="20"/>
        </w:rPr>
      </w:pPr>
      <w:r w:rsidRPr="00C52CFA">
        <w:rPr>
          <w:sz w:val="20"/>
          <w:szCs w:val="20"/>
          <w:vertAlign w:val="superscript"/>
        </w:rPr>
        <w:t>a</w:t>
      </w:r>
      <w:r w:rsidRPr="008A5D8D">
        <w:rPr>
          <w:sz w:val="20"/>
          <w:szCs w:val="20"/>
        </w:rPr>
        <w:t xml:space="preserve"> -</w:t>
      </w:r>
      <w:r>
        <w:rPr>
          <w:sz w:val="20"/>
          <w:szCs w:val="20"/>
        </w:rPr>
        <w:t>2</w:t>
      </w:r>
      <w:r w:rsidRPr="008A5D8D">
        <w:rPr>
          <w:sz w:val="20"/>
          <w:szCs w:val="20"/>
        </w:rPr>
        <w:t xml:space="preserve"> for inconsistency</w:t>
      </w:r>
    </w:p>
    <w:p w14:paraId="02ECAFDF" w14:textId="77777777" w:rsidR="00BF5A28" w:rsidRPr="007E42EA" w:rsidRDefault="00BF5A28" w:rsidP="002C413E"/>
    <w:p w14:paraId="6E121914" w14:textId="5FE0A004" w:rsidR="00B30D70" w:rsidRPr="007E42EA" w:rsidRDefault="00B30D70" w:rsidP="00E532F6">
      <w:pPr>
        <w:pStyle w:val="Heading3"/>
        <w:spacing w:line="240" w:lineRule="auto"/>
      </w:pPr>
      <w:bookmarkStart w:id="65" w:name="_Toc234960851"/>
      <w:r w:rsidRPr="007E42EA">
        <w:t xml:space="preserve">Other </w:t>
      </w:r>
      <w:r w:rsidR="00F512A4">
        <w:t xml:space="preserve">cardiovascular </w:t>
      </w:r>
      <w:r w:rsidRPr="007E42EA">
        <w:t>outcomes</w:t>
      </w:r>
      <w:bookmarkEnd w:id="65"/>
    </w:p>
    <w:p w14:paraId="79B00D42" w14:textId="77777777" w:rsidR="00CA230D" w:rsidRPr="007E42EA" w:rsidRDefault="00CA230D" w:rsidP="00CA230D">
      <w:pPr>
        <w:pStyle w:val="Heading4"/>
      </w:pPr>
      <w:r>
        <w:t>Adults</w:t>
      </w:r>
    </w:p>
    <w:p w14:paraId="71F99F33" w14:textId="77777777" w:rsidR="00CA230D" w:rsidRPr="007E42EA" w:rsidRDefault="00CA230D" w:rsidP="00CA230D">
      <w:pPr>
        <w:pStyle w:val="Heading5"/>
      </w:pPr>
      <w:r>
        <w:t>Evidence underpinning international recommendations</w:t>
      </w:r>
    </w:p>
    <w:p w14:paraId="648B2411" w14:textId="4C1CDC1E" w:rsidR="00F75486" w:rsidRDefault="00151D3E" w:rsidP="005D41BE">
      <w:pPr>
        <w:spacing w:line="276" w:lineRule="auto"/>
      </w:pPr>
      <w:r>
        <w:t xml:space="preserve">The </w:t>
      </w:r>
      <w:r w:rsidR="00B56B2D">
        <w:t xml:space="preserve">EFSA (2019) </w:t>
      </w:r>
      <w:r w:rsidR="002A3B9D">
        <w:t xml:space="preserve">review </w:t>
      </w:r>
      <w:r w:rsidR="00B56B2D">
        <w:t>examined other cardiovascular outcomes including hypertension</w:t>
      </w:r>
      <w:r w:rsidR="00F56354">
        <w:t xml:space="preserve"> and </w:t>
      </w:r>
      <w:r w:rsidR="00B56B2D">
        <w:t>cardiovascular disease</w:t>
      </w:r>
      <w:r w:rsidR="00765E13">
        <w:t xml:space="preserve"> (</w:t>
      </w:r>
      <w:r w:rsidR="00C35FB4">
        <w:t>a</w:t>
      </w:r>
      <w:r w:rsidR="00E0515C">
        <w:t>ll</w:t>
      </w:r>
      <w:r w:rsidR="00C35FB4">
        <w:t xml:space="preserve">, </w:t>
      </w:r>
      <w:r w:rsidR="00765E13">
        <w:t>stroke</w:t>
      </w:r>
      <w:r w:rsidR="00C35FB4">
        <w:t xml:space="preserve">, or </w:t>
      </w:r>
      <w:r w:rsidR="00765E13">
        <w:t>coronary heart disease)</w:t>
      </w:r>
      <w:r w:rsidR="00F56354">
        <w:t>.</w:t>
      </w:r>
      <w:r w:rsidR="00765E13">
        <w:t xml:space="preserve"> </w:t>
      </w:r>
      <w:r w:rsidR="00EA6240">
        <w:t xml:space="preserve">Four studies (2 RCTs </w:t>
      </w:r>
      <w:r w:rsidR="00F40029">
        <w:t xml:space="preserve">at low risk of bias </w:t>
      </w:r>
      <w:r w:rsidR="00EA6240">
        <w:t>and 2 prospective observational studies</w:t>
      </w:r>
      <w:r w:rsidR="00F40029">
        <w:t xml:space="preserve"> at low and moderate risk of bias</w:t>
      </w:r>
      <w:r w:rsidR="00EA6240">
        <w:t>) were identified that examined the relationship between urinary sodium and hypertension risk. EFSA (2019) concluded that these studies provided supportive evidence for the positive relationship between urinary sodium and blood pressure.</w:t>
      </w:r>
    </w:p>
    <w:p w14:paraId="52B412BB" w14:textId="24FD6D5A" w:rsidR="002A3B9D" w:rsidRDefault="001C01AF" w:rsidP="005D41BE">
      <w:pPr>
        <w:spacing w:line="276" w:lineRule="auto"/>
      </w:pPr>
      <w:r>
        <w:t xml:space="preserve">Overall, EFSA (2019) </w:t>
      </w:r>
      <w:r w:rsidR="0085723B">
        <w:t>identified t</w:t>
      </w:r>
      <w:r w:rsidR="0049577D">
        <w:t xml:space="preserve">hree cohorts </w:t>
      </w:r>
      <w:r w:rsidR="00DA0E69">
        <w:t xml:space="preserve">respectively </w:t>
      </w:r>
      <w:r w:rsidR="0085723B">
        <w:t xml:space="preserve">that </w:t>
      </w:r>
      <w:r w:rsidR="0049577D">
        <w:t>examined the relationship between urinary sodium and risk of cardiovascular disease</w:t>
      </w:r>
      <w:r w:rsidR="00DA0E69">
        <w:t xml:space="preserve"> (EPOGH/FELEMENGHO, </w:t>
      </w:r>
      <w:proofErr w:type="spellStart"/>
      <w:r w:rsidR="00DA0E69">
        <w:t>InCHIANTI</w:t>
      </w:r>
      <w:proofErr w:type="spellEnd"/>
      <w:r w:rsidR="00DA0E69">
        <w:t xml:space="preserve"> and TOPHI/II cohorts) and risk of stroke</w:t>
      </w:r>
      <w:r w:rsidR="000E1A03">
        <w:t xml:space="preserve"> or coronary heart disease (PREVEND, EPOGH/FLEMENGHO and Finnish cohorts). </w:t>
      </w:r>
      <w:r>
        <w:t xml:space="preserve">The Panel considered that limited conclusions </w:t>
      </w:r>
      <w:r w:rsidR="00AD3889">
        <w:lastRenderedPageBreak/>
        <w:t>could be drawn from the available evidenc</w:t>
      </w:r>
      <w:r w:rsidR="00653F67">
        <w:t>e, with interpretation constrained by the small number of studies and mechanistic uncertainties about the relationship between sodium intake and cardiovascular disease risk. However, the Panel considered the studies provide some evidence for</w:t>
      </w:r>
      <w:r w:rsidR="00AD3889">
        <w:t>:</w:t>
      </w:r>
    </w:p>
    <w:p w14:paraId="774AB152" w14:textId="65C11FB4" w:rsidR="00AD3889" w:rsidRDefault="00AD3889" w:rsidP="005411B7">
      <w:pPr>
        <w:pStyle w:val="ListParagraph"/>
        <w:numPr>
          <w:ilvl w:val="0"/>
          <w:numId w:val="1"/>
        </w:numPr>
        <w:spacing w:line="276" w:lineRule="auto"/>
      </w:pPr>
      <w:r>
        <w:t>a positive association between urinary sodium and coronary heart disease risk</w:t>
      </w:r>
      <w:r w:rsidR="00653F67">
        <w:t xml:space="preserve">, </w:t>
      </w:r>
      <w:r w:rsidR="00D31558">
        <w:t>supported by the positive relationship between urinary sodium and elevated blood pressure; an independent risk factor for coronary heart disease</w:t>
      </w:r>
    </w:p>
    <w:p w14:paraId="127C2219" w14:textId="6ECBA538" w:rsidR="00D31558" w:rsidRDefault="00D31558" w:rsidP="005411B7">
      <w:pPr>
        <w:pStyle w:val="ListParagraph"/>
        <w:numPr>
          <w:ilvl w:val="0"/>
          <w:numId w:val="1"/>
        </w:numPr>
        <w:spacing w:line="276" w:lineRule="auto"/>
      </w:pPr>
      <w:r>
        <w:t>an inverse association between urinary sodium and stroke risk</w:t>
      </w:r>
      <w:r w:rsidR="00653F67">
        <w:t xml:space="preserve"> (</w:t>
      </w:r>
      <w:r>
        <w:t xml:space="preserve">although </w:t>
      </w:r>
      <w:r w:rsidR="003F116F">
        <w:t>the mechanism of effect is unclear particularly in the context of the relationship between urinary sodium and elevated blood pressure, an established risk factor for stroke</w:t>
      </w:r>
      <w:r w:rsidR="0055195B">
        <w:t>)</w:t>
      </w:r>
    </w:p>
    <w:p w14:paraId="0298EF52" w14:textId="073C826B" w:rsidR="003F116F" w:rsidRDefault="003F116F" w:rsidP="005411B7">
      <w:pPr>
        <w:pStyle w:val="ListParagraph"/>
        <w:numPr>
          <w:ilvl w:val="0"/>
          <w:numId w:val="1"/>
        </w:numPr>
        <w:spacing w:line="276" w:lineRule="auto"/>
      </w:pPr>
      <w:r>
        <w:t xml:space="preserve">a positive </w:t>
      </w:r>
      <w:r w:rsidR="0055195B">
        <w:t xml:space="preserve">association </w:t>
      </w:r>
      <w:r>
        <w:t>bet</w:t>
      </w:r>
      <w:r w:rsidR="0055195B">
        <w:t>w</w:t>
      </w:r>
      <w:r>
        <w:t>een urinary sodium and cardiovascular disease risk</w:t>
      </w:r>
      <w:r w:rsidR="00CF3725">
        <w:t>, noting that compositive CVD outcomes include a range of conditions that may not be consistently affected by sodium intake.</w:t>
      </w:r>
    </w:p>
    <w:p w14:paraId="14830F55" w14:textId="5F7F7C03" w:rsidR="00C22076" w:rsidRDefault="0040046D" w:rsidP="005D41BE">
      <w:pPr>
        <w:spacing w:line="276" w:lineRule="auto"/>
      </w:pPr>
      <w:r>
        <w:t>The AHRQ (201</w:t>
      </w:r>
      <w:r w:rsidR="00263375">
        <w:t>8</w:t>
      </w:r>
      <w:r>
        <w:t xml:space="preserve">) evidence evaluation considered a broad range of cardiovascular outcomes. </w:t>
      </w:r>
      <w:r w:rsidR="00F06992">
        <w:t xml:space="preserve">Overall, the review </w:t>
      </w:r>
      <w:r w:rsidR="00AC623C">
        <w:t xml:space="preserve">found low certainty evidence </w:t>
      </w:r>
      <w:r w:rsidR="00A4448F">
        <w:t xml:space="preserve">from RCTs </w:t>
      </w:r>
      <w:r w:rsidR="00AC623C">
        <w:t xml:space="preserve">that </w:t>
      </w:r>
      <w:r w:rsidR="00C6442A">
        <w:t xml:space="preserve">reductions in sodium </w:t>
      </w:r>
      <w:r w:rsidR="007F7325">
        <w:t xml:space="preserve">may </w:t>
      </w:r>
      <w:r w:rsidR="00D95D1C">
        <w:t>decrease combined CVD morbidity and mortality risk (</w:t>
      </w:r>
      <w:r w:rsidR="002F4E56" w:rsidRPr="002F4E56">
        <w:t>RR 0.81, 95% CI 0.67</w:t>
      </w:r>
      <w:r w:rsidR="002F4E56">
        <w:t xml:space="preserve"> to</w:t>
      </w:r>
      <w:r w:rsidR="002F4E56" w:rsidRPr="002F4E56">
        <w:t xml:space="preserve"> 0.98</w:t>
      </w:r>
      <w:r w:rsidR="002F4E56">
        <w:t>;</w:t>
      </w:r>
      <w:r w:rsidR="002F4E56" w:rsidRPr="002F4E56">
        <w:t xml:space="preserve"> </w:t>
      </w:r>
      <w:r w:rsidR="00D95D1C">
        <w:t xml:space="preserve">8 RCTs) </w:t>
      </w:r>
      <w:r w:rsidR="007F7325">
        <w:t>and risk of any CVD outcome based on author-defined composite measures</w:t>
      </w:r>
      <w:r w:rsidR="005330BF">
        <w:t xml:space="preserve"> (</w:t>
      </w:r>
      <w:r w:rsidR="005330BF" w:rsidRPr="005330BF">
        <w:t>RR 0.80, 95% CI 0.67</w:t>
      </w:r>
      <w:r w:rsidR="005330BF">
        <w:t xml:space="preserve"> to</w:t>
      </w:r>
      <w:r w:rsidR="005330BF" w:rsidRPr="005330BF">
        <w:t xml:space="preserve"> 0.96, I</w:t>
      </w:r>
      <w:r w:rsidR="005330BF" w:rsidRPr="005330BF">
        <w:rPr>
          <w:vertAlign w:val="superscript"/>
        </w:rPr>
        <w:t>2</w:t>
      </w:r>
      <w:r w:rsidR="005330BF">
        <w:t>=</w:t>
      </w:r>
      <w:r w:rsidR="005330BF" w:rsidRPr="005330BF">
        <w:t xml:space="preserve">0%; </w:t>
      </w:r>
      <w:r w:rsidR="005330BF">
        <w:t xml:space="preserve">7 RCTs in </w:t>
      </w:r>
      <w:r w:rsidR="005330BF" w:rsidRPr="005330BF">
        <w:t xml:space="preserve">4,328 </w:t>
      </w:r>
      <w:r w:rsidR="002F4E56">
        <w:t>participants</w:t>
      </w:r>
      <w:r w:rsidR="007F7325">
        <w:t xml:space="preserve">) </w:t>
      </w:r>
      <w:r w:rsidR="00572A50">
        <w:t xml:space="preserve">but may not affect </w:t>
      </w:r>
      <w:r w:rsidR="00C6442A">
        <w:t>blood lipids</w:t>
      </w:r>
      <w:r w:rsidR="00572A50">
        <w:t xml:space="preserve"> (3 RCTs)</w:t>
      </w:r>
      <w:r w:rsidR="007F7325">
        <w:t xml:space="preserve"> or</w:t>
      </w:r>
      <w:r w:rsidR="00572A50">
        <w:t xml:space="preserve"> stroke risk (3 RCTs)</w:t>
      </w:r>
      <w:r w:rsidR="00A4448F">
        <w:t xml:space="preserve">. There was </w:t>
      </w:r>
      <w:r w:rsidR="00F06992">
        <w:t xml:space="preserve">insufficient evidence </w:t>
      </w:r>
      <w:r w:rsidR="00A4448F">
        <w:t xml:space="preserve">from RCTs </w:t>
      </w:r>
      <w:r w:rsidR="00F06992">
        <w:t xml:space="preserve">about the effect of sodium reduction on </w:t>
      </w:r>
      <w:r w:rsidR="00D51BC8">
        <w:t>all-cause mortality (</w:t>
      </w:r>
      <w:r w:rsidR="000F2201">
        <w:t>7 RCTs</w:t>
      </w:r>
      <w:r w:rsidR="00D51BC8">
        <w:t>) or CVD mortality (2 RCTs)</w:t>
      </w:r>
      <w:r w:rsidR="0067639B">
        <w:t>, or risk of hypertension (3 RCTs)</w:t>
      </w:r>
      <w:r w:rsidR="00D95D1C">
        <w:t xml:space="preserve"> or </w:t>
      </w:r>
      <w:r w:rsidR="0067639B">
        <w:t>myocardial infarction (1 RCT)</w:t>
      </w:r>
      <w:r w:rsidR="00D95D1C">
        <w:t>.</w:t>
      </w:r>
    </w:p>
    <w:p w14:paraId="0A80E5A4" w14:textId="251F04B1" w:rsidR="0040046D" w:rsidRDefault="00C22076" w:rsidP="005D41BE">
      <w:pPr>
        <w:spacing w:line="276" w:lineRule="auto"/>
      </w:pPr>
      <w:r>
        <w:t>P</w:t>
      </w:r>
      <w:r w:rsidR="0085636B">
        <w:t xml:space="preserve">rospective studies provided </w:t>
      </w:r>
      <w:r w:rsidR="00E355E1">
        <w:t xml:space="preserve">low certainty evidence </w:t>
      </w:r>
      <w:r w:rsidR="0085636B">
        <w:t>of an association between increasing sodium intake and hypertension risk</w:t>
      </w:r>
      <w:r>
        <w:t xml:space="preserve"> (5 studies)</w:t>
      </w:r>
      <w:r w:rsidR="0085636B">
        <w:t>.</w:t>
      </w:r>
      <w:r w:rsidR="00284996">
        <w:t xml:space="preserve"> Low certainty evidence for a relationship between sodium exposure and all-cause mortality was also identified, although there was insufficient evidence to characterise the shape of the relationship.</w:t>
      </w:r>
      <w:r w:rsidR="00764E7A">
        <w:t xml:space="preserve"> There was insufficient evidence </w:t>
      </w:r>
      <w:r w:rsidR="008A5580">
        <w:t xml:space="preserve">from observational studies </w:t>
      </w:r>
      <w:r w:rsidR="00764E7A">
        <w:t xml:space="preserve">to support conclusions about the relationship between sodium exposure and </w:t>
      </w:r>
      <w:r w:rsidR="00E0573A">
        <w:t>other cardiovascular disease outcomes including CVD or CHD risk, and stroke morbidity or mortality.</w:t>
      </w:r>
    </w:p>
    <w:p w14:paraId="5CED3247" w14:textId="77777777" w:rsidR="00A164F8" w:rsidRDefault="00A164F8" w:rsidP="00A164F8">
      <w:pPr>
        <w:pStyle w:val="Heading5"/>
      </w:pPr>
      <w:r w:rsidRPr="007E42EA">
        <w:t>Supplementary evidence</w:t>
      </w:r>
    </w:p>
    <w:p w14:paraId="2DDD58BD" w14:textId="4514D805" w:rsidR="001305AD" w:rsidRDefault="0040265E" w:rsidP="005D41BE">
      <w:pPr>
        <w:spacing w:line="276" w:lineRule="auto"/>
      </w:pPr>
      <w:r>
        <w:t xml:space="preserve">Four </w:t>
      </w:r>
      <w:r w:rsidR="0090467D">
        <w:t>supplementary</w:t>
      </w:r>
      <w:r>
        <w:t xml:space="preserve"> </w:t>
      </w:r>
      <w:r w:rsidR="001305AD">
        <w:t xml:space="preserve">systematic reviews were identified that examined </w:t>
      </w:r>
      <w:r w:rsidR="00B07357">
        <w:t>the relationship between sodium intake and other cardiovascular outcomes including hypertension</w:t>
      </w:r>
      <w:r w:rsidR="003C30EE">
        <w:t xml:space="preserve"> </w:t>
      </w:r>
      <w:r w:rsidR="003C30EE">
        <w:fldChar w:fldCharType="begin">
          <w:fldData xml:space="preserve">PEVuZE5vdGU+PENpdGU+PEF1dGhvcj5GaWxpcHBpbmk8L0F1dGhvcj48WWVhcj4yMDIyPC9ZZWFy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</w:fldData>
        </w:fldChar>
      </w:r>
      <w:r w:rsidR="003C30EE">
        <w:instrText xml:space="preserve"> ADDIN EN.CITE </w:instrText>
      </w:r>
      <w:r w:rsidR="003C30EE">
        <w:fldChar w:fldCharType="begin">
          <w:fldData xml:space="preserve">PEVuZE5vdGU+PENpdGU+PEF1dGhvcj5GaWxpcHBpbmk8L0F1dGhvcj48WWVhcj4yMDIyPC9ZZWFy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</w:fldData>
        </w:fldChar>
      </w:r>
      <w:r w:rsidR="003C30EE">
        <w:instrText xml:space="preserve"> ADDIN EN.CITE.DATA </w:instrText>
      </w:r>
      <w:r w:rsidR="003C30EE">
        <w:fldChar w:fldCharType="end"/>
      </w:r>
      <w:r w:rsidR="003C30EE">
        <w:fldChar w:fldCharType="separate"/>
      </w:r>
      <w:r w:rsidR="003C30EE">
        <w:rPr>
          <w:noProof/>
        </w:rPr>
        <w:t>(Filippini et al., 2022)</w:t>
      </w:r>
      <w:r w:rsidR="003C30EE">
        <w:fldChar w:fldCharType="end"/>
      </w:r>
      <w:r w:rsidR="003C30EE">
        <w:t xml:space="preserve">, </w:t>
      </w:r>
      <w:r w:rsidR="00B07357">
        <w:t>cardiovascular disease risk</w:t>
      </w:r>
      <w:r w:rsidR="003C30EE">
        <w:t xml:space="preserve"> </w:t>
      </w:r>
      <w:r w:rsidR="003C30EE">
        <w:fldChar w:fldCharType="begin"/>
      </w:r>
      <w:r w:rsidR="003C30EE">
        <w:instrText xml:space="preserve"> ADDIN EN.CITE &lt;EndNote&gt;&lt;Cite&gt;&lt;Author&gt;Zhao&lt;/Author&gt;&lt;Year&gt;2022&lt;/Year&gt;&lt;RecNum&gt;17&lt;/RecNum&gt;&lt;DisplayText&gt;(Zhao et al., 2022)&lt;/DisplayText&gt;&lt;record&gt;&lt;rec-number&gt;17&lt;/rec-number&gt;&lt;foreign-keys&gt;&lt;key app="EN" db-id="wwsdv2wwp29fenerv0kx5tw9zxtx2fdrprx2" timestamp="1762740335"&gt;17&lt;/key&gt;&lt;/foreign-keys&gt;&lt;ref-type name="Journal Article"&gt;17&lt;/ref-type&gt;&lt;contributors&gt;&lt;authors&gt;&lt;author&gt;Zhao, D.&lt;/author&gt;&lt;author&gt;Li, H. M.&lt;/author&gt;&lt;author&gt;Li, C. X.&lt;/author&gt;&lt;author&gt;Zhou, B.&lt;/author&gt;&lt;/authors&gt;&lt;/contributors&gt;&lt;auth-address&gt;Department of Clinical Epidemiology and Evidence-Based Medicine, The First Hospital of China Medical University, Shenyang 110000, Liaoning, China;School of Public Health, China Medical University, Shenyang 110000, Liaoning, China.&lt;/auth-address&gt;&lt;titles&gt;&lt;title&gt;24-Hour Urinary Sodium Excretion Association with Cardiovascular Events: A Systematic Review and Dose-Response Meta-Analysis&lt;/title&gt;&lt;secondary-title&gt;Biomed Environ Sci&lt;/secondary-title&gt;&lt;/titles&gt;&lt;periodical&gt;&lt;full-title&gt;Biomed Environ Sci&lt;/full-title&gt;&lt;/periodical&gt;&lt;pages&gt;921-930&lt;/pages&gt;&lt;volume&gt;35&lt;/volume&gt;&lt;number&gt;10&lt;/number&gt;&lt;keywords&gt;&lt;keyword&gt;Humans&lt;/keyword&gt;&lt;keyword&gt;Urinalysis&lt;/keyword&gt;&lt;keyword&gt;Sodium Radioisotopes&lt;/keyword&gt;&lt;keyword&gt;*Cardiovascular Diseases/epidemiology&lt;/keyword&gt;&lt;keyword&gt;*Sodium, Dietary/adverse effects&lt;/keyword&gt;&lt;keyword&gt;24-h urinary sodium excretion&lt;/keyword&gt;&lt;keyword&gt;Cardiovascular events&lt;/keyword&gt;&lt;keyword&gt;Dose-response&lt;/keyword&gt;&lt;keyword&gt;Meta-analysis&lt;/keyword&gt;&lt;keyword&gt;Sodium intake&lt;/keyword&gt;&lt;/keywords&gt;&lt;dates&gt;&lt;year&gt;2022&lt;/year&gt;&lt;pub-dates&gt;&lt;date&gt;Oct 20&lt;/date&gt;&lt;/pub-dates&gt;&lt;/dates&gt;&lt;isbn&gt;0895-3988&lt;/isbn&gt;&lt;accession-num&gt;36443269&lt;/accession-num&gt;&lt;urls&gt;&lt;/urls&gt;&lt;electronic-resource-num&gt;10.3967/bes2022.119&lt;/electronic-resource-num&gt;&lt;remote-database-provider&gt;NLM&lt;/remote-database-provider&gt;&lt;language&gt;eng&lt;/language&gt;&lt;/record&gt;&lt;/Cite&gt;&lt;/EndNote&gt;</w:instrText>
      </w:r>
      <w:r w:rsidR="003C30EE">
        <w:fldChar w:fldCharType="separate"/>
      </w:r>
      <w:r w:rsidR="003C30EE">
        <w:rPr>
          <w:noProof/>
        </w:rPr>
        <w:t>(Zhao et al., 2022)</w:t>
      </w:r>
      <w:r w:rsidR="003C30EE">
        <w:fldChar w:fldCharType="end"/>
      </w:r>
      <w:r w:rsidR="00C00F26">
        <w:t>,</w:t>
      </w:r>
      <w:r w:rsidR="0029566E">
        <w:t xml:space="preserve"> </w:t>
      </w:r>
      <w:r w:rsidR="003C30EE">
        <w:t xml:space="preserve">cardiovascular mortality </w:t>
      </w:r>
      <w:r w:rsidR="003C30EE">
        <w:fldChar w:fldCharType="begin">
          <w:fldData xml:space="preserve">PEVuZE5vdGU+PENpdGU+PEF1dGhvcj5NaWxhamVyZGk8L0F1dGhvcj48WWVhcj4yMDE5PC9ZZWFy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</w:fldData>
        </w:fldChar>
      </w:r>
      <w:r w:rsidR="003C30EE">
        <w:instrText xml:space="preserve"> ADDIN EN.CITE </w:instrText>
      </w:r>
      <w:r w:rsidR="003C30EE">
        <w:fldChar w:fldCharType="begin">
          <w:fldData xml:space="preserve">PEVuZE5vdGU+PENpdGU+PEF1dGhvcj5NaWxhamVyZGk8L0F1dGhvcj48WWVhcj4yMDE5PC9ZZWFy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</w:fldData>
        </w:fldChar>
      </w:r>
      <w:r w:rsidR="003C30EE">
        <w:instrText xml:space="preserve"> ADDIN EN.CITE.DATA </w:instrText>
      </w:r>
      <w:r w:rsidR="003C30EE">
        <w:fldChar w:fldCharType="end"/>
      </w:r>
      <w:r w:rsidR="003C30EE">
        <w:fldChar w:fldCharType="separate"/>
      </w:r>
      <w:r w:rsidR="003C30EE">
        <w:rPr>
          <w:noProof/>
        </w:rPr>
        <w:t>(Milajerdi et al., 2019)</w:t>
      </w:r>
      <w:r w:rsidR="003C30EE">
        <w:fldChar w:fldCharType="end"/>
      </w:r>
      <w:r>
        <w:t xml:space="preserve">, or vascular function </w:t>
      </w:r>
      <w:r>
        <w:fldChar w:fldCharType="begin"/>
      </w:r>
      <w:r>
        <w:instrText xml:space="preserve"> ADDIN EN.CITE &lt;EndNote&gt;&lt;Cite&gt;&lt;Author&gt;Surma&lt;/Author&gt;&lt;Year&gt;2025&lt;/Year&gt;&lt;RecNum&gt;3366&lt;/RecNum&gt;&lt;DisplayText&gt;(Surma et al., 2025)&lt;/DisplayText&gt;&lt;record&gt;&lt;rec-number&gt;3366&lt;/rec-number&gt;&lt;foreign-keys&gt;&lt;key app="EN" db-id="wwsdv2wwp29fenerv0kx5tw9zxtx2fdrprx2" timestamp="1763423052"&gt;3366&lt;/key&gt;&lt;/foreign-keys&gt;&lt;ref-type name="Journal Article"&gt;17&lt;/ref-type&gt;&lt;contributors&gt;&lt;authors&gt;&lt;author&gt;Surma, S.&lt;/author&gt;&lt;author&gt;Surma, S.&lt;/author&gt;&lt;author&gt;Banach, M.&lt;/author&gt;&lt;author&gt;Pruc, M.&lt;/author&gt;&lt;author&gt;Pruc, M.&lt;/author&gt;&lt;author&gt;Szarpak, L.&lt;/author&gt;&lt;author&gt;Szarpak, L.&lt;/author&gt;&lt;author&gt;Banach, M.&lt;/author&gt;&lt;author&gt;Banach, M.&lt;/author&gt;&lt;author&gt;Banach, M.&lt;/author&gt;&lt;/authors&gt;&lt;/contributors&gt;&lt;titles&gt;&lt;title&gt;Dietary salt on vascular function: a meta-analysis&lt;/title&gt;&lt;secondary-title&gt;Arch. Med. Sci.&lt;/secondary-title&gt;&lt;/titles&gt;&lt;periodical&gt;&lt;full-title&gt;Arch. Med. Sci.&lt;/full-title&gt;&lt;/periodical&gt;&lt;pages&gt;1631-1635&lt;/pages&gt;&lt;volume&gt;21&lt;/volume&gt;&lt;number&gt;4&lt;/number&gt;&lt;dates&gt;&lt;year&gt;2025&lt;/year&gt;&lt;pub-dates&gt;&lt;date&gt;2025&lt;/date&gt;&lt;/pub-dates&gt;&lt;/dates&gt;&lt;isbn&gt;1896-9151&lt;/isbn&gt;&lt;urls&gt;&lt;related-urls&gt;&lt;url&gt;http://www.epistemonikos.org/documents/1a657e7927801c713f0a347511d67d7d39117ac7&lt;/url&gt;&lt;/related-urls&gt;&lt;/urls&gt;&lt;electronic-resource-num&gt;10.5114/aoms/209720&lt;/electronic-resource-num&gt;&lt;remote-database-name&gt;EPISTEMONIKOS&lt;/remote-database-name&gt;&lt;language&gt;English&lt;/language&gt;&lt;/record&gt;&lt;/Cite&gt;&lt;/EndNote&gt;</w:instrText>
      </w:r>
      <w:r>
        <w:fldChar w:fldCharType="separate"/>
      </w:r>
      <w:r>
        <w:rPr>
          <w:noProof/>
        </w:rPr>
        <w:t>(Surma et al., 2025)</w:t>
      </w:r>
      <w:r>
        <w:fldChar w:fldCharType="end"/>
      </w:r>
      <w:r>
        <w:t xml:space="preserve">. </w:t>
      </w:r>
      <w:r w:rsidR="002A1738">
        <w:t xml:space="preserve">One review was assessed as having serious </w:t>
      </w:r>
      <w:r w:rsidR="00BA1FC6">
        <w:t xml:space="preserve">methodological limitations and was not considered further </w:t>
      </w:r>
      <w:r w:rsidR="00BA1FC6">
        <w:fldChar w:fldCharType="begin"/>
      </w:r>
      <w:r w:rsidR="00BA1FC6">
        <w:instrText xml:space="preserve"> ADDIN EN.CITE &lt;EndNote&gt;&lt;Cite&gt;&lt;Author&gt;Surma&lt;/Author&gt;&lt;Year&gt;2025&lt;/Year&gt;&lt;RecNum&gt;3366&lt;/RecNum&gt;&lt;DisplayText&gt;(Surma et al., 2025)&lt;/DisplayText&gt;&lt;record&gt;&lt;rec-number&gt;3366&lt;/rec-number&gt;&lt;foreign-keys&gt;&lt;key app="EN" db-id="wwsdv2wwp29fenerv0kx5tw9zxtx2fdrprx2" timestamp="1763423052"&gt;3366&lt;/key&gt;&lt;/foreign-keys&gt;&lt;ref-type name="Journal Article"&gt;17&lt;/ref-type&gt;&lt;contributors&gt;&lt;authors&gt;&lt;author&gt;Surma, S.&lt;/author&gt;&lt;author&gt;Surma, S.&lt;/author&gt;&lt;author&gt;Banach, M.&lt;/author&gt;&lt;author&gt;Pruc, M.&lt;/author&gt;&lt;author&gt;Pruc, M.&lt;/author&gt;&lt;author&gt;Szarpak, L.&lt;/author&gt;&lt;author&gt;Szarpak, L.&lt;/author&gt;&lt;author&gt;Banach, M.&lt;/author&gt;&lt;author&gt;Banach, M.&lt;/author&gt;&lt;author&gt;Banach, M.&lt;/author&gt;&lt;/authors&gt;&lt;/contributors&gt;&lt;titles&gt;&lt;title&gt;Dietary salt on vascular function: a meta-analysis&lt;/title&gt;&lt;secondary-title&gt;Arch. Med. Sci.&lt;/secondary-title&gt;&lt;/titles&gt;&lt;periodical&gt;&lt;full-title&gt;Arch. Med. Sci.&lt;/full-title&gt;&lt;/periodical&gt;&lt;pages&gt;1631-1635&lt;/pages&gt;&lt;volume&gt;21&lt;/volume&gt;&lt;number&gt;4&lt;/number&gt;&lt;dates&gt;&lt;year&gt;2025&lt;/year&gt;&lt;pub-dates&gt;&lt;date&gt;2025&lt;/date&gt;&lt;/pub-dates&gt;&lt;/dates&gt;&lt;isbn&gt;1896-9151&lt;/isbn&gt;&lt;urls&gt;&lt;related-urls&gt;&lt;url&gt;http://www.epistemonikos.org/documents/1a657e7927801c713f0a347511d67d7d39117ac7&lt;/url&gt;&lt;/related-urls&gt;&lt;/urls&gt;&lt;electronic-resource-num&gt;10.5114/aoms/209720&lt;/electronic-resource-num&gt;&lt;remote-database-name&gt;EPISTEMONIKOS&lt;/remote-database-name&gt;&lt;language&gt;English&lt;/language&gt;&lt;/record&gt;&lt;/Cite&gt;&lt;/EndNote&gt;</w:instrText>
      </w:r>
      <w:r w:rsidR="00BA1FC6">
        <w:fldChar w:fldCharType="separate"/>
      </w:r>
      <w:r w:rsidR="00BA1FC6">
        <w:rPr>
          <w:noProof/>
        </w:rPr>
        <w:t>(Surma et al., 2025)</w:t>
      </w:r>
      <w:r w:rsidR="00BA1FC6">
        <w:fldChar w:fldCharType="end"/>
      </w:r>
      <w:r w:rsidR="00347D9B">
        <w:t xml:space="preserve"> – see </w:t>
      </w:r>
      <w:r w:rsidR="00347D9B">
        <w:fldChar w:fldCharType="begin"/>
      </w:r>
      <w:r w:rsidR="00347D9B">
        <w:instrText xml:space="preserve"> REF _Ref232520409 \h </w:instrText>
      </w:r>
      <w:r w:rsidR="00347D9B">
        <w:fldChar w:fldCharType="separate"/>
      </w:r>
      <w:r w:rsidR="004C4415" w:rsidRPr="005F45FC">
        <w:rPr>
          <w:b/>
          <w:bCs/>
        </w:rPr>
        <w:t xml:space="preserve">Appendix </w:t>
      </w:r>
      <w:r w:rsidR="004C4415">
        <w:rPr>
          <w:b/>
          <w:bCs/>
        </w:rPr>
        <w:t>C</w:t>
      </w:r>
      <w:r w:rsidR="004C4415" w:rsidRPr="005F45FC">
        <w:rPr>
          <w:b/>
          <w:bCs/>
        </w:rPr>
        <w:t xml:space="preserve"> </w:t>
      </w:r>
      <w:r w:rsidR="004C4415">
        <w:rPr>
          <w:b/>
          <w:bCs/>
        </w:rPr>
        <w:t>–</w:t>
      </w:r>
      <w:r w:rsidR="004C4415" w:rsidRPr="005F45FC">
        <w:rPr>
          <w:b/>
          <w:bCs/>
        </w:rPr>
        <w:t xml:space="preserve"> </w:t>
      </w:r>
      <w:r w:rsidR="004C4415">
        <w:rPr>
          <w:b/>
          <w:bCs/>
        </w:rPr>
        <w:t>Characteristics of supplementary systematic reviews</w:t>
      </w:r>
      <w:r w:rsidR="00347D9B">
        <w:fldChar w:fldCharType="end"/>
      </w:r>
      <w:r w:rsidR="00347D9B">
        <w:t xml:space="preserve"> for further details</w:t>
      </w:r>
      <w:r w:rsidR="00BA1FC6">
        <w:t xml:space="preserve">. </w:t>
      </w:r>
    </w:p>
    <w:p w14:paraId="714379E4" w14:textId="740431DD" w:rsidR="00A93672" w:rsidRDefault="00A93672" w:rsidP="005D41BE">
      <w:pPr>
        <w:spacing w:line="276" w:lineRule="auto"/>
      </w:pPr>
      <w:r>
        <w:t xml:space="preserve">One systematic review </w:t>
      </w:r>
      <w:r w:rsidR="003A0F4B">
        <w:t>examined the dose response relationship between sodium intake and risk of hypertension from cohort studies</w:t>
      </w:r>
      <w:r w:rsidR="00124934">
        <w:t xml:space="preserve"> </w:t>
      </w:r>
      <w:r w:rsidR="00124934">
        <w:fldChar w:fldCharType="begin">
          <w:fldData xml:space="preserve">PEVuZE5vdGU+PENpdGU+PEF1dGhvcj5GaWxpcHBpbmk8L0F1dGhvcj48WWVhcj4yMDIyPC9ZZWFy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</w:fldData>
        </w:fldChar>
      </w:r>
      <w:r w:rsidR="00124934">
        <w:instrText xml:space="preserve"> ADDIN EN.CITE </w:instrText>
      </w:r>
      <w:r w:rsidR="00124934">
        <w:fldChar w:fldCharType="begin">
          <w:fldData xml:space="preserve">PEVuZE5vdGU+PENpdGU+PEF1dGhvcj5GaWxpcHBpbmk8L0F1dGhvcj48WWVhcj4yMDIyPC9ZZWFy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</w:fldData>
        </w:fldChar>
      </w:r>
      <w:r w:rsidR="00124934">
        <w:instrText xml:space="preserve"> ADDIN EN.CITE.DATA </w:instrText>
      </w:r>
      <w:r w:rsidR="00124934">
        <w:fldChar w:fldCharType="end"/>
      </w:r>
      <w:r w:rsidR="00124934">
        <w:fldChar w:fldCharType="separate"/>
      </w:r>
      <w:r w:rsidR="00124934">
        <w:rPr>
          <w:noProof/>
        </w:rPr>
        <w:t>(Filippini et al., 2022)</w:t>
      </w:r>
      <w:r w:rsidR="00124934">
        <w:fldChar w:fldCharType="end"/>
      </w:r>
      <w:r w:rsidR="003A0F4B">
        <w:t xml:space="preserve">. </w:t>
      </w:r>
      <w:r w:rsidR="00657000">
        <w:t xml:space="preserve">The review was assessed as being at high risk of bias due to incomplete search strategies and a lack of clarity about whether data extraction was performed in duplicate. </w:t>
      </w:r>
      <w:r w:rsidR="00124934">
        <w:t xml:space="preserve">Although 11 studies were included, only 6 </w:t>
      </w:r>
      <w:r w:rsidR="0072760C">
        <w:t xml:space="preserve">studies (N=10,882 participants) </w:t>
      </w:r>
      <w:r w:rsidR="00124934">
        <w:t xml:space="preserve">measured sodium intake using 24-hour urinary measures. </w:t>
      </w:r>
      <w:r w:rsidR="00E20F73">
        <w:t xml:space="preserve">Subgroup analysis of </w:t>
      </w:r>
      <w:r w:rsidR="00124934">
        <w:t xml:space="preserve">these </w:t>
      </w:r>
      <w:r w:rsidR="004864E1">
        <w:t xml:space="preserve">6 </w:t>
      </w:r>
      <w:r w:rsidR="00E20F73">
        <w:t xml:space="preserve">studies </w:t>
      </w:r>
      <w:r w:rsidR="00124934">
        <w:t xml:space="preserve">found </w:t>
      </w:r>
      <w:r w:rsidR="00004F63">
        <w:t xml:space="preserve">a </w:t>
      </w:r>
      <w:r w:rsidR="00937845">
        <w:t>linear relationship between urinary sodium and hypertension risk</w:t>
      </w:r>
      <w:r w:rsidR="004864E1">
        <w:t xml:space="preserve">, with a risk ratio of 1.04 (95% CI 0.93, 1.16) and 1.11 (95% CI 0.98, 1.26) </w:t>
      </w:r>
      <w:r w:rsidR="00866669">
        <w:t>at</w:t>
      </w:r>
      <w:r w:rsidR="00004F63">
        <w:t xml:space="preserve"> intakes of 4 g/day and 6g/day</w:t>
      </w:r>
      <w:r w:rsidR="00124934">
        <w:t>,</w:t>
      </w:r>
      <w:r w:rsidR="00004F63">
        <w:t xml:space="preserve"> compared with 2 g/day</w:t>
      </w:r>
      <w:r w:rsidR="008F3108">
        <w:t xml:space="preserve"> (See </w:t>
      </w:r>
      <w:r w:rsidR="008F3108">
        <w:fldChar w:fldCharType="begin"/>
      </w:r>
      <w:r w:rsidR="008F3108">
        <w:instrText xml:space="preserve"> REF _Ref231323377 \h </w:instrText>
      </w:r>
      <w:r w:rsidR="008F3108">
        <w:fldChar w:fldCharType="separate"/>
      </w:r>
      <w:r w:rsidR="00074E84">
        <w:t xml:space="preserve">Figure </w:t>
      </w:r>
      <w:r w:rsidR="00074E84">
        <w:rPr>
          <w:noProof/>
        </w:rPr>
        <w:t>2</w:t>
      </w:r>
      <w:r w:rsidR="008F3108">
        <w:fldChar w:fldCharType="end"/>
      </w:r>
      <w:r w:rsidR="008F3108">
        <w:t>)</w:t>
      </w:r>
      <w:r w:rsidR="00004F63">
        <w:t>.</w:t>
      </w:r>
    </w:p>
    <w:p w14:paraId="1E7B911E" w14:textId="77777777" w:rsidR="00405EC5" w:rsidRDefault="00405EC5" w:rsidP="00405EC5">
      <w:pPr>
        <w:keepNext/>
      </w:pPr>
      <w:r w:rsidRPr="00405EC5">
        <w:rPr>
          <w:noProof/>
        </w:rPr>
        <w:lastRenderedPageBreak/>
        <w:drawing>
          <wp:inline distT="0" distB="0" distL="0" distR="0" wp14:anchorId="0008A510" wp14:editId="63F6A563">
            <wp:extent cx="2876550" cy="2319469"/>
            <wp:effectExtent l="0" t="0" r="0" b="5080"/>
            <wp:docPr id="470444831" name="Picture 5" descr="this is a line graph with showing results of sodium dose-response modelling from 6 studies measuring 24-hour urinary sodium and hypertension risk. it shows one solid and one dashed line, both crossing a risk ratio (RR) of 1 at the sodium exposure level of 2 g/day. The lines go above a RR of 1 as the level of sodium exposure increases, and fal below a RR of 1 as the level of exposure decreases below 2 g/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444831" name="Picture 5" descr="this is a line graph with showing results of sodium dose-response modelling from 6 studies measuring 24-hour urinary sodium and hypertension risk. it shows one solid and one dashed line, both crossing a risk ratio (RR) of 1 at the sodium exposure level of 2 g/day. The lines go above a RR of 1 as the level of sodium exposure increases, and fal below a RR of 1 as the level of exposure decreases below 2 g/day"/>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87933" cy="2328648"/>
                    </a:xfrm>
                    <a:prstGeom prst="rect">
                      <a:avLst/>
                    </a:prstGeom>
                    <a:noFill/>
                    <a:ln>
                      <a:noFill/>
                    </a:ln>
                  </pic:spPr>
                </pic:pic>
              </a:graphicData>
            </a:graphic>
          </wp:inline>
        </w:drawing>
      </w:r>
    </w:p>
    <w:p w14:paraId="181050F6" w14:textId="5D8E08FC" w:rsidR="00405EC5" w:rsidRDefault="00405EC5" w:rsidP="00405EC5">
      <w:pPr>
        <w:pStyle w:val="Caption"/>
      </w:pPr>
      <w:bookmarkStart w:id="66" w:name="_Ref231323377"/>
      <w:bookmarkStart w:id="67" w:name="_Ref231323374"/>
      <w:r>
        <w:t xml:space="preserve">Figure </w:t>
      </w:r>
      <w:r>
        <w:fldChar w:fldCharType="begin"/>
      </w:r>
      <w:r>
        <w:instrText>SEQ Figure \* ARABIC</w:instrText>
      </w:r>
      <w:r>
        <w:fldChar w:fldCharType="separate"/>
      </w:r>
      <w:r w:rsidR="00074E84">
        <w:rPr>
          <w:noProof/>
        </w:rPr>
        <w:t>2</w:t>
      </w:r>
      <w:r>
        <w:fldChar w:fldCharType="end"/>
      </w:r>
      <w:bookmarkEnd w:id="66"/>
      <w:r>
        <w:t xml:space="preserve"> - Figure from Filippini et al (2022</w:t>
      </w:r>
      <w:r w:rsidR="00A44697">
        <w:t>)</w:t>
      </w:r>
      <w:r>
        <w:t xml:space="preserve"> showing dose-response modelling using 2 g/day as reference value. from </w:t>
      </w:r>
      <w:r w:rsidR="005F2DAE">
        <w:t xml:space="preserve">analysis of </w:t>
      </w:r>
      <w:r w:rsidRPr="00C24D78">
        <w:t xml:space="preserve">dose-response </w:t>
      </w:r>
      <w:r w:rsidR="005F2DAE">
        <w:t xml:space="preserve">across </w:t>
      </w:r>
      <w:r w:rsidRPr="00C24D78">
        <w:t>6 studies measuring 24-hour urinary sodium and</w:t>
      </w:r>
      <w:r w:rsidR="005F2DAE">
        <w:t xml:space="preserve"> </w:t>
      </w:r>
      <w:r>
        <w:t>hypertension</w:t>
      </w:r>
      <w:r w:rsidR="005F2DAE">
        <w:t xml:space="preserve"> risk</w:t>
      </w:r>
      <w:bookmarkEnd w:id="67"/>
    </w:p>
    <w:p w14:paraId="4F3D8E2C" w14:textId="430E6C61" w:rsidR="002118C1" w:rsidRDefault="00A42548" w:rsidP="00BE435D">
      <w:pPr>
        <w:spacing w:line="276" w:lineRule="auto"/>
      </w:pPr>
      <w:r>
        <w:fldChar w:fldCharType="begin"/>
      </w:r>
      <w:r w:rsidR="007B0910">
        <w:instrText xml:space="preserve"> ADDIN EN.CITE &lt;EndNote&gt;&lt;Cite AuthorYear="1"&gt;&lt;Author&gt;Zhao&lt;/Author&gt;&lt;Year&gt;2022&lt;/Year&gt;&lt;RecNum&gt;17&lt;/RecNum&gt;&lt;DisplayText&gt;Zhao et al. (2022)&lt;/DisplayText&gt;&lt;record&gt;&lt;rec-number&gt;17&lt;/rec-number&gt;&lt;foreign-keys&gt;&lt;key app="EN" db-id="wwsdv2wwp29fenerv0kx5tw9zxtx2fdrprx2" timestamp="1762740335"&gt;17&lt;/key&gt;&lt;/foreign-keys&gt;&lt;ref-type name="Journal Article"&gt;17&lt;/ref-type&gt;&lt;contributors&gt;&lt;authors&gt;&lt;author&gt;Zhao, D.&lt;/author&gt;&lt;author&gt;Li, H. M.&lt;/author&gt;&lt;author&gt;Li, C. X.&lt;/author&gt;&lt;author&gt;Zhou, B.&lt;/author&gt;&lt;/authors&gt;&lt;/contributors&gt;&lt;auth-address&gt;Department of Clinical Epidemiology and Evidence-Based Medicine, The First Hospital of China Medical University, Shenyang 110000, Liaoning, China;School of Public Health, China Medical University, Shenyang 110000, Liaoning, China.&lt;/auth-address&gt;&lt;titles&gt;&lt;title&gt;24-Hour Urinary Sodium Excretion Association with Cardiovascular Events: A Systematic Review and Dose-Response Meta-Analysis&lt;/title&gt;&lt;secondary-title&gt;Biomed Environ Sci&lt;/secondary-title&gt;&lt;/titles&gt;&lt;periodical&gt;&lt;full-title&gt;Biomed Environ Sci&lt;/full-title&gt;&lt;/periodical&gt;&lt;pages&gt;921-930&lt;/pages&gt;&lt;volume&gt;35&lt;/volume&gt;&lt;number&gt;10&lt;/number&gt;&lt;keywords&gt;&lt;keyword&gt;Humans&lt;/keyword&gt;&lt;keyword&gt;Urinalysis&lt;/keyword&gt;&lt;keyword&gt;Sodium Radioisotopes&lt;/keyword&gt;&lt;keyword&gt;*Cardiovascular Diseases/epidemiology&lt;/keyword&gt;&lt;keyword&gt;*Sodium, Dietary/adverse effects&lt;/keyword&gt;&lt;keyword&gt;24-h urinary sodium excretion&lt;/keyword&gt;&lt;keyword&gt;Cardiovascular events&lt;/keyword&gt;&lt;keyword&gt;Dose-response&lt;/keyword&gt;&lt;keyword&gt;Meta-analysis&lt;/keyword&gt;&lt;keyword&gt;Sodium intake&lt;/keyword&gt;&lt;/keywords&gt;&lt;dates&gt;&lt;year&gt;2022&lt;/year&gt;&lt;pub-dates&gt;&lt;date&gt;Oct 20&lt;/date&gt;&lt;/pub-dates&gt;&lt;/dates&gt;&lt;isbn&gt;0895-3988&lt;/isbn&gt;&lt;accession-num&gt;36443269&lt;/accession-num&gt;&lt;urls&gt;&lt;/urls&gt;&lt;electronic-resource-num&gt;10.3967/bes2022.119&lt;/electronic-resource-num&gt;&lt;remote-database-provider&gt;NLM&lt;/remote-database-provider&gt;&lt;language&gt;eng&lt;/language&gt;&lt;/record&gt;&lt;/Cite&gt;&lt;/EndNote&gt;</w:instrText>
      </w:r>
      <w:r>
        <w:fldChar w:fldCharType="separate"/>
      </w:r>
      <w:r w:rsidR="007B0910">
        <w:rPr>
          <w:noProof/>
        </w:rPr>
        <w:t>Zhao et al. (2022)</w:t>
      </w:r>
      <w:r>
        <w:fldChar w:fldCharType="end"/>
      </w:r>
      <w:r w:rsidR="007B0910">
        <w:t xml:space="preserve"> </w:t>
      </w:r>
      <w:r w:rsidR="00FD5C0F">
        <w:t>conducted a systematic review to explore the association between 24</w:t>
      </w:r>
      <w:r w:rsidR="00C76716">
        <w:t>-</w:t>
      </w:r>
      <w:r w:rsidR="00FD5C0F">
        <w:t>hour urinary sodium excretion and cardiovascular disease risk</w:t>
      </w:r>
      <w:r w:rsidR="00D02EEB">
        <w:t xml:space="preserve">. </w:t>
      </w:r>
      <w:r w:rsidR="001A3187">
        <w:t xml:space="preserve"> It was assessed as being at high risk of bias due to </w:t>
      </w:r>
      <w:r w:rsidR="005A6002">
        <w:t>exclusion of non-English studies, inadequacies in the reported search strategies, and a lack of clarity about t</w:t>
      </w:r>
      <w:r w:rsidR="005A6002" w:rsidRPr="005A6002">
        <w:t>he number of reviewers involved in risk of bias assessment</w:t>
      </w:r>
      <w:r w:rsidR="00FD5C0F">
        <w:t xml:space="preserve">. </w:t>
      </w:r>
      <w:r w:rsidR="005A445B">
        <w:t>A</w:t>
      </w:r>
      <w:r w:rsidR="001A50C8">
        <w:t xml:space="preserve">lthough </w:t>
      </w:r>
      <w:r w:rsidR="00C528D1">
        <w:t>studies ‘assessing the relationship of 24-hour urinary excretion with CV</w:t>
      </w:r>
      <w:r w:rsidR="002118C1">
        <w:t>D</w:t>
      </w:r>
      <w:r w:rsidR="00C528D1">
        <w:t xml:space="preserve"> risk’ was a stated inclusion criterion, </w:t>
      </w:r>
      <w:r w:rsidR="00E2150C">
        <w:t>only 4 of the 9 included studies collected 24-hour urine samples</w:t>
      </w:r>
      <w:r w:rsidR="00650B7D">
        <w:t xml:space="preserve"> with the remaining measuring spot- or overnight urine samples</w:t>
      </w:r>
      <w:r w:rsidR="00285157">
        <w:t>.</w:t>
      </w:r>
      <w:r w:rsidR="00AA6D00">
        <w:t xml:space="preserve"> Furthermore, the authors report their results as a risk ratio although studies that measured hazard ratios were </w:t>
      </w:r>
      <w:r w:rsidR="00A7218D">
        <w:t>included</w:t>
      </w:r>
      <w:r w:rsidR="00986815">
        <w:t>. The included studies varied in</w:t>
      </w:r>
      <w:r w:rsidR="00FD4CF9">
        <w:t xml:space="preserve"> median </w:t>
      </w:r>
      <w:r w:rsidR="00986815">
        <w:t xml:space="preserve">duration </w:t>
      </w:r>
      <w:r w:rsidR="00FD4CF9">
        <w:t>from 4.</w:t>
      </w:r>
      <w:r w:rsidR="00D525E3">
        <w:t>7</w:t>
      </w:r>
      <w:r w:rsidR="00FD4CF9">
        <w:t xml:space="preserve"> To 19.1 years </w:t>
      </w:r>
      <w:r w:rsidR="00986815">
        <w:t xml:space="preserve">and in </w:t>
      </w:r>
      <w:r w:rsidR="00561F7F">
        <w:t xml:space="preserve">the CVD </w:t>
      </w:r>
      <w:r w:rsidR="00986815">
        <w:t xml:space="preserve">end points </w:t>
      </w:r>
      <w:r w:rsidR="002118C1">
        <w:t>measured</w:t>
      </w:r>
      <w:r w:rsidR="00986815">
        <w:t xml:space="preserve"> (</w:t>
      </w:r>
      <w:r w:rsidR="000706B8">
        <w:t>with measures ranging from ‘</w:t>
      </w:r>
      <w:r w:rsidR="00561F7F">
        <w:t>heart failure</w:t>
      </w:r>
      <w:r w:rsidR="000706B8">
        <w:t>’ to composite measures combining CV mortality, myocardial in</w:t>
      </w:r>
      <w:r w:rsidR="00E86E11">
        <w:t xml:space="preserve">farction, stroke, and hospitalisation for congestive heart failure). Consequently, HRs may not be </w:t>
      </w:r>
      <w:r w:rsidR="00F900B0">
        <w:t xml:space="preserve">equivalent to RR across studies, and this </w:t>
      </w:r>
      <w:r w:rsidR="00986815">
        <w:t xml:space="preserve">decision may </w:t>
      </w:r>
      <w:r w:rsidR="002118C1">
        <w:t xml:space="preserve">have introduced inconsistency. </w:t>
      </w:r>
    </w:p>
    <w:p w14:paraId="1767CED3" w14:textId="27D3683F" w:rsidR="006938F0" w:rsidRDefault="002B76E4" w:rsidP="00BE435D">
      <w:pPr>
        <w:spacing w:line="276" w:lineRule="auto"/>
      </w:pPr>
      <w:r>
        <w:t xml:space="preserve">Dose response analysis </w:t>
      </w:r>
      <w:r w:rsidR="002118C1">
        <w:t xml:space="preserve">limited to </w:t>
      </w:r>
      <w:r>
        <w:t xml:space="preserve">studies that measured 24-hour urinary excretion </w:t>
      </w:r>
      <w:r w:rsidR="00B14318">
        <w:t xml:space="preserve">found </w:t>
      </w:r>
      <w:r>
        <w:t xml:space="preserve">a linear </w:t>
      </w:r>
      <w:r w:rsidR="00B14318">
        <w:t>association between sodium excretion and CV</w:t>
      </w:r>
      <w:r w:rsidR="002118C1">
        <w:t>D</w:t>
      </w:r>
      <w:r w:rsidR="00B14318">
        <w:t xml:space="preserve"> risk</w:t>
      </w:r>
      <w:r w:rsidR="006938F0">
        <w:t xml:space="preserve">, </w:t>
      </w:r>
      <w:r w:rsidR="006764AB">
        <w:t xml:space="preserve">with every 1,000 mg/day sodium increase associated with a 4% increase in CVD risk </w:t>
      </w:r>
      <w:r w:rsidR="006938F0">
        <w:t>(RR 1.04, 95% CI 1.01 to 1.07, p=0.0</w:t>
      </w:r>
      <w:r w:rsidR="006764AB">
        <w:t xml:space="preserve">2). </w:t>
      </w:r>
      <w:r w:rsidR="000966C4">
        <w:t xml:space="preserve">However, </w:t>
      </w:r>
      <w:r w:rsidR="00F900B0">
        <w:t>due to the review’s methodological limitations, the heterogeneity across studies, and the small number of studies</w:t>
      </w:r>
      <w:r w:rsidR="00167C01">
        <w:t xml:space="preserve"> included in the analysis</w:t>
      </w:r>
      <w:r w:rsidR="00F900B0">
        <w:t>, these findings should be interpreted with caution.</w:t>
      </w:r>
    </w:p>
    <w:p w14:paraId="124B732B" w14:textId="77777777" w:rsidR="00FD4B73" w:rsidRDefault="000623C2" w:rsidP="00BE435D">
      <w:pPr>
        <w:spacing w:line="276" w:lineRule="auto"/>
      </w:pPr>
      <w:r>
        <w:t xml:space="preserve">One systematic </w:t>
      </w:r>
      <w:r w:rsidRPr="00A8528E">
        <w:t xml:space="preserve">review at </w:t>
      </w:r>
      <w:r w:rsidR="006A6C72" w:rsidRPr="00A8528E">
        <w:t xml:space="preserve">high </w:t>
      </w:r>
      <w:r w:rsidRPr="00A8528E">
        <w:t>risk of bias examined the</w:t>
      </w:r>
      <w:r w:rsidR="00400610" w:rsidRPr="00A8528E">
        <w:t xml:space="preserve"> dose-response</w:t>
      </w:r>
      <w:r w:rsidRPr="00A8528E">
        <w:t xml:space="preserve"> relationship between </w:t>
      </w:r>
      <w:r w:rsidR="00400610" w:rsidRPr="00A8528E">
        <w:t xml:space="preserve">dietary sodium </w:t>
      </w:r>
      <w:r w:rsidRPr="00A8528E">
        <w:t xml:space="preserve">exposure and </w:t>
      </w:r>
      <w:r w:rsidR="00400610" w:rsidRPr="00A8528E">
        <w:t>all-cause and cardiovascular</w:t>
      </w:r>
      <w:r w:rsidR="00400610">
        <w:t xml:space="preserve"> mortality from prospective observational studies </w:t>
      </w:r>
      <w:r w:rsidR="006C30E7">
        <w:fldChar w:fldCharType="begin">
          <w:fldData xml:space="preserve">PEVuZE5vdGU+PENpdGU+PEF1dGhvcj5NaWxhamVyZGk8L0F1dGhvcj48WWVhcj4yMDE5PC9ZZWFy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</w:fldData>
        </w:fldChar>
      </w:r>
      <w:r>
        <w:instrText xml:space="preserve"> ADDIN EN.CITE </w:instrText>
      </w:r>
      <w:r>
        <w:fldChar w:fldCharType="begin">
          <w:fldData xml:space="preserve">PEVuZE5vdGU+PENpdGU+PEF1dGhvcj5NaWxhamVyZGk8L0F1dGhvcj48WWVhcj4yMDE5PC9ZZWFy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</w:fldData>
        </w:fldChar>
      </w:r>
      <w:r>
        <w:instrText xml:space="preserve"> ADDIN EN.CITE.DATA </w:instrText>
      </w:r>
      <w:r>
        <w:fldChar w:fldCharType="end"/>
      </w:r>
      <w:r w:rsidR="006C30E7">
        <w:fldChar w:fldCharType="separate"/>
      </w:r>
      <w:r>
        <w:rPr>
          <w:noProof/>
        </w:rPr>
        <w:t>(Milajerdi et al., 2019)</w:t>
      </w:r>
      <w:r w:rsidR="006C30E7">
        <w:fldChar w:fldCharType="end"/>
      </w:r>
      <w:r w:rsidR="00400610">
        <w:t xml:space="preserve">. </w:t>
      </w:r>
      <w:r w:rsidR="0031604E">
        <w:t xml:space="preserve">Concerns around risk of bias included </w:t>
      </w:r>
      <w:r w:rsidR="006A6C72" w:rsidRPr="006A6C72">
        <w:t xml:space="preserve">the exclusion of non-English language studies, insufficient information about </w:t>
      </w:r>
      <w:r w:rsidR="0031604E">
        <w:t xml:space="preserve">the </w:t>
      </w:r>
      <w:r w:rsidR="006A6C72" w:rsidRPr="006A6C72">
        <w:t>search</w:t>
      </w:r>
      <w:r w:rsidR="0031604E">
        <w:t xml:space="preserve"> strategy employed or processes for </w:t>
      </w:r>
      <w:r w:rsidR="006A6C72" w:rsidRPr="006A6C72">
        <w:t>minimising error in data extraction and risk of bias assessment, and residual unexplained heterogeneity across most outcomes.</w:t>
      </w:r>
      <w:r w:rsidR="0031604E">
        <w:t xml:space="preserve"> </w:t>
      </w:r>
    </w:p>
    <w:p w14:paraId="2FD45EC3" w14:textId="349936C1" w:rsidR="006C30E7" w:rsidRDefault="00A8528E" w:rsidP="00BE435D">
      <w:pPr>
        <w:spacing w:line="276" w:lineRule="auto"/>
      </w:pPr>
      <w:r>
        <w:fldChar w:fldCharType="begin">
          <w:fldData xml:space="preserve">PEVuZE5vdGU+PENpdGUgQXV0aG9yWWVhcj0iMSI+PEF1dGhvcj5NaWxhamVyZGk8L0F1dGhvcj48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</w:fldData>
        </w:fldChar>
      </w:r>
      <w:r>
        <w:instrText xml:space="preserve"> ADDIN EN.CITE </w:instrText>
      </w:r>
      <w:r>
        <w:fldChar w:fldCharType="begin">
          <w:fldData xml:space="preserve">PEVuZE5vdGU+PENpdGUgQXV0aG9yWWVhcj0iMSI+PEF1dGhvcj5NaWxhamVyZGk8L0F1dGhvcj48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</w:fldData>
        </w:fldChar>
      </w:r>
      <w:r>
        <w:instrText xml:space="preserve"> ADDIN EN.CITE.DATA </w:instrText>
      </w:r>
      <w:r>
        <w:fldChar w:fldCharType="end"/>
      </w:r>
      <w:r>
        <w:fldChar w:fldCharType="separate"/>
      </w:r>
      <w:r>
        <w:rPr>
          <w:noProof/>
        </w:rPr>
        <w:t>Milajerdi et al. (2019)</w:t>
      </w:r>
      <w:r>
        <w:fldChar w:fldCharType="end"/>
      </w:r>
      <w:r>
        <w:t xml:space="preserve"> identified e</w:t>
      </w:r>
      <w:r w:rsidR="00B82144">
        <w:t xml:space="preserve">ight </w:t>
      </w:r>
      <w:r w:rsidR="006509EA">
        <w:t xml:space="preserve">studies that </w:t>
      </w:r>
      <w:r w:rsidR="00B82144">
        <w:t>measured 24-hour urinary sodium</w:t>
      </w:r>
      <w:r w:rsidR="006509EA">
        <w:t xml:space="preserve">, </w:t>
      </w:r>
      <w:r w:rsidR="00B82144">
        <w:t xml:space="preserve">with median intakes ranging from 2,047 to </w:t>
      </w:r>
      <w:r w:rsidR="006509EA">
        <w:t xml:space="preserve">5,659 and follow-up duration ranging from </w:t>
      </w:r>
      <w:r w:rsidR="00BA2465">
        <w:t xml:space="preserve">4.6 to 20 years. </w:t>
      </w:r>
      <w:r w:rsidR="00982007">
        <w:t xml:space="preserve">Dose-response analysis </w:t>
      </w:r>
      <w:r w:rsidR="00D00B09">
        <w:t>revealed a significant</w:t>
      </w:r>
      <w:r w:rsidR="00AF418E">
        <w:t>,</w:t>
      </w:r>
      <w:r w:rsidR="00D00B09">
        <w:t xml:space="preserve"> non-</w:t>
      </w:r>
      <w:r w:rsidR="009721AB">
        <w:t xml:space="preserve">linear association </w:t>
      </w:r>
      <w:r w:rsidR="00AF418E">
        <w:t xml:space="preserve">between urinary sodium excretion and CVD mortality, with </w:t>
      </w:r>
      <w:r w:rsidR="00AF286C">
        <w:t xml:space="preserve">a greater association with higher intakes. Although the authors noted this risk increased </w:t>
      </w:r>
      <w:r w:rsidR="00693EFD">
        <w:t>with intakes above 2,400</w:t>
      </w:r>
      <w:r w:rsidR="00AF286C">
        <w:t> </w:t>
      </w:r>
      <w:r w:rsidR="00693EFD">
        <w:t>mg/day</w:t>
      </w:r>
      <w:r w:rsidR="004B28A6">
        <w:t xml:space="preserve"> (p&lt;0.001)</w:t>
      </w:r>
      <w:r w:rsidR="00AF286C">
        <w:t xml:space="preserve">, </w:t>
      </w:r>
      <w:r w:rsidR="00A0589A">
        <w:t xml:space="preserve">data below this </w:t>
      </w:r>
      <w:r w:rsidR="00A0589A">
        <w:lastRenderedPageBreak/>
        <w:t xml:space="preserve">threshold were limited (1 </w:t>
      </w:r>
      <w:r w:rsidR="00950EAB">
        <w:t xml:space="preserve">of 8 studies) </w:t>
      </w:r>
      <w:r w:rsidR="00A0589A">
        <w:t xml:space="preserve">and </w:t>
      </w:r>
      <w:r w:rsidR="00950EAB">
        <w:t xml:space="preserve">median intakes for most other studies (5 of 8 studies) </w:t>
      </w:r>
      <w:r w:rsidR="00A0589A">
        <w:t xml:space="preserve">clustered </w:t>
      </w:r>
      <w:r w:rsidR="00950EAB">
        <w:t xml:space="preserve">around </w:t>
      </w:r>
      <w:r w:rsidR="00A0589A">
        <w:t>4,000 – 5,000 mg/day</w:t>
      </w:r>
      <w:r w:rsidR="00693EFD">
        <w:t>.</w:t>
      </w:r>
      <w:r w:rsidR="00950EAB">
        <w:t xml:space="preserve"> Consequently, the model estimates may be imprecise </w:t>
      </w:r>
      <w:r w:rsidR="00A85015">
        <w:t xml:space="preserve">for intakes below 4,000 mg/day and the proposed threshold of 2,400 mg/day may </w:t>
      </w:r>
      <w:r w:rsidR="004B4014">
        <w:t xml:space="preserve">imply a level of </w:t>
      </w:r>
      <w:r w:rsidR="00A85015">
        <w:t>precision</w:t>
      </w:r>
      <w:r w:rsidR="004B4014">
        <w:t xml:space="preserve"> that is not supported by the available data</w:t>
      </w:r>
      <w:r w:rsidR="00A85015">
        <w:t>.</w:t>
      </w:r>
      <w:r w:rsidR="00693EFD">
        <w:t xml:space="preserve"> </w:t>
      </w:r>
      <w:r w:rsidR="004B28A6">
        <w:t xml:space="preserve">No significant non-linear association </w:t>
      </w:r>
      <w:r w:rsidR="00D85930">
        <w:t>was observed for all-cause mortality.</w:t>
      </w:r>
    </w:p>
    <w:p w14:paraId="4D114986" w14:textId="09240B02" w:rsidR="002E75C2" w:rsidRPr="007E42EA" w:rsidRDefault="002E75C2" w:rsidP="002E75C2">
      <w:pPr>
        <w:pStyle w:val="Heading4"/>
      </w:pPr>
      <w:r>
        <w:t>Children</w:t>
      </w:r>
    </w:p>
    <w:p w14:paraId="2B3E6EBA" w14:textId="77777777" w:rsidR="002E75C2" w:rsidRPr="007E42EA" w:rsidRDefault="002E75C2" w:rsidP="002E75C2">
      <w:pPr>
        <w:pStyle w:val="Heading5"/>
      </w:pPr>
      <w:r>
        <w:t>Evidence underpinning international recommendations</w:t>
      </w:r>
    </w:p>
    <w:p w14:paraId="46D74F7D" w14:textId="75DE238A" w:rsidR="002E75C2" w:rsidRDefault="00CD3938" w:rsidP="007811F0">
      <w:pPr>
        <w:spacing w:line="276" w:lineRule="auto"/>
      </w:pPr>
      <w:r>
        <w:t>T</w:t>
      </w:r>
      <w:r w:rsidR="003D5AF9" w:rsidRPr="003D5AF9">
        <w:t xml:space="preserve">he EFSA </w:t>
      </w:r>
      <w:r>
        <w:t xml:space="preserve">and AHRQ </w:t>
      </w:r>
      <w:r w:rsidR="003D5AF9" w:rsidRPr="003D5AF9">
        <w:t>review</w:t>
      </w:r>
      <w:r>
        <w:t>s</w:t>
      </w:r>
      <w:r w:rsidR="003D5AF9" w:rsidRPr="003D5AF9">
        <w:t xml:space="preserve"> did not consider other cardiovascular outcomes in children and adolescents aside from blood pressure.</w:t>
      </w:r>
    </w:p>
    <w:p w14:paraId="4FEA7594" w14:textId="1162A8E3" w:rsidR="002E75C2" w:rsidRPr="007E42EA" w:rsidRDefault="002E75C2" w:rsidP="002E75C2">
      <w:pPr>
        <w:pStyle w:val="Heading5"/>
      </w:pPr>
      <w:r>
        <w:t>Supplementary evidence</w:t>
      </w:r>
    </w:p>
    <w:p w14:paraId="7545A7D2" w14:textId="7770577B" w:rsidR="00935A84" w:rsidRDefault="000C48A1" w:rsidP="007811F0">
      <w:pPr>
        <w:spacing w:line="276" w:lineRule="auto"/>
      </w:pPr>
      <w:r>
        <w:t>One</w:t>
      </w:r>
      <w:r w:rsidR="00E9723D">
        <w:t xml:space="preserve"> supplementary</w:t>
      </w:r>
      <w:r>
        <w:t xml:space="preserve"> systematic review</w:t>
      </w:r>
      <w:r w:rsidR="008D62DF">
        <w:t xml:space="preserve"> </w:t>
      </w:r>
      <w:r>
        <w:t xml:space="preserve">explored the </w:t>
      </w:r>
      <w:r w:rsidR="000E115F">
        <w:t xml:space="preserve">association </w:t>
      </w:r>
      <w:r>
        <w:t xml:space="preserve">between dietary intakes </w:t>
      </w:r>
      <w:r w:rsidR="000E115F">
        <w:t xml:space="preserve">of various nutrients </w:t>
      </w:r>
      <w:r>
        <w:t>and arterial stiffness in children and adolescents</w:t>
      </w:r>
      <w:r w:rsidR="00D9236F">
        <w:t xml:space="preserve"> </w:t>
      </w:r>
      <w:r w:rsidR="00D9236F">
        <w:fldChar w:fldCharType="begin">
          <w:fldData xml:space="preserve">PEVuZE5vdGU+PENpdGU+PEF1dGhvcj5MZWVkPC9BdXRob3I+PFllYXI+MjAyMzwvWWVhcj48UmVj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</w:fldData>
        </w:fldChar>
      </w:r>
      <w:r w:rsidR="00D9236F">
        <w:instrText xml:space="preserve"> ADDIN EN.CITE </w:instrText>
      </w:r>
      <w:r w:rsidR="00D9236F">
        <w:fldChar w:fldCharType="begin">
          <w:fldData xml:space="preserve">PEVuZE5vdGU+PENpdGU+PEF1dGhvcj5MZWVkPC9BdXRob3I+PFllYXI+MjAyMzwvWWVhcj48UmVj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</w:fldData>
        </w:fldChar>
      </w:r>
      <w:r w:rsidR="00D9236F">
        <w:instrText xml:space="preserve"> ADDIN EN.CITE.DATA </w:instrText>
      </w:r>
      <w:r w:rsidR="00D9236F">
        <w:fldChar w:fldCharType="end"/>
      </w:r>
      <w:r w:rsidR="00D9236F">
        <w:fldChar w:fldCharType="separate"/>
      </w:r>
      <w:r w:rsidR="00D9236F">
        <w:rPr>
          <w:noProof/>
        </w:rPr>
        <w:t>(Leed et al., 2023)</w:t>
      </w:r>
      <w:r w:rsidR="00D9236F">
        <w:fldChar w:fldCharType="end"/>
      </w:r>
      <w:r>
        <w:t xml:space="preserve">. </w:t>
      </w:r>
      <w:r w:rsidR="001C2757">
        <w:t xml:space="preserve">Although the review was assessed as being at high risk of bias, the only concerns identified related to the exclusion of non-English language studies and conference abstracts with the review otherwise well-conducted. </w:t>
      </w:r>
      <w:r w:rsidR="00F03B4D">
        <w:t xml:space="preserve">The authors sought interventional, cohort and cross-sectional studies, and identified a single </w:t>
      </w:r>
      <w:r>
        <w:t>cross-sectional study</w:t>
      </w:r>
      <w:r w:rsidR="00EA344E">
        <w:t xml:space="preserve"> that evaluated the relationship between sodium intake and arterial stiffness</w:t>
      </w:r>
      <w:r w:rsidR="00333821">
        <w:t xml:space="preserve">. The study was conducted </w:t>
      </w:r>
      <w:r w:rsidR="00F03B4D">
        <w:t xml:space="preserve">in </w:t>
      </w:r>
      <w:r w:rsidR="00DF4B00">
        <w:t xml:space="preserve">a mixed sample of </w:t>
      </w:r>
      <w:r w:rsidR="00F03B4D">
        <w:t>614 children and adults aged 10 to 24 years</w:t>
      </w:r>
      <w:r w:rsidR="00DF4B00">
        <w:t xml:space="preserve"> residing in the USA</w:t>
      </w:r>
      <w:r w:rsidR="00333821">
        <w:t xml:space="preserve">; the method for measuring sodium exposure was not reported. </w:t>
      </w:r>
      <w:r w:rsidR="00B62B47">
        <w:t xml:space="preserve">Higher sodium was associated with </w:t>
      </w:r>
      <w:r w:rsidR="00723985">
        <w:t xml:space="preserve">poorer outcomes, including a positive association with carotid-femoral pulse-wave velocity and </w:t>
      </w:r>
      <w:r w:rsidR="001028E0" w:rsidRPr="001028E0">
        <w:t>augmentation index</w:t>
      </w:r>
      <w:r w:rsidR="001028E0">
        <w:t xml:space="preserve">, and a </w:t>
      </w:r>
      <w:r w:rsidR="00B62B47">
        <w:t xml:space="preserve">significant inverse association </w:t>
      </w:r>
      <w:r w:rsidR="001028E0">
        <w:t xml:space="preserve">with </w:t>
      </w:r>
      <w:r w:rsidR="00D9236F" w:rsidRPr="00D9236F">
        <w:t>brachial artery distensibility</w:t>
      </w:r>
      <w:r w:rsidR="00D9236F">
        <w:t>.</w:t>
      </w:r>
    </w:p>
    <w:p w14:paraId="69E528CC" w14:textId="2411FCE0" w:rsidR="009F0414" w:rsidRPr="007E42EA" w:rsidRDefault="009F0414" w:rsidP="00E532F6">
      <w:pPr>
        <w:pStyle w:val="Heading3"/>
        <w:spacing w:line="240" w:lineRule="auto"/>
      </w:pPr>
      <w:bookmarkStart w:id="68" w:name="_Toc234960852"/>
      <w:r>
        <w:t>Kidney disease</w:t>
      </w:r>
      <w:bookmarkEnd w:id="68"/>
    </w:p>
    <w:p w14:paraId="006F42F7" w14:textId="77777777" w:rsidR="00CA230D" w:rsidRPr="007E42EA" w:rsidRDefault="00CA230D" w:rsidP="00CA230D">
      <w:pPr>
        <w:pStyle w:val="Heading4"/>
      </w:pPr>
      <w:r>
        <w:t>Adults</w:t>
      </w:r>
    </w:p>
    <w:p w14:paraId="4768AE35" w14:textId="77777777" w:rsidR="00CA230D" w:rsidRPr="007E42EA" w:rsidRDefault="00CA230D" w:rsidP="00CA230D">
      <w:pPr>
        <w:pStyle w:val="Heading5"/>
      </w:pPr>
      <w:r>
        <w:t>Evidence underpinning international recommendations</w:t>
      </w:r>
    </w:p>
    <w:p w14:paraId="37C3B435" w14:textId="66BB5502" w:rsidR="009F0414" w:rsidRDefault="00BB2E95" w:rsidP="007811F0">
      <w:pPr>
        <w:spacing w:line="276" w:lineRule="auto"/>
      </w:pPr>
      <w:r>
        <w:t xml:space="preserve">Evidence from both RCTs and observational studies was insufficient to draw conclusions about the effects of sodium </w:t>
      </w:r>
      <w:r w:rsidR="00C137D5">
        <w:t xml:space="preserve">intake on renal outcomes. </w:t>
      </w:r>
      <w:r w:rsidR="00C023B6">
        <w:t xml:space="preserve">Both the EFSA (2019) and AHRQ (2018) reviews identified a single </w:t>
      </w:r>
      <w:r w:rsidR="00C23E6D">
        <w:t xml:space="preserve">observational study (the PREVEND study, at moderate risk of bias) that </w:t>
      </w:r>
      <w:r w:rsidR="002E459D">
        <w:t xml:space="preserve">followed </w:t>
      </w:r>
      <w:r w:rsidR="00DE5780">
        <w:t>5,315 Dutch adults</w:t>
      </w:r>
      <w:r w:rsidR="003C7271">
        <w:t xml:space="preserve"> without chronic kidney disease</w:t>
      </w:r>
      <w:r w:rsidR="002E459D">
        <w:t xml:space="preserve"> for a median of 10.3 years to evaluate the relationship between sodium intake and kidney function (estimated glomerular filtration rate)</w:t>
      </w:r>
      <w:r w:rsidR="00833648">
        <w:t xml:space="preserve"> </w:t>
      </w:r>
      <w:r w:rsidR="00833648">
        <w:fldChar w:fldCharType="begin">
          <w:fldData xml:space="preserve">PEVuZE5vdGU+PENpdGU+PEF1dGhvcj5LaWVuZWtlcjwvQXV0aG9yPjxZZWFyPjIwMTY8L1llYXI+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</w:fldData>
        </w:fldChar>
      </w:r>
      <w:r w:rsidR="00833648">
        <w:instrText xml:space="preserve"> ADDIN EN.CITE </w:instrText>
      </w:r>
      <w:r w:rsidR="00833648">
        <w:fldChar w:fldCharType="begin">
          <w:fldData xml:space="preserve">PEVuZE5vdGU+PENpdGU+PEF1dGhvcj5LaWVuZWtlcjwvQXV0aG9yPjxZZWFyPjIwMTY8L1llYXI+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</w:fldData>
        </w:fldChar>
      </w:r>
      <w:r w:rsidR="00833648">
        <w:instrText xml:space="preserve"> ADDIN EN.CITE.DATA </w:instrText>
      </w:r>
      <w:r w:rsidR="00833648">
        <w:fldChar w:fldCharType="end"/>
      </w:r>
      <w:r w:rsidR="00833648">
        <w:fldChar w:fldCharType="separate"/>
      </w:r>
      <w:r w:rsidR="00833648">
        <w:rPr>
          <w:noProof/>
        </w:rPr>
        <w:t>(Kieneker et al., 2016)</w:t>
      </w:r>
      <w:r w:rsidR="00833648">
        <w:fldChar w:fldCharType="end"/>
      </w:r>
      <w:r w:rsidR="00DE5780">
        <w:t xml:space="preserve">. </w:t>
      </w:r>
      <w:r w:rsidR="002E459D">
        <w:t xml:space="preserve">No association </w:t>
      </w:r>
      <w:r w:rsidR="00A117B7">
        <w:t>between</w:t>
      </w:r>
      <w:r w:rsidR="002E459D">
        <w:t xml:space="preserve"> 24-hour urinary sodium excretion and chronic kidney disease risk was observed</w:t>
      </w:r>
      <w:r w:rsidR="00A117B7">
        <w:t xml:space="preserve"> (</w:t>
      </w:r>
      <w:r w:rsidR="00A117B7" w:rsidRPr="00A117B7">
        <w:t>adjusted HR per 50 mmol/d increase = 0.97</w:t>
      </w:r>
      <w:r w:rsidR="00A117B7">
        <w:t>,</w:t>
      </w:r>
      <w:r w:rsidR="00A117B7" w:rsidRPr="00A117B7">
        <w:t xml:space="preserve"> 95% CI 0.89</w:t>
      </w:r>
      <w:r w:rsidR="00A117B7">
        <w:t xml:space="preserve"> to</w:t>
      </w:r>
      <w:r w:rsidR="00A117B7" w:rsidRPr="00A117B7">
        <w:t xml:space="preserve"> 1.07</w:t>
      </w:r>
      <w:r w:rsidR="00A117B7">
        <w:t>)</w:t>
      </w:r>
      <w:r w:rsidR="002E459D">
        <w:t>.</w:t>
      </w:r>
    </w:p>
    <w:p w14:paraId="7E6C6223" w14:textId="77777777" w:rsidR="00CA230D" w:rsidRPr="00DC4520" w:rsidRDefault="00CA230D" w:rsidP="007811F0">
      <w:pPr>
        <w:pStyle w:val="Heading5"/>
        <w:spacing w:line="276" w:lineRule="auto"/>
      </w:pPr>
      <w:r w:rsidRPr="00DC4520">
        <w:t>Supplementary evidence</w:t>
      </w:r>
    </w:p>
    <w:p w14:paraId="76021499" w14:textId="404BA3FB" w:rsidR="002E1EA5" w:rsidRDefault="00DC4520" w:rsidP="007811F0">
      <w:pPr>
        <w:spacing w:line="276" w:lineRule="auto"/>
      </w:pPr>
      <w:r w:rsidRPr="00DC4520">
        <w:t xml:space="preserve">No eligible </w:t>
      </w:r>
      <w:r w:rsidR="00E9723D">
        <w:t xml:space="preserve">supplementary </w:t>
      </w:r>
      <w:r w:rsidRPr="00DC4520">
        <w:t xml:space="preserve">systematic reviews </w:t>
      </w:r>
      <w:r w:rsidR="00E9723D">
        <w:t>were identified that</w:t>
      </w:r>
      <w:r w:rsidRPr="00DC4520">
        <w:t xml:space="preserve"> examined the relationship between sodium intake and chronic kidney disease. Although one potentially relevant </w:t>
      </w:r>
      <w:r w:rsidR="002B34D2" w:rsidRPr="00DC4520">
        <w:t>systematic review was identified</w:t>
      </w:r>
      <w:r w:rsidRPr="00DC4520">
        <w:t xml:space="preserve"> </w:t>
      </w:r>
      <w:r w:rsidR="00EB30E9" w:rsidRPr="00DC4520">
        <w:fldChar w:fldCharType="begin"/>
      </w:r>
      <w:r w:rsidR="00EB30E9" w:rsidRPr="00DC4520">
        <w:instrText xml:space="preserve"> ADDIN EN.CITE &lt;EndNote&gt;&lt;Cite&gt;&lt;Author&gt;Hodson&lt;/Author&gt;&lt;Year&gt;2023&lt;/Year&gt;&lt;RecNum&gt;117&lt;/RecNum&gt;&lt;DisplayText&gt;(Hodson &amp;amp; Cooper, 2023)&lt;/DisplayText&gt;&lt;record&gt;&lt;rec-number&gt;117&lt;/rec-number&gt;&lt;foreign-keys&gt;&lt;key app="EN" db-id="wwsdv2wwp29fenerv0kx5tw9zxtx2fdrprx2" timestamp="1762743452"&gt;117&lt;/key&gt;&lt;/foreign-keys&gt;&lt;ref-type name="Journal Article"&gt;17&lt;/ref-type&gt;&lt;contributors&gt;&lt;authors&gt;&lt;author&gt;Hodson, E. M.&lt;/author&gt;&lt;author&gt;Cooper, T. E.&lt;/author&gt;&lt;/authors&gt;&lt;/contributors&gt;&lt;auth-address&gt;Cochrane Kidney and Transplant, Centre for Kidney Research, The Children&amp;apos;s Hospital at Westmead, Westmead, Australia.&amp;#xD;Sydney School of Public Health, The University of Sydney, Sydney, Australia.&lt;/auth-address&gt;&lt;titles&gt;&lt;title&gt;Altered dietary salt intake for preventing diabetic kidney disease and its progression&lt;/title&gt;&lt;secondary-title&gt;Cochrane Database Syst Rev&lt;/secondary-title&gt;&lt;/titles&gt;&lt;periodical&gt;&lt;full-title&gt;Cochrane Database Syst Rev&lt;/full-title&gt;&lt;/periodical&gt;&lt;pages&gt;Cd006763&lt;/pages&gt;&lt;volume&gt;1&lt;/volume&gt;&lt;number&gt;1&lt;/number&gt;&lt;edition&gt;20230116&lt;/edition&gt;&lt;keywords&gt;&lt;keyword&gt;Humans&lt;/keyword&gt;&lt;keyword&gt;*Diabetic Nephropathies/prevention &amp;amp; control&lt;/keyword&gt;&lt;keyword&gt;Sodium Chloride, Dietary/adverse effects&lt;/keyword&gt;&lt;keyword&gt;*Diabetes Mellitus, Type 1&lt;/keyword&gt;&lt;keyword&gt;*Hypertension/drug therapy&lt;/keyword&gt;&lt;keyword&gt;*Renal Insufficiency, Chronic/prevention &amp;amp; control&lt;/keyword&gt;&lt;keyword&gt;Sodium&lt;/keyword&gt;&lt;keyword&gt;*Diabetes Mellitus, Type 2/complications/prevention &amp;amp; control&lt;/keyword&gt;&lt;/keywords&gt;&lt;dates&gt;&lt;year&gt;2023&lt;/year&gt;&lt;pub-dates&gt;&lt;date&gt;Jan 16&lt;/date&gt;&lt;/pub-dates&gt;&lt;/dates&gt;&lt;isbn&gt;1361-6137&lt;/isbn&gt;&lt;accession-num&gt;36645291&lt;/accession-num&gt;&lt;urls&gt;&lt;/urls&gt;&lt;custom1&gt;Elisabeth Hodson: no relevant interests were disclosed. Tess Cooper: no relevant interests were disclosed.&lt;/custom1&gt;&lt;custom2&gt;PMC9841968&lt;/custom2&gt;&lt;electronic-resource-num&gt;10.1002/14651858.CD006763.pub3&lt;/electronic-resource-num&gt;&lt;remote-database-provider&gt;NLM&lt;/remote-database-provider&gt;&lt;language&gt;eng&lt;/language&gt;&lt;/record&gt;&lt;/Cite&gt;&lt;/EndNote&gt;</w:instrText>
      </w:r>
      <w:r w:rsidR="00EB30E9" w:rsidRPr="00DC4520">
        <w:fldChar w:fldCharType="separate"/>
      </w:r>
      <w:r w:rsidR="00EB30E9" w:rsidRPr="00DC4520">
        <w:rPr>
          <w:noProof/>
        </w:rPr>
        <w:t>(Hodson &amp; Cooper, 2023)</w:t>
      </w:r>
      <w:r w:rsidR="00EB30E9" w:rsidRPr="00DC4520">
        <w:fldChar w:fldCharType="end"/>
      </w:r>
      <w:r w:rsidRPr="00DC4520">
        <w:t xml:space="preserve">, </w:t>
      </w:r>
      <w:r w:rsidR="00EB30E9" w:rsidRPr="00DC4520">
        <w:t xml:space="preserve">the review </w:t>
      </w:r>
      <w:r w:rsidRPr="00DC4520">
        <w:t xml:space="preserve">focused on people </w:t>
      </w:r>
      <w:r w:rsidR="00EB30E9" w:rsidRPr="00DC4520">
        <w:t xml:space="preserve">with diabetes </w:t>
      </w:r>
      <w:r w:rsidRPr="00DC4520">
        <w:t xml:space="preserve">rather than the generally healthy population, and consequently did not meet inclusion criteria. </w:t>
      </w:r>
    </w:p>
    <w:p w14:paraId="1B1A8371" w14:textId="6020B59A" w:rsidR="00D841E3" w:rsidRPr="00F34740" w:rsidRDefault="00D841E3" w:rsidP="003A21E3">
      <w:r>
        <w:br w:type="page"/>
      </w:r>
    </w:p>
    <w:p w14:paraId="010C9278" w14:textId="2C67FD41" w:rsidR="008D06B5" w:rsidRDefault="00633D67" w:rsidP="005F45FC">
      <w:pPr>
        <w:pStyle w:val="Heading1"/>
        <w:rPr>
          <w:b/>
          <w:bCs/>
        </w:rPr>
      </w:pPr>
      <w:bookmarkStart w:id="69" w:name="_Toc234960853"/>
      <w:r>
        <w:rPr>
          <w:b/>
          <w:bCs/>
        </w:rPr>
        <w:lastRenderedPageBreak/>
        <w:t>Derivation of draft NRVs</w:t>
      </w:r>
      <w:bookmarkEnd w:id="69"/>
    </w:p>
    <w:p w14:paraId="6226B1EC" w14:textId="2B75A16B" w:rsidR="00F97B35" w:rsidRDefault="00F97B35" w:rsidP="00C44EA6">
      <w:pPr>
        <w:pStyle w:val="Heading2"/>
        <w:tabs>
          <w:tab w:val="left" w:pos="5546"/>
        </w:tabs>
        <w:rPr>
          <w:b/>
          <w:bCs/>
        </w:rPr>
      </w:pPr>
      <w:bookmarkStart w:id="70" w:name="_Toc234960854"/>
      <w:r>
        <w:rPr>
          <w:b/>
          <w:bCs/>
        </w:rPr>
        <w:t>Extrapolation and scaling</w:t>
      </w:r>
      <w:bookmarkEnd w:id="70"/>
    </w:p>
    <w:p w14:paraId="2ECD09E5" w14:textId="7C5F3D59" w:rsidR="00F97B35" w:rsidRDefault="00F97B35" w:rsidP="00F97B35">
      <w:pPr>
        <w:tabs>
          <w:tab w:val="num" w:pos="720"/>
        </w:tabs>
      </w:pPr>
      <w:r>
        <w:t xml:space="preserve">There is insufficient evidence in children and adolescents to support NRV derivation and consequently values must be extrapolated from adult values. For sodium, values are extrapolated based on relative energy requirements. </w:t>
      </w:r>
      <w:r w:rsidR="003B52B0">
        <w:t xml:space="preserve">This is consistent with the approaches used to derive previous sodium NRVs for children and adolescents in Australia and New Zealand </w:t>
      </w:r>
      <w:r w:rsidR="003B52B0">
        <w:fldChar w:fldCharType="begin"/>
      </w:r>
      <w:r w:rsidR="002130E9">
        <w:instrText xml:space="preserve"> ADDIN EN.CITE &lt;EndNote&gt;&lt;Cite ExcludeAuth="1"&gt;&lt;Author&gt;National Health and Medical Research Council&lt;/Author&gt;&lt;Year&gt;2006&lt;/Year&gt;&lt;RecNum&gt;4629&lt;/RecNum&gt;&lt;Prefix&gt;NHMRC`, &lt;/Prefix&gt;&lt;DisplayText&gt;(NHMRC, 2006b)&lt;/DisplayText&gt;&lt;record&gt;&lt;rec-number&gt;4629&lt;/rec-number&gt;&lt;foreign-keys&gt;&lt;key app="EN" db-id="wwsdv2wwp29fenerv0kx5tw9zxtx2fdrprx2" timestamp="1774923627"&gt;4629&lt;/key&gt;&lt;/foreign-keys&gt;&lt;ref-type name="Government Document"&gt;46&lt;/ref-type&gt;&lt;contributors&gt;&lt;authors&gt;&lt;author&gt;National Health and Medical Research Council, NHMRC&lt;/author&gt;&lt;/authors&gt;&lt;secondary-authors&gt;&lt;author&gt;Australian Government Department of Health and Ageing&lt;/author&gt;&lt;/secondary-authors&gt;&lt;/contributors&gt;&lt;titles&gt;&lt;title&gt;Nutrient Reference Values for Australia and New Zealand&lt;/title&gt;&lt;/titles&gt;&lt;dates&gt;&lt;year&gt;2006&lt;/year&gt;&lt;/dates&gt;&lt;pub-location&gt;Canberra&lt;/pub-location&gt;&lt;publisher&gt;NHMRC&lt;/publisher&gt;&lt;urls&gt;&lt;related-urls&gt;&lt;url&gt;https://www.nhmrc.gov.au/about-us/publications/nutrient-reference-values-australia-and-new-zealand-including-recommended-dietary-intakes&lt;/url&gt;&lt;/related-urls&gt;&lt;/urls&gt;&lt;/record&gt;&lt;/Cite&gt;&lt;/EndNote&gt;</w:instrText>
      </w:r>
      <w:r w:rsidR="003B52B0">
        <w:fldChar w:fldCharType="separate"/>
      </w:r>
      <w:r w:rsidR="002130E9">
        <w:rPr>
          <w:noProof/>
        </w:rPr>
        <w:t>(NHMRC, 2006b)</w:t>
      </w:r>
      <w:r w:rsidR="003B52B0">
        <w:fldChar w:fldCharType="end"/>
      </w:r>
      <w:r w:rsidR="002130E9">
        <w:t xml:space="preserve"> and other international approaches </w:t>
      </w:r>
      <w:r w:rsidR="002130E9">
        <w:fldChar w:fldCharType="begin"/>
      </w:r>
      <w:r w:rsidR="002130E9">
        <w:instrText xml:space="preserve"> ADDIN EN.CITE &lt;EndNote&gt;&lt;Cite ExcludeAuth="1"&gt;&lt;Author&gt;European Food Safety Authority&lt;/Author&gt;&lt;Year&gt;2019&lt;/Year&gt;&lt;RecNum&gt;4610&lt;/RecNum&gt;&lt;Prefix&gt;EFSA`, &lt;/Prefix&gt;&lt;DisplayText&gt;(EFSA, 2019; NASEM, 2019)&lt;/DisplayText&gt;&lt;record&gt;&lt;rec-number&gt;4610&lt;/rec-number&gt;&lt;foreign-keys&gt;&lt;key app="EN" db-id="wwsdv2wwp29fenerv0kx5tw9zxtx2fdrprx2" timestamp="1774919605"&gt;4610&lt;/key&gt;&lt;/foreign-keys&gt;&lt;ref-type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Cite ExcludeAuth="1"&gt;&lt;Author&gt;National Academies of Sciences&lt;/Author&gt;&lt;Year&gt;2019&lt;/Year&gt;&lt;RecNum&gt;4618&lt;/RecNum&gt;&lt;Prefix&gt;NASEM`, &lt;/Prefix&gt;&lt;record&gt;&lt;rec-number&gt;4618&lt;/rec-number&gt;&lt;foreign-keys&gt;&lt;key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sidR="002130E9">
        <w:fldChar w:fldCharType="separate"/>
      </w:r>
      <w:r w:rsidR="002130E9">
        <w:rPr>
          <w:noProof/>
        </w:rPr>
        <w:t>(EFSA, 2019; NASEM, 2019)</w:t>
      </w:r>
      <w:r w:rsidR="002130E9">
        <w:fldChar w:fldCharType="end"/>
      </w:r>
      <w:r w:rsidR="00195653">
        <w:t xml:space="preserve">, along with the NHMRC Methodological Framework for deriving NRVs </w:t>
      </w:r>
      <w:r w:rsidR="00195653">
        <w:fldChar w:fldCharType="begin"/>
      </w:r>
      <w:r w:rsidR="00195653">
        <w:instrText xml:space="preserve"> ADDIN EN.CITE &lt;EndNote&gt;&lt;Cite ExcludeAuth="1"&gt;&lt;Author&gt;National Health and Medical Research Council&lt;/Author&gt;&lt;Year&gt;2026&lt;/Year&gt;&lt;RecNum&gt;4727&lt;/RecNum&gt;&lt;Prefix&gt;NHMRC`, &lt;/Prefix&gt;&lt;DisplayText&gt;(NHMRC, 2026)&lt;/DisplayText&gt;&lt;record&gt;&lt;rec-number&gt;4727&lt;/rec-number&gt;&lt;foreign-keys&gt;&lt;key app="EN" db-id="wwsdv2wwp29fenerv0kx5tw9zxtx2fdrprx2" timestamp="1780273346"&gt;4727&lt;/key&gt;&lt;/foreign-keys&gt;&lt;ref-type name="Government Document"&gt;46&lt;/ref-type&gt;&lt;contributors&gt;&lt;authors&gt;&lt;author&gt;National Health and Medical Research Council, NHMRC&lt;/author&gt;&lt;/authors&gt;&lt;/contributors&gt;&lt;titles&gt;&lt;title&gt;Methodological Framework for the Review of Nutrient Reference Values&lt;/title&gt;&lt;/titles&gt;&lt;edition&gt;V3.6 May 2026&lt;/edition&gt;&lt;dates&gt;&lt;year&gt;2026&lt;/year&gt;&lt;/dates&gt;&lt;pub-location&gt;Canberra, ACT&lt;/pub-location&gt;&lt;publisher&gt;NHMRC&lt;/publisher&gt;&lt;urls&gt;&lt;related-urls&gt;&lt;url&gt;URL TBC ONCE PUBLISHED&lt;/url&gt;&lt;/related-urls&gt;&lt;/urls&gt;&lt;/record&gt;&lt;/Cite&gt;&lt;/EndNote&gt;</w:instrText>
      </w:r>
      <w:r w:rsidR="00195653">
        <w:fldChar w:fldCharType="separate"/>
      </w:r>
      <w:r w:rsidR="00195653">
        <w:rPr>
          <w:noProof/>
        </w:rPr>
        <w:t>(NHMRC, 2026)</w:t>
      </w:r>
      <w:r w:rsidR="00195653">
        <w:fldChar w:fldCharType="end"/>
      </w:r>
      <w:r w:rsidR="00195653">
        <w:t xml:space="preserve">. </w:t>
      </w:r>
    </w:p>
    <w:p w14:paraId="42272366" w14:textId="5A0FE4E5" w:rsidR="00F97B35" w:rsidRPr="00132CC8" w:rsidRDefault="00F97B35" w:rsidP="00F97B35">
      <w:pPr>
        <w:pStyle w:val="Heading3"/>
      </w:pPr>
      <w:bookmarkStart w:id="71" w:name="_Toc234960855"/>
      <w:r w:rsidRPr="00132CC8">
        <w:t>Rationale for s</w:t>
      </w:r>
      <w:r>
        <w:t>caling approach</w:t>
      </w:r>
      <w:bookmarkEnd w:id="71"/>
    </w:p>
    <w:p w14:paraId="10EE7B6E" w14:textId="207C2D28" w:rsidR="00F97B35" w:rsidRPr="00C72D39" w:rsidRDefault="00F97B35" w:rsidP="00EB34BD">
      <w:pPr>
        <w:tabs>
          <w:tab w:val="num" w:pos="720"/>
        </w:tabs>
      </w:pPr>
      <w:r w:rsidRPr="00C72D39">
        <w:t>Energy requirements reflect</w:t>
      </w:r>
      <w:r>
        <w:t xml:space="preserve"> needs for </w:t>
      </w:r>
      <w:r w:rsidRPr="00C72D39">
        <w:t>basal metabolism</w:t>
      </w:r>
      <w:r>
        <w:t xml:space="preserve">, </w:t>
      </w:r>
      <w:r w:rsidRPr="00C72D39">
        <w:t>physical activity</w:t>
      </w:r>
      <w:r>
        <w:t xml:space="preserve">, </w:t>
      </w:r>
      <w:r w:rsidRPr="00C72D39">
        <w:t>thermoregulation</w:t>
      </w:r>
      <w:r>
        <w:t xml:space="preserve"> and </w:t>
      </w:r>
      <w:r w:rsidRPr="00C72D39">
        <w:t>growth</w:t>
      </w:r>
      <w:r w:rsidR="007C7020">
        <w:t xml:space="preserve">, and integrate both </w:t>
      </w:r>
      <w:r>
        <w:t xml:space="preserve">maintenance and growth </w:t>
      </w:r>
      <w:r w:rsidRPr="00C72D39">
        <w:t>processes which drive overall nutrient turnover.</w:t>
      </w:r>
      <w:r w:rsidR="00EB34BD">
        <w:t xml:space="preserve"> </w:t>
      </w:r>
      <w:r>
        <w:t xml:space="preserve">Higher energy requirements must be met by higher food intakes, and </w:t>
      </w:r>
      <w:r w:rsidRPr="00C72D39">
        <w:t>habitual diet patterns and food quantity</w:t>
      </w:r>
      <w:r>
        <w:t xml:space="preserve"> are key drivers of sodium intake. Therefore, sodium intake tends to scale with energy requirements/food intake. </w:t>
      </w:r>
    </w:p>
    <w:p w14:paraId="70E56512" w14:textId="7C4D3EBC" w:rsidR="00F97B35" w:rsidRPr="00C72D39" w:rsidRDefault="00F97B35" w:rsidP="007C0E70">
      <w:r>
        <w:t xml:space="preserve">In comparison, body weight scaling is not appropriate </w:t>
      </w:r>
      <w:r w:rsidR="00EB34BD">
        <w:t xml:space="preserve">for sodium </w:t>
      </w:r>
      <w:r>
        <w:t xml:space="preserve">because metabolic processes (including renal function and extracellular fluid regulation) do not scale linearly with body weight. Children have higher energy expenditure </w:t>
      </w:r>
      <w:r w:rsidR="00EB34BD">
        <w:t xml:space="preserve">relative to </w:t>
      </w:r>
      <w:r>
        <w:t xml:space="preserve">body weight, and different body composition and extracellular fluid distribution. </w:t>
      </w:r>
      <w:r w:rsidRPr="00C72D39">
        <w:t xml:space="preserve">Weight-based scaling </w:t>
      </w:r>
      <w:r>
        <w:t xml:space="preserve">is likely to over- or under- estimate </w:t>
      </w:r>
      <w:r w:rsidRPr="00C72D39">
        <w:t xml:space="preserve">needs, </w:t>
      </w:r>
      <w:r>
        <w:t xml:space="preserve">particularly </w:t>
      </w:r>
      <w:r w:rsidRPr="00C72D39">
        <w:t>in</w:t>
      </w:r>
      <w:r w:rsidR="007C0E70">
        <w:t xml:space="preserve"> </w:t>
      </w:r>
      <w:r w:rsidRPr="00C72D39">
        <w:t>early childhood (high metabolic rate per kg)</w:t>
      </w:r>
      <w:r w:rsidR="007C0E70">
        <w:t xml:space="preserve"> or </w:t>
      </w:r>
      <w:r w:rsidRPr="00C72D39">
        <w:t>adolescence (rapid growth, changing composition)</w:t>
      </w:r>
      <w:r w:rsidR="007C0E70">
        <w:t>.</w:t>
      </w:r>
    </w:p>
    <w:p w14:paraId="1B41AC73" w14:textId="77021874" w:rsidR="00F97B35" w:rsidRPr="00132CC8" w:rsidRDefault="00F97B35" w:rsidP="00D94474">
      <w:pPr>
        <w:spacing w:after="80"/>
      </w:pPr>
      <w:r>
        <w:t>Surface area/allometric scaling is also not appropriate</w:t>
      </w:r>
      <w:r w:rsidR="007C0E70">
        <w:t xml:space="preserve"> in this context</w:t>
      </w:r>
      <w:r>
        <w:t xml:space="preserve">. This method of scaling </w:t>
      </w:r>
      <w:r w:rsidR="007C0E70">
        <w:t>assumes</w:t>
      </w:r>
      <w:r>
        <w:t xml:space="preserve"> that r</w:t>
      </w:r>
      <w:r w:rsidRPr="00174BA0">
        <w:t>equirements for nutrients involved in metabolism (e.g. energy, protein turnover, micronutrients linked to enzymatic processes) scale</w:t>
      </w:r>
      <w:r w:rsidR="007C0E70">
        <w:t xml:space="preserve"> relative to </w:t>
      </w:r>
      <w:r w:rsidRPr="00174BA0">
        <w:t>metabolic body size or surface area, rather than body weight</w:t>
      </w:r>
      <w:r>
        <w:t xml:space="preserve"> alone</w:t>
      </w:r>
      <w:r w:rsidRPr="00174BA0">
        <w:t>.</w:t>
      </w:r>
      <w:r w:rsidR="00D94474">
        <w:t xml:space="preserve"> However, f</w:t>
      </w:r>
      <w:r w:rsidRPr="00132CC8">
        <w:t>or sodium requirement is driven by losses</w:t>
      </w:r>
      <w:r>
        <w:t xml:space="preserve"> (via urinary, sweat and faecal routes)</w:t>
      </w:r>
      <w:r w:rsidRPr="00132CC8">
        <w:t>, not metabolic turnover</w:t>
      </w:r>
      <w:r>
        <w:t xml:space="preserve">. </w:t>
      </w:r>
      <w:r w:rsidRPr="00132CC8">
        <w:t>These losses depend on:</w:t>
      </w:r>
    </w:p>
    <w:p w14:paraId="41818301" w14:textId="77777777" w:rsidR="00F97B35" w:rsidRPr="00132CC8" w:rsidRDefault="00F97B35" w:rsidP="005411B7">
      <w:pPr>
        <w:numPr>
          <w:ilvl w:val="0"/>
          <w:numId w:val="10"/>
        </w:numPr>
        <w:spacing w:after="80"/>
      </w:pPr>
      <w:r w:rsidRPr="00132CC8">
        <w:t>intake (via homeostatic excretion)</w:t>
      </w:r>
    </w:p>
    <w:p w14:paraId="208BA54B" w14:textId="77777777" w:rsidR="00F97B35" w:rsidRPr="00132CC8" w:rsidRDefault="00F97B35" w:rsidP="005411B7">
      <w:pPr>
        <w:numPr>
          <w:ilvl w:val="0"/>
          <w:numId w:val="10"/>
        </w:numPr>
        <w:spacing w:after="80"/>
      </w:pPr>
      <w:r w:rsidRPr="00132CC8">
        <w:t>diet composition</w:t>
      </w:r>
    </w:p>
    <w:p w14:paraId="2850DF40" w14:textId="77777777" w:rsidR="00F97B35" w:rsidRPr="00132CC8" w:rsidRDefault="00F97B35" w:rsidP="005411B7">
      <w:pPr>
        <w:numPr>
          <w:ilvl w:val="0"/>
          <w:numId w:val="10"/>
        </w:numPr>
        <w:spacing w:after="80"/>
      </w:pPr>
      <w:r w:rsidRPr="00132CC8">
        <w:t>environment (e.g. temperature, sweating)</w:t>
      </w:r>
    </w:p>
    <w:p w14:paraId="41916C26" w14:textId="77777777" w:rsidR="00F97B35" w:rsidRPr="00132CC8" w:rsidRDefault="00F97B35" w:rsidP="005411B7">
      <w:pPr>
        <w:numPr>
          <w:ilvl w:val="0"/>
          <w:numId w:val="10"/>
        </w:numPr>
      </w:pPr>
      <w:r w:rsidRPr="00132CC8">
        <w:t>kidney function</w:t>
      </w:r>
    </w:p>
    <w:p w14:paraId="02EEB5BD" w14:textId="77777777" w:rsidR="00F97B35" w:rsidRPr="00132CC8" w:rsidRDefault="00F97B35" w:rsidP="00F97B35">
      <w:r w:rsidRPr="00132CC8">
        <w:t>They do not follow a consistent allometric relationship with body weight or surface area.</w:t>
      </w:r>
      <w:r>
        <w:t xml:space="preserve"> Furthermore, homeostatic regulation of sodium means that rather than being a fixed requirement aligned with ‘metabolic demand’, sodium requirements exist within a range of intakes that are compatible with physiological regulation. </w:t>
      </w:r>
    </w:p>
    <w:p w14:paraId="2612428F" w14:textId="31F3267E" w:rsidR="00F97B35" w:rsidRPr="00C72D39" w:rsidRDefault="00700E80" w:rsidP="00F97B35">
      <w:r>
        <w:t xml:space="preserve">In summary, energy-based scaling was applied </w:t>
      </w:r>
      <w:r w:rsidR="00F97B35" w:rsidRPr="00C72D39">
        <w:t xml:space="preserve">because energy requirements integrate the major determinants of nutrient utilisation—maintenance metabolism, physical activity, and growth—while also acting as a proxy for food intake and, therefore, electrolyte exposure. </w:t>
      </w:r>
    </w:p>
    <w:p w14:paraId="54259DE4" w14:textId="77777777" w:rsidR="00F97B35" w:rsidRPr="00F97B35" w:rsidRDefault="00F97B35" w:rsidP="00F97B35"/>
    <w:p w14:paraId="73999F3C" w14:textId="77777777" w:rsidR="00FB4307" w:rsidRDefault="00FB4307">
      <w:pPr>
        <w:rPr>
          <w:rFonts w:asciiTheme="majorHAnsi" w:eastAsiaTheme="majorEastAsia" w:hAnsiTheme="majorHAnsi" w:cstheme="majorBidi"/>
          <w:b/>
          <w:bCs/>
          <w:color w:val="0F4761" w:themeColor="accent1" w:themeShade="BF"/>
          <w:sz w:val="32"/>
          <w:szCs w:val="32"/>
        </w:rPr>
      </w:pPr>
      <w:r>
        <w:rPr>
          <w:b/>
          <w:bCs/>
        </w:rPr>
        <w:br w:type="page"/>
      </w:r>
    </w:p>
    <w:p w14:paraId="3C696CA8" w14:textId="2894E81E" w:rsidR="00E13774" w:rsidRPr="00C44EA6" w:rsidRDefault="00C23AB3" w:rsidP="00C44EA6">
      <w:pPr>
        <w:pStyle w:val="Heading2"/>
        <w:tabs>
          <w:tab w:val="left" w:pos="5546"/>
        </w:tabs>
        <w:rPr>
          <w:b/>
          <w:bCs/>
        </w:rPr>
      </w:pPr>
      <w:bookmarkStart w:id="72" w:name="_Toc234960856"/>
      <w:r w:rsidRPr="00C44EA6">
        <w:rPr>
          <w:b/>
          <w:bCs/>
        </w:rPr>
        <w:lastRenderedPageBreak/>
        <w:t>Adequate Intake</w:t>
      </w:r>
      <w:bookmarkEnd w:id="72"/>
    </w:p>
    <w:p w14:paraId="1AF4B286" w14:textId="29D310DB" w:rsidR="00AB7E26" w:rsidRDefault="00AB7E26" w:rsidP="00AB7E26">
      <w:pPr>
        <w:pStyle w:val="Heading3"/>
      </w:pPr>
      <w:bookmarkStart w:id="73" w:name="_Toc234960857"/>
      <w:r>
        <w:t>Adults</w:t>
      </w:r>
      <w:bookmarkEnd w:id="73"/>
    </w:p>
    <w:p w14:paraId="1E4F8D92" w14:textId="5CAFDF92" w:rsidR="00DD5F2B" w:rsidRPr="00C45FCA" w:rsidRDefault="00DD5F2B" w:rsidP="00DD5F2B">
      <w:pPr>
        <w:spacing w:line="276" w:lineRule="auto"/>
      </w:pPr>
      <w:r w:rsidRPr="00C45FCA">
        <w:t xml:space="preserve">The AHRQ (2018) review sought evidence from low sodium dose trials that reported no adverse effects for the purposes of establishing Adequate Intake recommendations. Four </w:t>
      </w:r>
      <w:r>
        <w:t xml:space="preserve">of the identified RCTs </w:t>
      </w:r>
      <w:r w:rsidRPr="00C45FCA">
        <w:t>were conducted in Australia or New Zealand</w:t>
      </w:r>
      <w:r>
        <w:t xml:space="preserve"> and reported </w:t>
      </w:r>
      <w:r w:rsidRPr="00C45FCA">
        <w:t>sodium intakes ranging from 851</w:t>
      </w:r>
      <w:r>
        <w:t xml:space="preserve"> to </w:t>
      </w:r>
      <w:r w:rsidRPr="00C45FCA">
        <w:t>1</w:t>
      </w:r>
      <w:r>
        <w:t>,578</w:t>
      </w:r>
      <w:r w:rsidRPr="00C45FCA">
        <w:t xml:space="preserve"> mg/day</w:t>
      </w:r>
      <w:r>
        <w:t xml:space="preserve"> </w:t>
      </w:r>
      <w:r>
        <w:fldChar w:fldCharType="begin">
          <w:fldData xml:space="preserve">PEVuZE5vdGU+PENpdGU+PEF1dGhvcj5CZWFyZDwvQXV0aG9yPjxZZWFyPjE5ODI8L1llYXI+PFJl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==
</w:fldData>
        </w:fldChar>
      </w:r>
      <w:r>
        <w:instrText xml:space="preserve"> ADDIN EN.CITE </w:instrText>
      </w:r>
      <w:r>
        <w:fldChar w:fldCharType="begin">
          <w:fldData xml:space="preserve">PEVuZE5vdGU+PENpdGU+PEF1dGhvcj5CZWFyZDwvQXV0aG9yPjxZZWFyPjE5ODI8L1llYXI+PFJl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==
</w:fldData>
        </w:fldChar>
      </w:r>
      <w:r>
        <w:instrText xml:space="preserve"> ADDIN EN.CITE.DATA </w:instrText>
      </w:r>
      <w:r>
        <w:fldChar w:fldCharType="end"/>
      </w:r>
      <w:r>
        <w:fldChar w:fldCharType="separate"/>
      </w:r>
      <w:r>
        <w:rPr>
          <w:noProof/>
        </w:rPr>
        <w:t>(Beard et al., 1982; Parker et al., 1990; Sciarrone et al., 1992; Todd et al., 2012)</w:t>
      </w:r>
      <w:r>
        <w:fldChar w:fldCharType="end"/>
      </w:r>
      <w:r w:rsidRPr="00C45FCA">
        <w:t xml:space="preserve">. The risk of bias </w:t>
      </w:r>
      <w:r>
        <w:t>-</w:t>
      </w:r>
      <w:r w:rsidRPr="00C45FCA">
        <w:t xml:space="preserve">as reported by </w:t>
      </w:r>
      <w:r w:rsidRPr="00C45FCA">
        <w:fldChar w:fldCharType="begin"/>
      </w:r>
      <w:r>
        <w:instrText xml:space="preserve"> ADDIN EN.CITE &lt;EndNote&gt;&lt;Cite AuthorYear="1"&gt;&lt;Author&gt;Newberry&lt;/Author&gt;&lt;Year&gt;2018&lt;/Year&gt;&lt;RecNum&gt;621&lt;/RecNum&gt;&lt;DisplayText&gt;Newberry et al. (2018)&lt;/DisplayText&gt;&lt;record&gt;&lt;rec-number&gt;621&lt;/rec-number&gt;&lt;foreign-keys&gt;&lt;key app="EN" db-id="wwsdv2wwp29fenerv0kx5tw9zxtx2fdrprx2" timestamp="1762743452"&gt;621&lt;/key&gt;&lt;/foreign-keys&gt;&lt;ref-type name="Book Section"&gt;5&lt;/ref-type&gt;&lt;contributors&gt;&lt;authors&gt;&lt;author&gt;Newberry, S. J.&lt;/author&gt;&lt;author&gt;Chung, M.&lt;/author&gt;&lt;author&gt;Anderson, C. A. M.&lt;/author&gt;&lt;author&gt;Chen, C.&lt;/author&gt;&lt;author&gt;Fu, Z.&lt;/author&gt;&lt;author&gt;Tang, A.&lt;/author&gt;&lt;author&gt;Zhao, N.&lt;/author&gt;&lt;author&gt;Booth, M.&lt;/author&gt;&lt;author&gt;Marks, J.&lt;/author&gt;&lt;author&gt;Hollands, S.&lt;/author&gt;&lt;author&gt;Motala, A.&lt;/author&gt;&lt;author&gt;Larkin, J.&lt;/author&gt;&lt;author&gt;Shanman, R.&lt;/author&gt;&lt;author&gt;Hempel, S.&lt;/author&gt;&lt;/authors&gt;&lt;/contributors&gt;&lt;auth-address&gt;RAND Southern California Evidence-based Practice Center&lt;/auth-address&gt;&lt;titles&gt;&lt;title&gt;Sodium and Potassium Intake: Effects on Chronic Disease Outcomes and Risks&lt;/title&gt;&lt;tertiary-title&gt;AHRQ Comparative Effectiveness Reviews&lt;/tertiary-title&gt;&lt;/titles&gt;&lt;dates&gt;&lt;year&gt;2018&lt;/year&gt;&lt;/dates&gt;&lt;pub-location&gt;Rockville (MD)&lt;/pub-location&gt;&lt;publisher&gt;Agency for Healthcare Research and Quality (US)&lt;/publisher&gt;&lt;accession-num&gt;30125063&lt;/accession-num&gt;&lt;urls&gt;&lt;/urls&gt;&lt;language&gt;eng&lt;/language&gt;&lt;/record&gt;&lt;/Cite&gt;&lt;/EndNote&gt;</w:instrText>
      </w:r>
      <w:r w:rsidRPr="00C45FCA">
        <w:fldChar w:fldCharType="separate"/>
      </w:r>
      <w:r>
        <w:rPr>
          <w:noProof/>
        </w:rPr>
        <w:t>Newberry et al. (2018)</w:t>
      </w:r>
      <w:r w:rsidRPr="00C45FCA">
        <w:fldChar w:fldCharType="end"/>
      </w:r>
      <w:r>
        <w:t xml:space="preserve"> - varied across studies with 2 studies low </w:t>
      </w:r>
      <w:r>
        <w:fldChar w:fldCharType="begin">
          <w:fldData xml:space="preserve">PEVuZE5vdGU+PENpdGU+PEF1dGhvcj5QYXJrZXI8L0F1dGhvcj48WWVhcj4xOTkwPC9ZZWFyPjxS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</w:fldData>
        </w:fldChar>
      </w:r>
      <w:r>
        <w:instrText xml:space="preserve"> ADDIN EN.CITE </w:instrText>
      </w:r>
      <w:r>
        <w:fldChar w:fldCharType="begin">
          <w:fldData xml:space="preserve">PEVuZE5vdGU+PENpdGU+PEF1dGhvcj5QYXJrZXI8L0F1dGhvcj48WWVhcj4xOTkwPC9ZZWFyPjxS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</w:fldData>
        </w:fldChar>
      </w:r>
      <w:r>
        <w:instrText xml:space="preserve"> ADDIN EN.CITE.DATA </w:instrText>
      </w:r>
      <w:r>
        <w:fldChar w:fldCharType="end"/>
      </w:r>
      <w:r>
        <w:fldChar w:fldCharType="separate"/>
      </w:r>
      <w:r>
        <w:rPr>
          <w:noProof/>
        </w:rPr>
        <w:t>(Parker et al., 1990; Sciarrone et al., 1992)</w:t>
      </w:r>
      <w:r>
        <w:fldChar w:fldCharType="end"/>
      </w:r>
      <w:r>
        <w:t xml:space="preserve">, 1 moderate </w:t>
      </w:r>
      <w:r>
        <w:fldChar w:fldCharType="begin"/>
      </w:r>
      <w:r>
        <w:instrText xml:space="preserve"> ADDIN EN.CITE &lt;EndNote&gt;&lt;Cite&gt;&lt;Author&gt;Todd&lt;/Author&gt;&lt;Year&gt;2012&lt;/Year&gt;&lt;RecNum&gt;4761&lt;/RecNum&gt;&lt;DisplayText&gt;(Todd et al., 2012)&lt;/DisplayText&gt;&lt;record&gt;&lt;rec-number&gt;4761&lt;/rec-number&gt;&lt;foreign-keys&gt;&lt;key app="EN" db-id="wwsdv2wwp29fenerv0kx5tw9zxtx2fdrprx2" timestamp="1782794139"&gt;4761&lt;/key&gt;&lt;/foreign-keys&gt;&lt;ref-type name="Journal Article"&gt;17&lt;/ref-type&gt;&lt;contributors&gt;&lt;authors&gt;&lt;author&gt;Todd, A. S.&lt;/author&gt;&lt;author&gt;Macginley, R. J.&lt;/author&gt;&lt;author&gt;Schollum, J. B.&lt;/author&gt;&lt;author&gt;Williams, S. M.&lt;/author&gt;&lt;author&gt;Sutherland, W. H.&lt;/author&gt;&lt;author&gt;Mann, J. I.&lt;/author&gt;&lt;author&gt;Walker, R. J.&lt;/author&gt;&lt;/authors&gt;&lt;/contributors&gt;&lt;auth-address&gt;Departments of Medicine Preventive and Social Medicine, University of Otago, Dunedin, New Zealand.&lt;/auth-address&gt;&lt;titles&gt;&lt;title&gt;Dietary sodium loading in normotensive healthy volunteers does not increase arterial vascular reactivity or blood pressure&lt;/title&gt;&lt;secondary-title&gt;Nephrology (Carlton)&lt;/secondary-title&gt;&lt;/titles&gt;&lt;periodical&gt;&lt;full-title&gt;Nephrology (Carlton)&lt;/full-title&gt;&lt;/periodical&gt;&lt;pages&gt;249-56&lt;/pages&gt;&lt;volume&gt;17&lt;/volume&gt;&lt;number&gt;3&lt;/number&gt;&lt;keywords&gt;&lt;keyword&gt;Adult&lt;/keyword&gt;&lt;keyword&gt;Blood Flow Velocity/*drug effects&lt;/keyword&gt;&lt;keyword&gt;Blood Pressure/*drug effects&lt;/keyword&gt;&lt;keyword&gt;Female&lt;/keyword&gt;&lt;keyword&gt;Humans&lt;/keyword&gt;&lt;keyword&gt;Kidney/metabolism&lt;/keyword&gt;&lt;keyword&gt;Male&lt;/keyword&gt;&lt;keyword&gt;Middle Aged&lt;/keyword&gt;&lt;keyword&gt;Pulsatile Flow&lt;/keyword&gt;&lt;keyword&gt;Sodium, Dietary/*administration &amp;amp; dosage/metabolism&lt;/keyword&gt;&lt;/keywords&gt;&lt;dates&gt;&lt;year&gt;2012&lt;/year&gt;&lt;pub-dates&gt;&lt;date&gt;Mar&lt;/date&gt;&lt;/pub-dates&gt;&lt;/dates&gt;&lt;isbn&gt;1320-5358&lt;/isbn&gt;&lt;accession-num&gt;22171802&lt;/accession-num&gt;&lt;urls&gt;&lt;/urls&gt;&lt;electronic-resource-num&gt;10.1111/j.1440-1797.2011.01550.x&lt;/electronic-resource-num&gt;&lt;remote-database-provider&gt;NLM&lt;/remote-database-provider&gt;&lt;language&gt;eng&lt;/language&gt;&lt;/record&gt;&lt;/Cite&gt;&lt;/EndNote&gt;</w:instrText>
      </w:r>
      <w:r>
        <w:fldChar w:fldCharType="separate"/>
      </w:r>
      <w:r>
        <w:rPr>
          <w:noProof/>
        </w:rPr>
        <w:t>(Todd et al., 2012)</w:t>
      </w:r>
      <w:r>
        <w:fldChar w:fldCharType="end"/>
      </w:r>
      <w:r>
        <w:t xml:space="preserve"> and 1 high </w:t>
      </w:r>
      <w:r>
        <w:fldChar w:fldCharType="begin"/>
      </w:r>
      <w:r>
        <w:instrText xml:space="preserve"> ADDIN EN.CITE &lt;EndNote&gt;&lt;Cite&gt;&lt;Author&gt;Beard&lt;/Author&gt;&lt;Year&gt;1982&lt;/Year&gt;&lt;RecNum&gt;4764&lt;/RecNum&gt;&lt;DisplayText&gt;(Beard et al., 1982)&lt;/DisplayText&gt;&lt;record&gt;&lt;rec-number&gt;4764&lt;/rec-number&gt;&lt;foreign-keys&gt;&lt;key app="EN" db-id="wwsdv2wwp29fenerv0kx5tw9zxtx2fdrprx2" timestamp="1782794697"&gt;4764&lt;/key&gt;&lt;/foreign-keys&gt;&lt;ref-type name="Journal Article"&gt;17&lt;/ref-type&gt;&lt;contributors&gt;&lt;authors&gt;&lt;author&gt;Beard, T. C.&lt;/author&gt;&lt;author&gt;Cooke, H. M.&lt;/author&gt;&lt;author&gt;Gray, W. R.&lt;/author&gt;&lt;author&gt;Barge, R.&lt;/author&gt;&lt;/authors&gt;&lt;/contributors&gt;&lt;titles&gt;&lt;title&gt;Randomised controlled trial of a no-added-sodium diet for mild hypertension&lt;/title&gt;&lt;secondary-title&gt;Lancet&lt;/secondary-title&gt;&lt;/titles&gt;&lt;periodical&gt;&lt;full-title&gt;Lancet&lt;/full-title&gt;&lt;/periodical&gt;&lt;pages&gt;455-8&lt;/pages&gt;&lt;volume&gt;2&lt;/volume&gt;&lt;number&gt;8296&lt;/number&gt;&lt;keywords&gt;&lt;keyword&gt;Adult&lt;/keyword&gt;&lt;keyword&gt;Aged&lt;/keyword&gt;&lt;keyword&gt;Blood Pressure&lt;/keyword&gt;&lt;keyword&gt;Body Weight&lt;/keyword&gt;&lt;keyword&gt;Clinical Trials as Topic&lt;/keyword&gt;&lt;keyword&gt;*Diet, Sodium-Restricted&lt;/keyword&gt;&lt;keyword&gt;Double-Blind Method&lt;/keyword&gt;&lt;keyword&gt;Female&lt;/keyword&gt;&lt;keyword&gt;Humans&lt;/keyword&gt;&lt;keyword&gt;Hypertension/*diet therapy/prevention &amp;amp; control&lt;/keyword&gt;&lt;keyword&gt;Male&lt;/keyword&gt;&lt;keyword&gt;Middle Aged&lt;/keyword&gt;&lt;keyword&gt;Quality of Life&lt;/keyword&gt;&lt;keyword&gt;Random Allocation&lt;/keyword&gt;&lt;/keywords&gt;&lt;dates&gt;&lt;year&gt;1982&lt;/year&gt;&lt;pub-dates&gt;&lt;date&gt;Aug 28&lt;/date&gt;&lt;/pub-dates&gt;&lt;/dates&gt;&lt;isbn&gt;0140-6736 (Print)&amp;#xD;0140-6736&lt;/isbn&gt;&lt;accession-num&gt;6125636&lt;/accession-num&gt;&lt;urls&gt;&lt;/urls&gt;&lt;electronic-resource-num&gt;10.1016/s0140-6736(82)90491-3&lt;/electronic-resource-num&gt;&lt;remote-database-provider&gt;NLM&lt;/remote-database-provider&gt;&lt;language&gt;eng&lt;/language&gt;&lt;/record&gt;&lt;/Cite&gt;&lt;/EndNote&gt;</w:instrText>
      </w:r>
      <w:r>
        <w:fldChar w:fldCharType="separate"/>
      </w:r>
      <w:r>
        <w:rPr>
          <w:noProof/>
        </w:rPr>
        <w:t>(Beard et al., 1982)</w:t>
      </w:r>
      <w:r>
        <w:fldChar w:fldCharType="end"/>
      </w:r>
      <w:r>
        <w:t xml:space="preserve"> risk of bias. Two studies - one conducted in Australia and one in New Zealand - reported no adverse outcomes with mean intakes of around 1,230 mg/day </w:t>
      </w:r>
      <w:r>
        <w:fldChar w:fldCharType="begin">
          <w:fldData xml:space="preserve">PEVuZE5vdGU+PENpdGU+PEF1dGhvcj5TY2lhcnJvbmU8L0F1dGhvcj48WWVhcj4xOTkyPC9ZZWFy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</w:fldData>
        </w:fldChar>
      </w:r>
      <w:r>
        <w:instrText xml:space="preserve"> ADDIN EN.CITE </w:instrText>
      </w:r>
      <w:r>
        <w:fldChar w:fldCharType="begin">
          <w:fldData xml:space="preserve">PEVuZE5vdGU+PENpdGU+PEF1dGhvcj5TY2lhcnJvbmU8L0F1dGhvcj48WWVhcj4xOTkyPC9ZZWFy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</w:fldData>
        </w:fldChar>
      </w:r>
      <w:r>
        <w:instrText xml:space="preserve"> ADDIN EN.CITE.DATA </w:instrText>
      </w:r>
      <w:r>
        <w:fldChar w:fldCharType="end"/>
      </w:r>
      <w:r>
        <w:fldChar w:fldCharType="separate"/>
      </w:r>
      <w:r>
        <w:rPr>
          <w:noProof/>
        </w:rPr>
        <w:t>(Sciarrone et al., 1992; Todd et al., 2012)</w:t>
      </w:r>
      <w:r>
        <w:fldChar w:fldCharType="end"/>
      </w:r>
      <w:r>
        <w:t>.</w:t>
      </w:r>
    </w:p>
    <w:p w14:paraId="6CF6DA1A" w14:textId="44AC69A6" w:rsidR="00DD5F2B" w:rsidRDefault="00DD5F2B" w:rsidP="00DD5F2B">
      <w:pPr>
        <w:spacing w:line="276" w:lineRule="auto"/>
      </w:pPr>
      <w:r>
        <w:t>Furthermore, although b</w:t>
      </w:r>
      <w:r w:rsidRPr="00C45FCA">
        <w:t xml:space="preserve">alance studies </w:t>
      </w:r>
      <w:r>
        <w:t xml:space="preserve">are </w:t>
      </w:r>
      <w:r w:rsidRPr="00C45FCA">
        <w:t xml:space="preserve">not sufficiently reliable </w:t>
      </w:r>
      <w:r>
        <w:t xml:space="preserve">for establishing recommendations, they provide a useful benchmark of requirements. The one balance study identified </w:t>
      </w:r>
      <w:r w:rsidRPr="00C45FCA">
        <w:t xml:space="preserve">that adequately measured losses and intake found positive balance </w:t>
      </w:r>
      <w:r>
        <w:t xml:space="preserve">with intakes of </w:t>
      </w:r>
      <w:r w:rsidRPr="00C45FCA">
        <w:t>1,300 mg/day among 11 – 14 y</w:t>
      </w:r>
      <w:r>
        <w:t xml:space="preserve">ear old </w:t>
      </w:r>
      <w:r w:rsidR="00390072">
        <w:t xml:space="preserve">adolescents </w:t>
      </w:r>
      <w:r w:rsidR="00390072">
        <w:fldChar w:fldCharType="begin"/>
      </w:r>
      <w:r w:rsidR="00390072">
        <w:instrText xml:space="preserve"> ADDIN EN.CITE &lt;EndNote&gt;&lt;Cite&gt;&lt;Author&gt;Palacios&lt;/Author&gt;&lt;Year&gt;2004&lt;/Year&gt;&lt;RecNum&gt;4649&lt;/RecNum&gt;&lt;DisplayText&gt;(Palacios et al., 2004)&lt;/DisplayText&gt;&lt;record&gt;&lt;rec-number&gt;4649&lt;/rec-number&gt;&lt;foreign-keys&gt;&lt;key app="EN" db-id="wwsdv2wwp29fenerv0kx5tw9zxtx2fdrprx2" timestamp="1774936584"&gt;4649&lt;/key&gt;&lt;/foreign-keys&gt;&lt;ref-type name="Journal Article"&gt;17&lt;/ref-type&gt;&lt;contributors&gt;&lt;authors&gt;&lt;author&gt;Palacios, C.&lt;/author&gt;&lt;author&gt;Wigertz, K.&lt;/author&gt;&lt;author&gt;Martin, B. R.&lt;/author&gt;&lt;author&gt;Jackman, L.&lt;/author&gt;&lt;author&gt;Pratt, J. H.&lt;/author&gt;&lt;author&gt;Peacock, M.&lt;/author&gt;&lt;author&gt;McCabe, G.&lt;/author&gt;&lt;author&gt;Weaver, C. M.&lt;/author&gt;&lt;/authors&gt;&lt;/contributors&gt;&lt;auth-address&gt;Department of Foods and Nutrition, Purdue University, West Lafayette, Indiana 47907, USA.&lt;/auth-address&gt;&lt;titles&gt;&lt;title&gt;Sodium retention in black and white female adolescents in response to salt intake&lt;/title&gt;&lt;secondary-title&gt;J Clin Endocrinol Metab&lt;/secondary-title&gt;&lt;/titles&gt;&lt;periodical&gt;&lt;full-title&gt;J Clin Endocrinol Metab&lt;/full-title&gt;&lt;/periodical&gt;&lt;pages&gt;1858-63&lt;/pages&gt;&lt;volume&gt;89&lt;/volume&gt;&lt;number&gt;4&lt;/number&gt;&lt;keywords&gt;&lt;keyword&gt;Adolescent&lt;/keyword&gt;&lt;keyword&gt;*Black People&lt;/keyword&gt;&lt;keyword&gt;Diuresis/drug effects&lt;/keyword&gt;&lt;keyword&gt;Dose-Response Relationship, Drug&lt;/keyword&gt;&lt;keyword&gt;Energy Intake&lt;/keyword&gt;&lt;keyword&gt;Feces/chemistry&lt;/keyword&gt;&lt;keyword&gt;Female&lt;/keyword&gt;&lt;keyword&gt;Humans&lt;/keyword&gt;&lt;keyword&gt;Sodium/analysis/*pharmacokinetics&lt;/keyword&gt;&lt;keyword&gt;Sodium, Dietary/*administration &amp;amp; dosage&lt;/keyword&gt;&lt;keyword&gt;*White People&lt;/keyword&gt;&lt;/keywords&gt;&lt;dates&gt;&lt;year&gt;2004&lt;/year&gt;&lt;pub-dates&gt;&lt;date&gt;Apr&lt;/date&gt;&lt;/pub-dates&gt;&lt;/dates&gt;&lt;isbn&gt;0021-972X (Print)&amp;#xD;0021-972x&lt;/isbn&gt;&lt;accession-num&gt;15070956&lt;/accession-num&gt;&lt;urls&gt;&lt;/urls&gt;&lt;electronic-resource-num&gt;10.1210/jc.2003-031446&lt;/electronic-resource-num&gt;&lt;remote-database-provider&gt;NLM&lt;/remote-database-provider&gt;&lt;language&gt;eng&lt;/language&gt;&lt;/record&gt;&lt;/Cite&gt;&lt;/EndNote&gt;</w:instrText>
      </w:r>
      <w:r w:rsidR="00390072">
        <w:fldChar w:fldCharType="separate"/>
      </w:r>
      <w:r w:rsidR="00390072">
        <w:rPr>
          <w:noProof/>
        </w:rPr>
        <w:t>(Palacios et al., 2004)</w:t>
      </w:r>
      <w:r w:rsidR="00390072">
        <w:fldChar w:fldCharType="end"/>
      </w:r>
      <w:r w:rsidR="00390072">
        <w:t>.</w:t>
      </w:r>
      <w:r>
        <w:t xml:space="preserve"> Although this evidence is not directly generalisable to adults, </w:t>
      </w:r>
      <w:r w:rsidRPr="00C45FCA">
        <w:t xml:space="preserve">energy requirements in this group are </w:t>
      </w:r>
      <w:proofErr w:type="gramStart"/>
      <w:r w:rsidRPr="00C45FCA">
        <w:t>similar to</w:t>
      </w:r>
      <w:proofErr w:type="gramEnd"/>
      <w:r w:rsidRPr="00C45FCA">
        <w:t xml:space="preserve"> adult energy requirements</w:t>
      </w:r>
      <w:r>
        <w:t xml:space="preserve"> and it may therefore provide a useful benchmark. Other balance data suggests that intakes of 1,5</w:t>
      </w:r>
      <w:r w:rsidR="00736060">
        <w:t>25</w:t>
      </w:r>
      <w:r>
        <w:t xml:space="preserve"> mg/day result in positive balance except under</w:t>
      </w:r>
      <w:r w:rsidR="00736060">
        <w:t xml:space="preserve"> sustained,</w:t>
      </w:r>
      <w:r>
        <w:t xml:space="preserve"> extreme environmental conditions</w:t>
      </w:r>
      <w:r w:rsidR="00736060">
        <w:t xml:space="preserve"> </w:t>
      </w:r>
      <w:r w:rsidR="00736060">
        <w:fldChar w:fldCharType="begin"/>
      </w:r>
      <w:r w:rsidR="00736060">
        <w:instrText xml:space="preserve"> ADDIN EN.CITE &lt;EndNote&gt;&lt;Cite&gt;&lt;Author&gt;Allsopp&lt;/Author&gt;&lt;Year&gt;1998&lt;/Year&gt;&lt;RecNum&gt;4634&lt;/RecNum&gt;&lt;DisplayText&gt;(Allsopp et al., 1998)&lt;/DisplayText&gt;&lt;record&gt;&lt;rec-number&gt;4634&lt;/rec-number&gt;&lt;foreign-keys&gt;&lt;key app="EN" db-id="wwsdv2wwp29fenerv0kx5tw9zxtx2fdrprx2" timestamp="1774926752"&gt;4634&lt;/key&gt;&lt;/foreign-keys&gt;&lt;ref-type name="Journal Article"&gt;17&lt;/ref-type&gt;&lt;contributors&gt;&lt;authors&gt;&lt;author&gt;Allsopp, A. J.&lt;/author&gt;&lt;author&gt;Sutherland, R.&lt;/author&gt;&lt;author&gt;Wood, P.&lt;/author&gt;&lt;author&gt;Wootton, S. A.&lt;/author&gt;&lt;/authors&gt;&lt;/contributors&gt;&lt;auth-address&gt;Institute of Naval Medicine, Gosport, Hampshire, UK.&lt;/auth-address&gt;&lt;titles&gt;&lt;title&gt;The effect of sodium balance on sweat sodium secretion and plasma aldosterone concentration&lt;/title&gt;&lt;secondary-title&gt;Eur J Appl Physiol Occup Physiol&lt;/secondary-title&gt;&lt;/titles&gt;&lt;periodical&gt;&lt;full-title&gt;Eur J Appl Physiol Occup Physiol&lt;/full-title&gt;&lt;/periodical&gt;&lt;pages&gt;516-21&lt;/pages&gt;&lt;volume&gt;78&lt;/volume&gt;&lt;number&gt;6&lt;/number&gt;&lt;keywords&gt;&lt;keyword&gt;Adaptation, Physiological/*physiology&lt;/keyword&gt;&lt;keyword&gt;Adolescent&lt;/keyword&gt;&lt;keyword&gt;Adult&lt;/keyword&gt;&lt;keyword&gt;Aldosterone/*blood&lt;/keyword&gt;&lt;keyword&gt;Hot Temperature&lt;/keyword&gt;&lt;keyword&gt;Humans&lt;/keyword&gt;&lt;keyword&gt;Male&lt;/keyword&gt;&lt;keyword&gt;Sodium, Dietary/*metabolism/pharmacokinetics&lt;/keyword&gt;&lt;keyword&gt;Sweating/drug effects/*physiology&lt;/keyword&gt;&lt;keyword&gt;Water-Electrolyte Balance/physiology&lt;/keyword&gt;&lt;keyword&gt;Weight Loss&lt;/keyword&gt;&lt;/keywords&gt;&lt;dates&gt;&lt;year&gt;1998&lt;/year&gt;&lt;pub-dates&gt;&lt;date&gt;Nov&lt;/date&gt;&lt;/pub-dates&gt;&lt;/dates&gt;&lt;isbn&gt;0301-5548 (Print)&amp;#xD;0301-5548&lt;/isbn&gt;&lt;accession-num&gt;9840406&lt;/accession-num&gt;&lt;urls&gt;&lt;/urls&gt;&lt;electronic-resource-num&gt;10.1007/s004210050454&lt;/electronic-resource-num&gt;&lt;remote-database-provider&gt;NLM&lt;/remote-database-provider&gt;&lt;language&gt;eng&lt;/language&gt;&lt;/record&gt;&lt;/Cite&gt;&lt;/EndNote&gt;</w:instrText>
      </w:r>
      <w:r w:rsidR="00736060">
        <w:fldChar w:fldCharType="separate"/>
      </w:r>
      <w:r w:rsidR="00736060">
        <w:rPr>
          <w:noProof/>
        </w:rPr>
        <w:t>(Allsopp et al., 1998)</w:t>
      </w:r>
      <w:r w:rsidR="00736060">
        <w:fldChar w:fldCharType="end"/>
      </w:r>
      <w:r>
        <w:t xml:space="preserve">. </w:t>
      </w:r>
    </w:p>
    <w:p w14:paraId="39CDB400" w14:textId="4AB13240" w:rsidR="005E7EF3" w:rsidRDefault="00DD5F2B" w:rsidP="00DD5F2B">
      <w:pPr>
        <w:spacing w:line="276" w:lineRule="auto"/>
      </w:pPr>
      <w:r w:rsidRPr="005F1369">
        <w:t>Finally,</w:t>
      </w:r>
      <w:r>
        <w:t xml:space="preserve"> data collected in 2016/17 and 2020 from </w:t>
      </w:r>
      <w:r w:rsidRPr="005F1369">
        <w:t xml:space="preserve">a sample of 549 Victorian adults aged 18–65 years </w:t>
      </w:r>
      <w:r w:rsidR="00201EFD">
        <w:t xml:space="preserve">reported 24-hour </w:t>
      </w:r>
      <w:r w:rsidRPr="005F1369">
        <w:t>urinary sodium excretion</w:t>
      </w:r>
      <w:r w:rsidR="00201EFD">
        <w:t xml:space="preserve"> </w:t>
      </w:r>
      <w:r w:rsidR="00201EFD">
        <w:fldChar w:fldCharType="begin">
          <w:fldData xml:space="preserve">PEVuZE5vdGU+PENpdGU+PEF1dGhvcj5Cb2x0b248L0F1dGhvcj48WWVhcj4yMDIwPC9ZZWFyPjxS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</w:fldData>
        </w:fldChar>
      </w:r>
      <w:r w:rsidR="00201EFD">
        <w:instrText xml:space="preserve"> ADDIN EN.CITE </w:instrText>
      </w:r>
      <w:r w:rsidR="00201EFD">
        <w:fldChar w:fldCharType="begin">
          <w:fldData xml:space="preserve">PEVuZE5vdGU+PENpdGU+PEF1dGhvcj5Cb2x0b248L0F1dGhvcj48WWVhcj4yMDIwPC9ZZWFyPjxS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</w:fldData>
        </w:fldChar>
      </w:r>
      <w:r w:rsidR="00201EFD">
        <w:instrText xml:space="preserve"> ADDIN EN.CITE.DATA </w:instrText>
      </w:r>
      <w:r w:rsidR="00201EFD">
        <w:fldChar w:fldCharType="end"/>
      </w:r>
      <w:r w:rsidR="00201EFD">
        <w:fldChar w:fldCharType="separate"/>
      </w:r>
      <w:r w:rsidR="00201EFD">
        <w:rPr>
          <w:noProof/>
        </w:rPr>
        <w:t>(Bolton et al., 2020)</w:t>
      </w:r>
      <w:r w:rsidR="00201EFD">
        <w:fldChar w:fldCharType="end"/>
      </w:r>
      <w:r w:rsidR="00201EFD">
        <w:t>.</w:t>
      </w:r>
      <w:r w:rsidRPr="005F1369">
        <w:t xml:space="preserve"> </w:t>
      </w:r>
      <w:r w:rsidR="005E7EF3">
        <w:t>Percentile estimates derived from the original study dataset indicated a 1</w:t>
      </w:r>
      <w:r w:rsidR="005E7EF3" w:rsidRPr="003A31ED">
        <w:rPr>
          <w:vertAlign w:val="superscript"/>
        </w:rPr>
        <w:t>st</w:t>
      </w:r>
      <w:r w:rsidR="005E7EF3">
        <w:t xml:space="preserve"> percentile urinary sodium excretion of 807mg/d, </w:t>
      </w:r>
      <w:r w:rsidR="005E7EF3" w:rsidRPr="005F1369">
        <w:t xml:space="preserve"> </w:t>
      </w:r>
      <w:r w:rsidR="005E7EF3">
        <w:t xml:space="preserve">and </w:t>
      </w:r>
      <w:r w:rsidR="005E7EF3" w:rsidRPr="005F1369">
        <w:t xml:space="preserve">5th and 10th percentile </w:t>
      </w:r>
      <w:r w:rsidR="005E7EF3">
        <w:t xml:space="preserve">values </w:t>
      </w:r>
      <w:r w:rsidR="005E7EF3" w:rsidRPr="005F1369">
        <w:t>of 1,209 mg/day and 1,489 mg/day, respectively</w:t>
      </w:r>
      <w:r w:rsidR="005E7EF3">
        <w:t xml:space="preserve"> </w:t>
      </w:r>
      <w:r w:rsidR="005E7EF3">
        <w:fldChar w:fldCharType="begin"/>
      </w:r>
      <w:r w:rsidR="005E7EF3">
        <w:instrText xml:space="preserve"> ADDIN EN.CITE &lt;EndNote&gt;&lt;Cite ExcludeAuth="1"&gt;&lt;Author&gt;Carley Grimes&lt;/Author&gt;&lt;Year&gt;2026&lt;/Year&gt;&lt;RecNum&gt;4781&lt;/RecNum&gt;&lt;Prefix&gt;Grimes`, &lt;/Prefix&gt;&lt;DisplayText&gt;(Grimes, 2026)&lt;/DisplayText&gt;&lt;record&gt;&lt;rec-number&gt;4781&lt;/rec-number&gt;&lt;foreign-keys&gt;&lt;key app="EN" db-id="wwsdv2wwp29fenerv0kx5tw9zxtx2fdrprx2" timestamp="1784003730"&gt;4781&lt;/key&gt;&lt;/foreign-keys&gt;&lt;ref-type name="Personal Communication"&gt;26&lt;/ref-type&gt;&lt;contributors&gt;&lt;authors&gt;&lt;author&gt;Carley Grimes,&lt;/author&gt;&lt;/authors&gt;&lt;secondary-authors&gt;&lt;author&gt;NHMRC Project Team&lt;/author&gt;&lt;/secondary-authors&gt;&lt;/contributors&gt;&lt;titles&gt;&lt;title&gt;Unpublished analysis of 2016-17 data supplied in correspondence&lt;/title&gt;&lt;/titles&gt;&lt;dates&gt;&lt;year&gt;2026&lt;/year&gt;&lt;/dates&gt;&lt;urls&gt;&lt;/urls&gt;&lt;/record&gt;&lt;/Cite&gt;&lt;/EndNote&gt;</w:instrText>
      </w:r>
      <w:r w:rsidR="005E7EF3">
        <w:fldChar w:fldCharType="separate"/>
      </w:r>
      <w:r w:rsidR="005E7EF3">
        <w:rPr>
          <w:noProof/>
        </w:rPr>
        <w:t>(Grimes, 2026)</w:t>
      </w:r>
      <w:r w:rsidR="005E7EF3">
        <w:fldChar w:fldCharType="end"/>
      </w:r>
      <w:r w:rsidR="005E7EF3">
        <w:t>.</w:t>
      </w:r>
    </w:p>
    <w:p w14:paraId="6107DB4B" w14:textId="237F329A" w:rsidR="00DD5F2B" w:rsidRPr="00C45FCA" w:rsidRDefault="00DD5F2B" w:rsidP="00DD5F2B">
      <w:pPr>
        <w:spacing w:line="276" w:lineRule="auto"/>
      </w:pPr>
      <w:r>
        <w:t xml:space="preserve">Collectively, these data </w:t>
      </w:r>
      <w:r w:rsidR="00006379">
        <w:t xml:space="preserve">from balance studies and </w:t>
      </w:r>
      <w:r w:rsidR="000009A3">
        <w:t xml:space="preserve">primary data collected in the </w:t>
      </w:r>
      <w:r w:rsidR="00006379">
        <w:t xml:space="preserve">Australian or New Zealand context </w:t>
      </w:r>
      <w:r>
        <w:t>support establishment of an AI in the range 851 to 1</w:t>
      </w:r>
      <w:r w:rsidR="00736060">
        <w:t>,</w:t>
      </w:r>
      <w:r>
        <w:t>500 mg/day</w:t>
      </w:r>
      <w:r w:rsidR="00026657">
        <w:t xml:space="preserve"> </w:t>
      </w:r>
      <w:r w:rsidR="00026657">
        <w:fldChar w:fldCharType="begin">
          <w:fldData xml:space="preserve">PEVuZE5vdGU+PENpdGU+PEF1dGhvcj5CZWFyZDwvQXV0aG9yPjxZZWFyPjE5ODI8L1llYXI+PFJl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</w:fldData>
        </w:fldChar>
      </w:r>
      <w:r w:rsidR="00026657">
        <w:instrText xml:space="preserve"> ADDIN EN.CITE </w:instrText>
      </w:r>
      <w:r w:rsidR="00026657">
        <w:fldChar w:fldCharType="begin">
          <w:fldData xml:space="preserve">PEVuZE5vdGU+PENpdGU+PEF1dGhvcj5CZWFyZDwvQXV0aG9yPjxZZWFyPjE5ODI8L1llYXI+PFJl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</w:fldData>
        </w:fldChar>
      </w:r>
      <w:r w:rsidR="00026657">
        <w:instrText xml:space="preserve"> ADDIN EN.CITE.DATA </w:instrText>
      </w:r>
      <w:r w:rsidR="00026657">
        <w:fldChar w:fldCharType="end"/>
      </w:r>
      <w:r w:rsidR="00026657">
        <w:fldChar w:fldCharType="separate"/>
      </w:r>
      <w:r w:rsidR="00026657">
        <w:rPr>
          <w:noProof/>
        </w:rPr>
        <w:t>(Allsopp et al., 1998; Beard et al., 1982; Bolton et al., 2020; Palacios et al., 2004; Parker et al., 1990; Sciarrone et al., 1992; Todd et al., 2012)</w:t>
      </w:r>
      <w:r w:rsidR="00026657">
        <w:fldChar w:fldCharType="end"/>
      </w:r>
      <w:r w:rsidR="000009A3">
        <w:t>. H</w:t>
      </w:r>
      <w:r>
        <w:t>owever</w:t>
      </w:r>
      <w:r w:rsidR="000009A3">
        <w:t>,</w:t>
      </w:r>
      <w:r>
        <w:t xml:space="preserve"> there is considerable uncertainty around these estimates.</w:t>
      </w:r>
      <w:r w:rsidR="00D801AC">
        <w:t xml:space="preserve"> The </w:t>
      </w:r>
      <w:r>
        <w:t xml:space="preserve">AI </w:t>
      </w:r>
      <w:r w:rsidR="00D801AC">
        <w:t xml:space="preserve">was set at </w:t>
      </w:r>
      <w:r w:rsidRPr="00C45FCA">
        <w:t xml:space="preserve">920 mg/day to align with the current upper bound of the adult AI </w:t>
      </w:r>
      <w:r>
        <w:t xml:space="preserve">range, </w:t>
      </w:r>
      <w:r w:rsidR="00D801AC">
        <w:t>given that</w:t>
      </w:r>
      <w:r w:rsidRPr="00C45FCA">
        <w:t>:</w:t>
      </w:r>
    </w:p>
    <w:p w14:paraId="0574C0FD" w14:textId="15B6D249" w:rsidR="00DD5F2B" w:rsidRPr="00C45FCA" w:rsidRDefault="00D801AC" w:rsidP="005411B7">
      <w:pPr>
        <w:pStyle w:val="ListParagraph"/>
        <w:numPr>
          <w:ilvl w:val="0"/>
          <w:numId w:val="1"/>
        </w:numPr>
        <w:spacing w:line="276" w:lineRule="auto"/>
      </w:pPr>
      <w:r>
        <w:t xml:space="preserve">the available evidence is very uncertain and </w:t>
      </w:r>
      <w:r w:rsidR="00DD5F2B">
        <w:t xml:space="preserve">there is </w:t>
      </w:r>
      <w:r w:rsidR="00DD5F2B" w:rsidRPr="00C45FCA">
        <w:t xml:space="preserve">no evidence </w:t>
      </w:r>
      <w:r w:rsidR="00DD5F2B">
        <w:t xml:space="preserve">to suggest that intakes </w:t>
      </w:r>
      <w:r>
        <w:t xml:space="preserve">of 920 mg/day </w:t>
      </w:r>
      <w:r w:rsidR="00DD5F2B">
        <w:t xml:space="preserve">are insufficient to meet </w:t>
      </w:r>
      <w:r>
        <w:t xml:space="preserve">adult </w:t>
      </w:r>
      <w:r w:rsidR="00DD5F2B">
        <w:t>physiological requirements</w:t>
      </w:r>
      <w:r>
        <w:t xml:space="preserve">, and </w:t>
      </w:r>
    </w:p>
    <w:p w14:paraId="6B1C5D3C" w14:textId="2C20B09C" w:rsidR="00DD5F2B" w:rsidRPr="00C45FCA" w:rsidRDefault="004D7D6B" w:rsidP="005411B7">
      <w:pPr>
        <w:pStyle w:val="ListParagraph"/>
        <w:numPr>
          <w:ilvl w:val="0"/>
          <w:numId w:val="1"/>
        </w:numPr>
        <w:spacing w:line="276" w:lineRule="auto"/>
      </w:pPr>
      <w:r>
        <w:t xml:space="preserve">one trial in the Australian context found </w:t>
      </w:r>
      <w:r w:rsidR="00417F03">
        <w:t xml:space="preserve">no adverse effects </w:t>
      </w:r>
      <w:r>
        <w:t xml:space="preserve">with </w:t>
      </w:r>
      <w:r w:rsidR="00417F03">
        <w:t xml:space="preserve">mean sodium intake of </w:t>
      </w:r>
      <w:r w:rsidR="005C7B2F">
        <w:t xml:space="preserve">851mg/day </w:t>
      </w:r>
      <w:r w:rsidR="005C7B2F">
        <w:fldChar w:fldCharType="begin"/>
      </w:r>
      <w:r w:rsidR="005C7B2F">
        <w:instrText xml:space="preserve"> ADDIN EN.CITE &lt;EndNote&gt;&lt;Cite&gt;&lt;Author&gt;Beard&lt;/Author&gt;&lt;Year&gt;1982&lt;/Year&gt;&lt;RecNum&gt;4764&lt;/RecNum&gt;&lt;DisplayText&gt;(Beard et al., 1982)&lt;/DisplayText&gt;&lt;record&gt;&lt;rec-number&gt;4764&lt;/rec-number&gt;&lt;foreign-keys&gt;&lt;key app="EN" db-id="wwsdv2wwp29fenerv0kx5tw9zxtx2fdrprx2" timestamp="1782794697"&gt;4764&lt;/key&gt;&lt;/foreign-keys&gt;&lt;ref-type name="Journal Article"&gt;17&lt;/ref-type&gt;&lt;contributors&gt;&lt;authors&gt;&lt;author&gt;Beard, T. C.&lt;/author&gt;&lt;author&gt;Cooke, H. M.&lt;/author&gt;&lt;author&gt;Gray, W. R.&lt;/author&gt;&lt;author&gt;Barge, R.&lt;/author&gt;&lt;/authors&gt;&lt;/contributors&gt;&lt;titles&gt;&lt;title&gt;Randomised controlled trial of a no-added-sodium diet for mild hypertension&lt;/title&gt;&lt;secondary-title&gt;Lancet&lt;/secondary-title&gt;&lt;/titles&gt;&lt;periodical&gt;&lt;full-title&gt;Lancet&lt;/full-title&gt;&lt;/periodical&gt;&lt;pages&gt;455-8&lt;/pages&gt;&lt;volume&gt;2&lt;/volume&gt;&lt;number&gt;8296&lt;/number&gt;&lt;keywords&gt;&lt;keyword&gt;Adult&lt;/keyword&gt;&lt;keyword&gt;Aged&lt;/keyword&gt;&lt;keyword&gt;Blood Pressure&lt;/keyword&gt;&lt;keyword&gt;Body Weight&lt;/keyword&gt;&lt;keyword&gt;Clinical Trials as Topic&lt;/keyword&gt;&lt;keyword&gt;*Diet, Sodium-Restricted&lt;/keyword&gt;&lt;keyword&gt;Double-Blind Method&lt;/keyword&gt;&lt;keyword&gt;Female&lt;/keyword&gt;&lt;keyword&gt;Humans&lt;/keyword&gt;&lt;keyword&gt;Hypertension/*diet therapy/prevention &amp;amp; control&lt;/keyword&gt;&lt;keyword&gt;Male&lt;/keyword&gt;&lt;keyword&gt;Middle Aged&lt;/keyword&gt;&lt;keyword&gt;Quality of Life&lt;/keyword&gt;&lt;keyword&gt;Random Allocation&lt;/keyword&gt;&lt;/keywords&gt;&lt;dates&gt;&lt;year&gt;1982&lt;/year&gt;&lt;pub-dates&gt;&lt;date&gt;Aug 28&lt;/date&gt;&lt;/pub-dates&gt;&lt;/dates&gt;&lt;isbn&gt;0140-6736 (Print)&amp;#xD;0140-6736&lt;/isbn&gt;&lt;accession-num&gt;6125636&lt;/accession-num&gt;&lt;urls&gt;&lt;/urls&gt;&lt;electronic-resource-num&gt;10.1016/s0140-6736(82)90491-3&lt;/electronic-resource-num&gt;&lt;remote-database-provider&gt;NLM&lt;/remote-database-provider&gt;&lt;language&gt;eng&lt;/language&gt;&lt;/record&gt;&lt;/Cite&gt;&lt;/EndNote&gt;</w:instrText>
      </w:r>
      <w:r w:rsidR="005C7B2F">
        <w:fldChar w:fldCharType="separate"/>
      </w:r>
      <w:r w:rsidR="005C7B2F">
        <w:rPr>
          <w:noProof/>
        </w:rPr>
        <w:t>(Beard et al., 1982)</w:t>
      </w:r>
      <w:r w:rsidR="005C7B2F">
        <w:fldChar w:fldCharType="end"/>
      </w:r>
    </w:p>
    <w:p w14:paraId="3A31B0E5" w14:textId="403BA8D2" w:rsidR="00DD5F2B" w:rsidRDefault="00DD5F2B" w:rsidP="005411B7">
      <w:pPr>
        <w:pStyle w:val="ListParagraph"/>
        <w:numPr>
          <w:ilvl w:val="0"/>
          <w:numId w:val="1"/>
        </w:numPr>
        <w:spacing w:line="276" w:lineRule="auto"/>
      </w:pPr>
      <w:r>
        <w:t>alignment with existing recommendations supports consistent public health messaging regarding the harms of excessive sodium intake. This avoids confusion that may arise if the AI were increased, which may be misinterpreted as a need for higher intake levels in a context where population intakes already exceed requirements and – for many individuals – chronic disease risk reduction targets</w:t>
      </w:r>
    </w:p>
    <w:p w14:paraId="611C6B50" w14:textId="0531F3FF" w:rsidR="00433FFF" w:rsidRPr="00C45FCA" w:rsidRDefault="002C1104" w:rsidP="00197F53">
      <w:pPr>
        <w:pStyle w:val="ListParagraph"/>
        <w:numPr>
          <w:ilvl w:val="0"/>
          <w:numId w:val="1"/>
        </w:numPr>
        <w:spacing w:line="276" w:lineRule="auto"/>
      </w:pPr>
      <w:r>
        <w:t>c</w:t>
      </w:r>
      <w:r w:rsidR="00433FFF">
        <w:t>ontemporary Australian 24-hour urinary sodium excretion data indicate that a sodium intake of 920 mg/d falls within the lower tail of the observed distribution (between the 1st and 5th percentiles), supporting that intakes at this level are observed in apparently healthy, free-living adults.</w:t>
      </w:r>
    </w:p>
    <w:p w14:paraId="5BD64723" w14:textId="71C71F69" w:rsidR="00AB7E26" w:rsidRDefault="00AB7E26" w:rsidP="00AB7E26">
      <w:pPr>
        <w:pStyle w:val="Heading3"/>
      </w:pPr>
      <w:bookmarkStart w:id="74" w:name="_Toc234960858"/>
      <w:r>
        <w:lastRenderedPageBreak/>
        <w:t>Pregnancy</w:t>
      </w:r>
      <w:bookmarkEnd w:id="74"/>
    </w:p>
    <w:p w14:paraId="6A5499C5" w14:textId="5181B72B" w:rsidR="009446D7" w:rsidRDefault="009446D7" w:rsidP="009446D7">
      <w:pPr>
        <w:spacing w:after="120"/>
        <w:ind w:right="172"/>
        <w:rPr>
          <w:rFonts w:eastAsiaTheme="majorEastAsia" w:cstheme="majorBidi"/>
          <w:color w:val="0F4761" w:themeColor="accent1" w:themeShade="BF"/>
          <w:sz w:val="24"/>
          <w:szCs w:val="28"/>
        </w:rPr>
      </w:pPr>
      <w:r>
        <w:rPr>
          <w:rFonts w:eastAsia="Times New Roman" w:cs="Arial"/>
          <w:iCs/>
        </w:rPr>
        <w:t xml:space="preserve">Although there is </w:t>
      </w:r>
      <w:r w:rsidRPr="00421081">
        <w:rPr>
          <w:rFonts w:eastAsia="Times New Roman" w:cs="Arial"/>
          <w:iCs/>
        </w:rPr>
        <w:t xml:space="preserve">a small additional requirement </w:t>
      </w:r>
      <w:r>
        <w:rPr>
          <w:rFonts w:eastAsia="Times New Roman" w:cs="Arial"/>
          <w:iCs/>
        </w:rPr>
        <w:t xml:space="preserve">of sodium associated with </w:t>
      </w:r>
      <w:r w:rsidR="004E178D" w:rsidRPr="00421081">
        <w:rPr>
          <w:rFonts w:eastAsia="Times New Roman" w:cs="Arial"/>
          <w:iCs/>
        </w:rPr>
        <w:t>foetal</w:t>
      </w:r>
      <w:r w:rsidRPr="00421081">
        <w:rPr>
          <w:rFonts w:eastAsia="Times New Roman" w:cs="Arial"/>
          <w:iCs/>
        </w:rPr>
        <w:t xml:space="preserve"> and maternal tissue accretion over the course of pregnancy, this is minimal and readily accommodated by normal homeostatic mechanisms, including increased renal sodium conservation. Consistent with approaches taken by NASEM (2019) and EFSA (2019), no distinct dietary sodium requirement for pregnancy is specified, and recommendations </w:t>
      </w:r>
      <w:r>
        <w:rPr>
          <w:rFonts w:eastAsia="Times New Roman" w:cs="Arial"/>
          <w:iCs/>
        </w:rPr>
        <w:t xml:space="preserve">during pregnancy </w:t>
      </w:r>
      <w:r w:rsidRPr="00421081">
        <w:rPr>
          <w:rFonts w:eastAsia="Times New Roman" w:cs="Arial"/>
          <w:iCs/>
        </w:rPr>
        <w:t xml:space="preserve">are aligned with those for non-pregnant adults. This reflects the absence of evidence demonstrating increased dietary needs in pregnancy and the capacity for physiological regulation to maintain sodium balance across a wide range of intakes. </w:t>
      </w:r>
    </w:p>
    <w:p w14:paraId="316D627D" w14:textId="2DB64B81" w:rsidR="00AB7E26" w:rsidRDefault="00AB7E26" w:rsidP="00AB7E26">
      <w:pPr>
        <w:pStyle w:val="Heading3"/>
      </w:pPr>
      <w:bookmarkStart w:id="75" w:name="_Toc234960859"/>
      <w:r>
        <w:t>Lactation</w:t>
      </w:r>
      <w:bookmarkEnd w:id="75"/>
    </w:p>
    <w:p w14:paraId="2534BDA3" w14:textId="524D8BE1" w:rsidR="00AB7E26" w:rsidRDefault="007E79B7" w:rsidP="008954EC">
      <w:pPr>
        <w:spacing w:line="276" w:lineRule="auto"/>
      </w:pPr>
      <w:r w:rsidRPr="00742E72">
        <w:rPr>
          <w:rFonts w:eastAsia="Times New Roman" w:cs="Arial"/>
          <w:iCs/>
        </w:rPr>
        <w:t xml:space="preserve">Sodium is excreted in breast milk during lactation; however, the concentration of sodium in milk is regulated by physiological mechanisms within the mammary gland, largely determined by electrochemical gradients rather than maternal dietary intake. As a result, maternal sodium intake has limited influence on the sodium content of breast milk. </w:t>
      </w:r>
      <w:r>
        <w:rPr>
          <w:rFonts w:eastAsia="Times New Roman" w:cs="Arial"/>
          <w:iCs/>
        </w:rPr>
        <w:t xml:space="preserve">On this basis, both NASEM (2019) and ESFA (2019) concluded that </w:t>
      </w:r>
      <w:r w:rsidRPr="00742E72">
        <w:rPr>
          <w:rFonts w:eastAsia="Times New Roman" w:cs="Arial"/>
          <w:iCs/>
        </w:rPr>
        <w:t xml:space="preserve">there is no evidence to suggest that sodium requirements during lactation differ from those of non-pregnant, non-lactating adults. Accordingly, no separate requirement is specified, and sodium recommendations for lactating </w:t>
      </w:r>
      <w:r w:rsidR="00A0102C">
        <w:rPr>
          <w:rFonts w:eastAsia="Times New Roman" w:cs="Arial"/>
          <w:iCs/>
        </w:rPr>
        <w:t>females</w:t>
      </w:r>
      <w:r w:rsidRPr="00742E72">
        <w:rPr>
          <w:rFonts w:eastAsia="Times New Roman" w:cs="Arial"/>
          <w:iCs/>
        </w:rPr>
        <w:t xml:space="preserve"> are aligned with those for the general adult population.</w:t>
      </w:r>
    </w:p>
    <w:p w14:paraId="26443C94" w14:textId="30973863" w:rsidR="00AB7E26" w:rsidRDefault="00AB7E26" w:rsidP="00AB7E26">
      <w:pPr>
        <w:pStyle w:val="Heading3"/>
      </w:pPr>
      <w:bookmarkStart w:id="76" w:name="_Toc234960860"/>
      <w:r>
        <w:t>Children and adolescents</w:t>
      </w:r>
      <w:bookmarkEnd w:id="76"/>
    </w:p>
    <w:p w14:paraId="245265C0" w14:textId="67991BBD" w:rsidR="004A5EFC" w:rsidRDefault="000508C1" w:rsidP="004A5EFC">
      <w:r>
        <w:rPr>
          <w:rFonts w:eastAsia="Times New Roman" w:cs="Arial"/>
          <w:iCs/>
          <w:lang w:eastAsia="en-AU"/>
        </w:rPr>
        <w:t xml:space="preserve">The evidence for sodium requirements in children and adolescents is very limited, and </w:t>
      </w:r>
      <w:r>
        <w:t>consequently values must be extrapolated from adult values based on relative energy requirements</w:t>
      </w:r>
      <w:r w:rsidR="004A5EFC">
        <w:t>, using the formula:</w:t>
      </w:r>
    </w:p>
    <w:p w14:paraId="08163086" w14:textId="42FB3EFA" w:rsidR="004A5EFC" w:rsidRDefault="004A5EFC" w:rsidP="004A5EFC">
      <w:proofErr w:type="spellStart"/>
      <w:r>
        <w:t>AI</w:t>
      </w:r>
      <w:r w:rsidRPr="00D15D15">
        <w:rPr>
          <w:vertAlign w:val="subscript"/>
        </w:rPr>
        <w:t>child</w:t>
      </w:r>
      <w:proofErr w:type="spellEnd"/>
      <w:r>
        <w:t xml:space="preserve"> = </w:t>
      </w:r>
      <w:proofErr w:type="spellStart"/>
      <w:r>
        <w:t>AI</w:t>
      </w:r>
      <w:r w:rsidRPr="00D15D15">
        <w:rPr>
          <w:vertAlign w:val="subscript"/>
        </w:rPr>
        <w:t>adult</w:t>
      </w:r>
      <w:proofErr w:type="spellEnd"/>
      <w:r>
        <w:t xml:space="preserve"> x (</w:t>
      </w:r>
      <w:proofErr w:type="spellStart"/>
      <w:r>
        <w:t>EER</w:t>
      </w:r>
      <w:r w:rsidRPr="00D15D15">
        <w:rPr>
          <w:vertAlign w:val="subscript"/>
        </w:rPr>
        <w:t>child</w:t>
      </w:r>
      <w:proofErr w:type="spellEnd"/>
      <w:r>
        <w:t xml:space="preserve">/ </w:t>
      </w:r>
      <w:proofErr w:type="spellStart"/>
      <w:r>
        <w:t>EER</w:t>
      </w:r>
      <w:r w:rsidRPr="00D15D15">
        <w:rPr>
          <w:vertAlign w:val="subscript"/>
        </w:rPr>
        <w:t>adult</w:t>
      </w:r>
      <w:proofErr w:type="spellEnd"/>
      <w:r>
        <w:t>)</w:t>
      </w:r>
      <w:r w:rsidR="00045E19">
        <w:t>, w</w:t>
      </w:r>
      <w:r w:rsidR="000F6E62">
        <w:t>ith the following inputs:</w:t>
      </w:r>
    </w:p>
    <w:p w14:paraId="6C05AD03" w14:textId="53B0D962" w:rsidR="00A015F5" w:rsidRDefault="00A015F5" w:rsidP="004A5EFC">
      <w:proofErr w:type="spellStart"/>
      <w:r>
        <w:t>AI</w:t>
      </w:r>
      <w:r w:rsidRPr="000F6E62">
        <w:rPr>
          <w:vertAlign w:val="subscript"/>
        </w:rPr>
        <w:t>adult</w:t>
      </w:r>
      <w:proofErr w:type="spellEnd"/>
      <w:r>
        <w:t xml:space="preserve"> = </w:t>
      </w:r>
      <w:r w:rsidR="0025394F">
        <w:t>920</w:t>
      </w:r>
      <w:r w:rsidR="009E4FA9">
        <w:t xml:space="preserve">, with EER values per </w:t>
      </w:r>
      <w:r w:rsidR="009E4FA9">
        <w:fldChar w:fldCharType="begin"/>
      </w:r>
      <w:r w:rsidR="009E4FA9">
        <w:instrText xml:space="preserve"> REF _Ref232669974 \h </w:instrText>
      </w:r>
      <w:r w:rsidR="009E4FA9">
        <w:fldChar w:fldCharType="separate"/>
      </w:r>
      <w:r w:rsidR="00074E84">
        <w:t xml:space="preserve">Table </w:t>
      </w:r>
      <w:r w:rsidR="00074E84">
        <w:rPr>
          <w:noProof/>
        </w:rPr>
        <w:t>13</w:t>
      </w:r>
      <w:r w:rsidR="009E4FA9">
        <w:fldChar w:fldCharType="end"/>
      </w:r>
      <w:r w:rsidR="009E4FA9">
        <w:t>.</w:t>
      </w:r>
    </w:p>
    <w:p w14:paraId="5D9D229C" w14:textId="06944DCD" w:rsidR="009E4FA9" w:rsidRDefault="009E4FA9" w:rsidP="009E4FA9">
      <w:pPr>
        <w:pStyle w:val="Caption"/>
        <w:keepNext/>
      </w:pPr>
      <w:bookmarkStart w:id="77" w:name="_Ref232669974"/>
      <w:bookmarkStart w:id="78" w:name="_Ref232669993"/>
      <w:r>
        <w:t xml:space="preserve">Table </w:t>
      </w:r>
      <w:r>
        <w:fldChar w:fldCharType="begin"/>
      </w:r>
      <w:r>
        <w:instrText>SEQ Table \* ARABIC</w:instrText>
      </w:r>
      <w:r>
        <w:fldChar w:fldCharType="separate"/>
      </w:r>
      <w:r w:rsidR="00B90577">
        <w:rPr>
          <w:noProof/>
        </w:rPr>
        <w:t>11</w:t>
      </w:r>
      <w:r>
        <w:fldChar w:fldCharType="end"/>
      </w:r>
      <w:bookmarkEnd w:id="77"/>
      <w:r>
        <w:t xml:space="preserve"> - Reference </w:t>
      </w:r>
      <w:r w:rsidRPr="005327E2">
        <w:t>EER</w:t>
      </w:r>
      <w:r>
        <w:t xml:space="preserve"> value</w:t>
      </w:r>
      <w:r w:rsidRPr="005327E2">
        <w:t>s for adults and children</w:t>
      </w:r>
      <w:r>
        <w:t xml:space="preserve"> to inform extrapolation</w:t>
      </w:r>
      <w:bookmarkEnd w:id="78"/>
    </w:p>
    <w:tbl>
      <w:tblPr>
        <w:tblStyle w:val="ListTable3-Accent1"/>
        <w:tblW w:w="4390" w:type="dxa"/>
        <w:tblLook w:val="04A0" w:firstRow="1" w:lastRow="0" w:firstColumn="1" w:lastColumn="0" w:noHBand="0" w:noVBand="1"/>
      </w:tblPr>
      <w:tblGrid>
        <w:gridCol w:w="3114"/>
        <w:gridCol w:w="1276"/>
      </w:tblGrid>
      <w:tr w:rsidR="000F6E62" w:rsidRPr="001B39CA" w14:paraId="5E270FCD" w14:textId="77777777" w:rsidTr="000F6E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4" w:type="dxa"/>
          </w:tcPr>
          <w:p w14:paraId="362627D4" w14:textId="77777777" w:rsidR="000F6E62" w:rsidRDefault="000F6E62">
            <w:pPr>
              <w:rPr>
                <w:rFonts w:ascii="Aptos" w:hAnsi="Aptos"/>
                <w:b w:val="0"/>
                <w:bCs w:val="0"/>
                <w:sz w:val="20"/>
                <w:szCs w:val="20"/>
              </w:rPr>
            </w:pPr>
          </w:p>
        </w:tc>
        <w:tc>
          <w:tcPr>
            <w:tcW w:w="1276" w:type="dxa"/>
          </w:tcPr>
          <w:p w14:paraId="70D2B2ED" w14:textId="5040C894" w:rsidR="000F6E62" w:rsidRPr="000F6E62" w:rsidRDefault="000F6E62" w:rsidP="000F6E62">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sz w:val="20"/>
                <w:szCs w:val="20"/>
              </w:rPr>
            </w:pPr>
            <w:r w:rsidRPr="000F6E62">
              <w:rPr>
                <w:rFonts w:ascii="Aptos" w:hAnsi="Aptos"/>
                <w:b w:val="0"/>
                <w:bCs w:val="0"/>
                <w:sz w:val="20"/>
                <w:szCs w:val="20"/>
              </w:rPr>
              <w:t>EER</w:t>
            </w:r>
          </w:p>
        </w:tc>
      </w:tr>
      <w:tr w:rsidR="000F6E62" w:rsidRPr="001B39CA" w14:paraId="7C4DADAC" w14:textId="77777777" w:rsidTr="000F6E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115AF25" w14:textId="445D72A7" w:rsidR="000F6E62" w:rsidRPr="000F6E62" w:rsidRDefault="000F6E62">
            <w:pPr>
              <w:rPr>
                <w:rFonts w:ascii="Aptos" w:hAnsi="Aptos"/>
                <w:b w:val="0"/>
                <w:bCs w:val="0"/>
                <w:sz w:val="20"/>
                <w:szCs w:val="20"/>
              </w:rPr>
            </w:pPr>
            <w:r>
              <w:rPr>
                <w:rFonts w:ascii="Aptos" w:hAnsi="Aptos"/>
                <w:b w:val="0"/>
                <w:bCs w:val="0"/>
                <w:sz w:val="20"/>
                <w:szCs w:val="20"/>
              </w:rPr>
              <w:t>Adult</w:t>
            </w:r>
          </w:p>
        </w:tc>
        <w:tc>
          <w:tcPr>
            <w:tcW w:w="1276" w:type="dxa"/>
          </w:tcPr>
          <w:p w14:paraId="17ED0E63" w14:textId="309636C1" w:rsidR="000F6E62" w:rsidRPr="000F6E62" w:rsidRDefault="000F6E62" w:rsidP="000F6E62">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F6E62">
              <w:rPr>
                <w:rFonts w:ascii="Aptos" w:hAnsi="Aptos"/>
                <w:sz w:val="20"/>
                <w:szCs w:val="20"/>
              </w:rPr>
              <w:t>10.3</w:t>
            </w:r>
          </w:p>
        </w:tc>
      </w:tr>
      <w:tr w:rsidR="000F6E62" w:rsidRPr="001B39CA" w14:paraId="40051819" w14:textId="0BA5107E" w:rsidTr="000F6E62">
        <w:tc>
          <w:tcPr>
            <w:cnfStyle w:val="001000000000" w:firstRow="0" w:lastRow="0" w:firstColumn="1" w:lastColumn="0" w:oddVBand="0" w:evenVBand="0" w:oddHBand="0" w:evenHBand="0" w:firstRowFirstColumn="0" w:firstRowLastColumn="0" w:lastRowFirstColumn="0" w:lastRowLastColumn="0"/>
            <w:tcW w:w="3114" w:type="dxa"/>
          </w:tcPr>
          <w:p w14:paraId="41D914F0" w14:textId="030C7307" w:rsidR="000F6E62" w:rsidRPr="000F6E62" w:rsidRDefault="000F6E62">
            <w:pPr>
              <w:rPr>
                <w:rFonts w:ascii="Aptos" w:hAnsi="Aptos"/>
                <w:b w:val="0"/>
                <w:bCs w:val="0"/>
                <w:i/>
                <w:iCs/>
                <w:sz w:val="20"/>
                <w:szCs w:val="20"/>
              </w:rPr>
            </w:pPr>
            <w:r w:rsidRPr="000F6E62">
              <w:rPr>
                <w:rFonts w:ascii="Aptos" w:hAnsi="Aptos"/>
                <w:b w:val="0"/>
                <w:bCs w:val="0"/>
                <w:i/>
                <w:iCs/>
                <w:sz w:val="20"/>
                <w:szCs w:val="20"/>
              </w:rPr>
              <w:t>Children and adolescents</w:t>
            </w:r>
          </w:p>
        </w:tc>
        <w:tc>
          <w:tcPr>
            <w:tcW w:w="1276" w:type="dxa"/>
          </w:tcPr>
          <w:p w14:paraId="567674C2" w14:textId="77777777" w:rsidR="000F6E62" w:rsidRPr="000F6E62" w:rsidRDefault="000F6E62" w:rsidP="000F6E62">
            <w:pPr>
              <w:jc w:val="cente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tc>
      </w:tr>
      <w:tr w:rsidR="000F6E62" w:rsidRPr="001B39CA" w14:paraId="625F73EF" w14:textId="240C0FD3" w:rsidTr="000F6E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4314CE3" w14:textId="77777777" w:rsidR="000F6E62" w:rsidRPr="000F6E62" w:rsidRDefault="000F6E62">
            <w:pPr>
              <w:rPr>
                <w:rFonts w:ascii="Aptos" w:hAnsi="Aptos"/>
                <w:b w:val="0"/>
                <w:bCs w:val="0"/>
                <w:sz w:val="20"/>
                <w:szCs w:val="20"/>
              </w:rPr>
            </w:pPr>
            <w:r w:rsidRPr="000F6E62">
              <w:rPr>
                <w:rFonts w:ascii="Aptos" w:hAnsi="Aptos"/>
                <w:b w:val="0"/>
                <w:bCs w:val="0"/>
                <w:sz w:val="20"/>
                <w:szCs w:val="20"/>
              </w:rPr>
              <w:t>1 to under 4 years</w:t>
            </w:r>
          </w:p>
        </w:tc>
        <w:tc>
          <w:tcPr>
            <w:tcW w:w="1276" w:type="dxa"/>
          </w:tcPr>
          <w:p w14:paraId="7DC7DD54" w14:textId="6CAE9439" w:rsidR="000F6E62" w:rsidRPr="001B39CA" w:rsidRDefault="000F6E62" w:rsidP="000F6E62">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4.4</w:t>
            </w:r>
          </w:p>
        </w:tc>
      </w:tr>
      <w:tr w:rsidR="000F6E62" w:rsidRPr="001B39CA" w14:paraId="38E80169" w14:textId="0C94EEB0" w:rsidTr="000F6E62">
        <w:tc>
          <w:tcPr>
            <w:cnfStyle w:val="001000000000" w:firstRow="0" w:lastRow="0" w:firstColumn="1" w:lastColumn="0" w:oddVBand="0" w:evenVBand="0" w:oddHBand="0" w:evenHBand="0" w:firstRowFirstColumn="0" w:firstRowLastColumn="0" w:lastRowFirstColumn="0" w:lastRowLastColumn="0"/>
            <w:tcW w:w="3114" w:type="dxa"/>
          </w:tcPr>
          <w:p w14:paraId="02EF7F01" w14:textId="77777777" w:rsidR="000F6E62" w:rsidRPr="000F6E62" w:rsidRDefault="000F6E62">
            <w:pPr>
              <w:rPr>
                <w:rFonts w:ascii="Aptos" w:hAnsi="Aptos"/>
                <w:b w:val="0"/>
                <w:bCs w:val="0"/>
                <w:sz w:val="20"/>
                <w:szCs w:val="20"/>
              </w:rPr>
            </w:pPr>
            <w:r w:rsidRPr="000F6E62">
              <w:rPr>
                <w:rFonts w:ascii="Aptos" w:hAnsi="Aptos"/>
                <w:b w:val="0"/>
                <w:bCs w:val="0"/>
                <w:sz w:val="20"/>
                <w:szCs w:val="20"/>
              </w:rPr>
              <w:t>4 to under 9 years</w:t>
            </w:r>
          </w:p>
        </w:tc>
        <w:tc>
          <w:tcPr>
            <w:tcW w:w="1276" w:type="dxa"/>
          </w:tcPr>
          <w:p w14:paraId="48958BA9" w14:textId="4F0CECD7" w:rsidR="000F6E62" w:rsidRPr="001B39CA" w:rsidRDefault="000F6E62" w:rsidP="000F6E62">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6.4</w:t>
            </w:r>
          </w:p>
        </w:tc>
      </w:tr>
      <w:tr w:rsidR="000F6E62" w:rsidRPr="001B39CA" w14:paraId="67D51F04" w14:textId="31C320C1" w:rsidTr="000F6E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78AEDE4" w14:textId="77777777" w:rsidR="000F6E62" w:rsidRPr="000F6E62" w:rsidRDefault="000F6E62">
            <w:pPr>
              <w:rPr>
                <w:rFonts w:ascii="Aptos" w:hAnsi="Aptos"/>
                <w:b w:val="0"/>
                <w:bCs w:val="0"/>
                <w:sz w:val="20"/>
                <w:szCs w:val="20"/>
              </w:rPr>
            </w:pPr>
            <w:r w:rsidRPr="000F6E62">
              <w:rPr>
                <w:rFonts w:ascii="Aptos" w:hAnsi="Aptos"/>
                <w:b w:val="0"/>
                <w:bCs w:val="0"/>
                <w:sz w:val="20"/>
                <w:szCs w:val="20"/>
              </w:rPr>
              <w:t>9 to under 14 years</w:t>
            </w:r>
          </w:p>
        </w:tc>
        <w:tc>
          <w:tcPr>
            <w:tcW w:w="1276" w:type="dxa"/>
          </w:tcPr>
          <w:p w14:paraId="25CC614F" w14:textId="2756C369" w:rsidR="000F6E62" w:rsidRPr="001B39CA" w:rsidRDefault="000F6E62" w:rsidP="000F6E62">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9.0</w:t>
            </w:r>
          </w:p>
        </w:tc>
      </w:tr>
      <w:tr w:rsidR="000F6E62" w:rsidRPr="001B39CA" w14:paraId="6D98892A" w14:textId="6E726CCB" w:rsidTr="000F6E62">
        <w:tc>
          <w:tcPr>
            <w:cnfStyle w:val="001000000000" w:firstRow="0" w:lastRow="0" w:firstColumn="1" w:lastColumn="0" w:oddVBand="0" w:evenVBand="0" w:oddHBand="0" w:evenHBand="0" w:firstRowFirstColumn="0" w:firstRowLastColumn="0" w:lastRowFirstColumn="0" w:lastRowLastColumn="0"/>
            <w:tcW w:w="3114" w:type="dxa"/>
          </w:tcPr>
          <w:p w14:paraId="7613B876" w14:textId="77777777" w:rsidR="000F6E62" w:rsidRPr="000F6E62" w:rsidRDefault="000F6E62">
            <w:pPr>
              <w:rPr>
                <w:rFonts w:ascii="Aptos" w:hAnsi="Aptos"/>
                <w:b w:val="0"/>
                <w:bCs w:val="0"/>
                <w:sz w:val="20"/>
                <w:szCs w:val="20"/>
              </w:rPr>
            </w:pPr>
            <w:r w:rsidRPr="000F6E62">
              <w:rPr>
                <w:rFonts w:ascii="Aptos" w:hAnsi="Aptos"/>
                <w:b w:val="0"/>
                <w:bCs w:val="0"/>
                <w:sz w:val="20"/>
                <w:szCs w:val="20"/>
              </w:rPr>
              <w:t>14 to under 18 years</w:t>
            </w:r>
          </w:p>
        </w:tc>
        <w:tc>
          <w:tcPr>
            <w:tcW w:w="1276" w:type="dxa"/>
          </w:tcPr>
          <w:p w14:paraId="36C48E06" w14:textId="607EB2C0" w:rsidR="000F6E62" w:rsidRPr="001B39CA" w:rsidRDefault="000F6E62" w:rsidP="000F6E62">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11.1</w:t>
            </w:r>
          </w:p>
        </w:tc>
      </w:tr>
      <w:tr w:rsidR="000F6E62" w:rsidRPr="000E6A6C" w14:paraId="2700BA43" w14:textId="55A55F14" w:rsidTr="000F6E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157F4CD" w14:textId="24D58FC4" w:rsidR="000F6E62" w:rsidRPr="000F6E62" w:rsidRDefault="000F6E62">
            <w:pPr>
              <w:rPr>
                <w:rFonts w:ascii="Aptos" w:hAnsi="Aptos"/>
                <w:b w:val="0"/>
                <w:bCs w:val="0"/>
                <w:i/>
                <w:iCs/>
                <w:color w:val="000000"/>
                <w:kern w:val="0"/>
                <w:sz w:val="20"/>
                <w:szCs w:val="20"/>
                <w14:ligatures w14:val="none"/>
              </w:rPr>
            </w:pPr>
            <w:r w:rsidRPr="000F6E62">
              <w:rPr>
                <w:rFonts w:ascii="Aptos" w:hAnsi="Aptos"/>
                <w:b w:val="0"/>
                <w:bCs w:val="0"/>
                <w:i/>
                <w:iCs/>
                <w:sz w:val="20"/>
                <w:szCs w:val="20"/>
              </w:rPr>
              <w:t>A</w:t>
            </w:r>
            <w:r w:rsidRPr="000F6E62">
              <w:rPr>
                <w:rFonts w:ascii="Aptos" w:hAnsi="Aptos"/>
                <w:b w:val="0"/>
                <w:bCs w:val="0"/>
                <w:i/>
                <w:iCs/>
                <w:color w:val="000000"/>
                <w:sz w:val="20"/>
                <w:szCs w:val="20"/>
              </w:rPr>
              <w:t>lternative age group</w:t>
            </w:r>
            <w:r w:rsidR="00746868">
              <w:rPr>
                <w:rFonts w:ascii="Aptos" w:hAnsi="Aptos"/>
                <w:b w:val="0"/>
                <w:bCs w:val="0"/>
                <w:i/>
                <w:iCs/>
                <w:color w:val="000000"/>
                <w:sz w:val="20"/>
                <w:szCs w:val="20"/>
              </w:rPr>
              <w:t>ings</w:t>
            </w:r>
          </w:p>
        </w:tc>
        <w:tc>
          <w:tcPr>
            <w:tcW w:w="1276" w:type="dxa"/>
          </w:tcPr>
          <w:p w14:paraId="443D6B9D" w14:textId="77777777" w:rsidR="000F6E62" w:rsidRPr="000E6A6C" w:rsidRDefault="000F6E62" w:rsidP="000F6E62">
            <w:pPr>
              <w:jc w:val="center"/>
              <w:cnfStyle w:val="000000100000" w:firstRow="0" w:lastRow="0" w:firstColumn="0" w:lastColumn="0" w:oddVBand="0" w:evenVBand="0" w:oddHBand="1" w:evenHBand="0" w:firstRowFirstColumn="0" w:firstRowLastColumn="0" w:lastRowFirstColumn="0" w:lastRowLastColumn="0"/>
              <w:rPr>
                <w:rFonts w:ascii="Aptos" w:hAnsi="Aptos"/>
                <w:b/>
                <w:bCs/>
                <w:color w:val="000000"/>
                <w:sz w:val="20"/>
                <w:szCs w:val="20"/>
              </w:rPr>
            </w:pPr>
          </w:p>
        </w:tc>
      </w:tr>
      <w:tr w:rsidR="000F6E62" w:rsidRPr="000A6FEA" w14:paraId="4709956B" w14:textId="744AFA19" w:rsidTr="000F6E62">
        <w:tc>
          <w:tcPr>
            <w:cnfStyle w:val="001000000000" w:firstRow="0" w:lastRow="0" w:firstColumn="1" w:lastColumn="0" w:oddVBand="0" w:evenVBand="0" w:oddHBand="0" w:evenHBand="0" w:firstRowFirstColumn="0" w:firstRowLastColumn="0" w:lastRowFirstColumn="0" w:lastRowLastColumn="0"/>
            <w:tcW w:w="3114" w:type="dxa"/>
          </w:tcPr>
          <w:p w14:paraId="61F67594" w14:textId="77777777" w:rsidR="000F6E62" w:rsidRPr="000F6E62" w:rsidRDefault="000F6E62">
            <w:pPr>
              <w:rPr>
                <w:rFonts w:ascii="Aptos" w:hAnsi="Aptos"/>
                <w:b w:val="0"/>
                <w:bCs w:val="0"/>
                <w:sz w:val="20"/>
                <w:szCs w:val="20"/>
              </w:rPr>
            </w:pPr>
            <w:r w:rsidRPr="000F6E62">
              <w:rPr>
                <w:rFonts w:ascii="Aptos" w:hAnsi="Aptos"/>
                <w:b w:val="0"/>
                <w:bCs w:val="0"/>
                <w:sz w:val="20"/>
                <w:szCs w:val="20"/>
              </w:rPr>
              <w:t>12 to under 24 months</w:t>
            </w:r>
          </w:p>
        </w:tc>
        <w:tc>
          <w:tcPr>
            <w:tcW w:w="1276" w:type="dxa"/>
          </w:tcPr>
          <w:p w14:paraId="7B69831F" w14:textId="3CFECD0A" w:rsidR="000F6E62" w:rsidRPr="000A6FEA" w:rsidRDefault="000F6E62" w:rsidP="000F6E62">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3.9</w:t>
            </w:r>
          </w:p>
        </w:tc>
      </w:tr>
      <w:tr w:rsidR="000F6E62" w:rsidRPr="000A6FEA" w14:paraId="41D8F8E0" w14:textId="5EE3ED3A" w:rsidTr="000F6E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5B5FDDD" w14:textId="77777777" w:rsidR="000F6E62" w:rsidRPr="000F6E62" w:rsidRDefault="000F6E62">
            <w:pPr>
              <w:rPr>
                <w:rFonts w:ascii="Aptos" w:hAnsi="Aptos"/>
                <w:b w:val="0"/>
                <w:bCs w:val="0"/>
                <w:sz w:val="20"/>
                <w:szCs w:val="20"/>
              </w:rPr>
            </w:pPr>
            <w:r w:rsidRPr="000F6E62">
              <w:rPr>
                <w:rFonts w:ascii="Aptos" w:hAnsi="Aptos"/>
                <w:b w:val="0"/>
                <w:bCs w:val="0"/>
                <w:sz w:val="20"/>
                <w:szCs w:val="20"/>
              </w:rPr>
              <w:t>2 to under 5 years</w:t>
            </w:r>
          </w:p>
        </w:tc>
        <w:tc>
          <w:tcPr>
            <w:tcW w:w="1276" w:type="dxa"/>
          </w:tcPr>
          <w:p w14:paraId="6910BC1C" w14:textId="59C5A1C9" w:rsidR="000F6E62" w:rsidRPr="000A6FEA" w:rsidRDefault="000F6E62" w:rsidP="000F6E62">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5.2</w:t>
            </w:r>
          </w:p>
        </w:tc>
      </w:tr>
      <w:tr w:rsidR="000F6E62" w:rsidRPr="000A6FEA" w14:paraId="4B630E57" w14:textId="11E2A8A6" w:rsidTr="000F6E62">
        <w:tc>
          <w:tcPr>
            <w:cnfStyle w:val="001000000000" w:firstRow="0" w:lastRow="0" w:firstColumn="1" w:lastColumn="0" w:oddVBand="0" w:evenVBand="0" w:oddHBand="0" w:evenHBand="0" w:firstRowFirstColumn="0" w:firstRowLastColumn="0" w:lastRowFirstColumn="0" w:lastRowLastColumn="0"/>
            <w:tcW w:w="3114" w:type="dxa"/>
          </w:tcPr>
          <w:p w14:paraId="3BD0914D" w14:textId="77777777" w:rsidR="000F6E62" w:rsidRPr="000F6E62" w:rsidRDefault="000F6E62">
            <w:pPr>
              <w:rPr>
                <w:rFonts w:ascii="Aptos" w:hAnsi="Aptos"/>
                <w:b w:val="0"/>
                <w:bCs w:val="0"/>
                <w:sz w:val="20"/>
                <w:szCs w:val="20"/>
              </w:rPr>
            </w:pPr>
            <w:r w:rsidRPr="000F6E62">
              <w:rPr>
                <w:rFonts w:ascii="Aptos" w:hAnsi="Aptos"/>
                <w:b w:val="0"/>
                <w:bCs w:val="0"/>
                <w:sz w:val="20"/>
                <w:szCs w:val="20"/>
              </w:rPr>
              <w:t>5 to under 12 years</w:t>
            </w:r>
          </w:p>
        </w:tc>
        <w:tc>
          <w:tcPr>
            <w:tcW w:w="1276" w:type="dxa"/>
          </w:tcPr>
          <w:p w14:paraId="3F6C9B1B" w14:textId="5A84CC66" w:rsidR="000F6E62" w:rsidRPr="000A6FEA" w:rsidRDefault="000F6E62" w:rsidP="000F6E62">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7.2</w:t>
            </w:r>
          </w:p>
        </w:tc>
      </w:tr>
      <w:tr w:rsidR="000F6E62" w:rsidRPr="000A6FEA" w14:paraId="0E22A9CC" w14:textId="1529B4AF" w:rsidTr="000F6E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229F181" w14:textId="77777777" w:rsidR="000F6E62" w:rsidRPr="000F6E62" w:rsidRDefault="000F6E62">
            <w:pPr>
              <w:rPr>
                <w:rFonts w:ascii="Aptos" w:hAnsi="Aptos"/>
                <w:b w:val="0"/>
                <w:bCs w:val="0"/>
                <w:sz w:val="20"/>
                <w:szCs w:val="20"/>
              </w:rPr>
            </w:pPr>
            <w:r w:rsidRPr="000F6E62">
              <w:rPr>
                <w:rFonts w:ascii="Aptos" w:hAnsi="Aptos"/>
                <w:b w:val="0"/>
                <w:bCs w:val="0"/>
                <w:sz w:val="20"/>
                <w:szCs w:val="20"/>
              </w:rPr>
              <w:t>12 to under 18 years</w:t>
            </w:r>
          </w:p>
        </w:tc>
        <w:tc>
          <w:tcPr>
            <w:tcW w:w="1276" w:type="dxa"/>
          </w:tcPr>
          <w:p w14:paraId="7C0562A8" w14:textId="01FA836C" w:rsidR="000F6E62" w:rsidRPr="000A6FEA" w:rsidRDefault="000F6E62" w:rsidP="000F6E62">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10.0</w:t>
            </w:r>
          </w:p>
        </w:tc>
      </w:tr>
    </w:tbl>
    <w:p w14:paraId="104D5210" w14:textId="77777777" w:rsidR="00A015F5" w:rsidRDefault="00A015F5" w:rsidP="004A5EFC"/>
    <w:p w14:paraId="4BF1F093" w14:textId="41A68A38" w:rsidR="00045E19" w:rsidRDefault="00045E19" w:rsidP="004A5EFC">
      <w:r w:rsidRPr="00572CE0">
        <w:t>Values</w:t>
      </w:r>
      <w:r w:rsidR="00444F5C" w:rsidRPr="00572CE0">
        <w:t xml:space="preserve"> </w:t>
      </w:r>
      <w:r w:rsidR="00B67B9E" w:rsidRPr="00572CE0">
        <w:t>were rounded with a view to ensuring adequacy among younger children and smoothing transitions between age groupings. F</w:t>
      </w:r>
      <w:r w:rsidR="00444F5C" w:rsidRPr="00572CE0">
        <w:t xml:space="preserve">or </w:t>
      </w:r>
      <w:r w:rsidR="005949DD">
        <w:t xml:space="preserve">the standard age groupings, values for </w:t>
      </w:r>
      <w:r w:rsidR="00444F5C" w:rsidRPr="00572CE0">
        <w:t xml:space="preserve">younger children </w:t>
      </w:r>
      <w:r w:rsidR="00B67B9E" w:rsidRPr="00572CE0">
        <w:t>(aged under 9</w:t>
      </w:r>
      <w:r w:rsidR="00FE5537">
        <w:t xml:space="preserve"> for standard age groupings; aged under 5 for alternative age groupings</w:t>
      </w:r>
      <w:r w:rsidR="00B67B9E" w:rsidRPr="00572CE0">
        <w:t>)</w:t>
      </w:r>
      <w:r w:rsidR="005949DD">
        <w:t xml:space="preserve"> </w:t>
      </w:r>
      <w:r w:rsidR="00444F5C" w:rsidRPr="00572CE0">
        <w:t xml:space="preserve">were rounded up to </w:t>
      </w:r>
      <w:r w:rsidR="00A97180" w:rsidRPr="00572CE0">
        <w:t>the nearest 50 mg</w:t>
      </w:r>
      <w:r w:rsidR="00572CE0" w:rsidRPr="00572CE0">
        <w:t xml:space="preserve">. </w:t>
      </w:r>
      <w:r w:rsidR="00583BC0">
        <w:t>For the standard age groupings, v</w:t>
      </w:r>
      <w:r w:rsidR="00572CE0" w:rsidRPr="00572CE0">
        <w:t xml:space="preserve">alues for older aged children were rounded down to the nearest 50 </w:t>
      </w:r>
      <w:r w:rsidR="00DD2584">
        <w:t xml:space="preserve">mg </w:t>
      </w:r>
      <w:r w:rsidR="00572CE0" w:rsidRPr="00572CE0">
        <w:t xml:space="preserve">(9 to under 14 year olds) or to align with </w:t>
      </w:r>
      <w:r w:rsidR="00A97180" w:rsidRPr="00572CE0">
        <w:t>adult recommendations</w:t>
      </w:r>
      <w:r w:rsidR="00572CE0" w:rsidRPr="00572CE0">
        <w:t xml:space="preserve"> (14 to under 18 year olds)</w:t>
      </w:r>
      <w:r w:rsidR="00A97180" w:rsidRPr="00572CE0">
        <w:t>.</w:t>
      </w:r>
      <w:r w:rsidR="00A97180">
        <w:t xml:space="preserve"> </w:t>
      </w:r>
      <w:r w:rsidR="00FE5537">
        <w:t xml:space="preserve"> For the alternative age groupings, values for </w:t>
      </w:r>
      <w:r w:rsidR="00583BC0">
        <w:t xml:space="preserve">children aged 5 to under 12 years were rounded up to the nearest 100 </w:t>
      </w:r>
      <w:r w:rsidR="00DD2584">
        <w:t xml:space="preserve">mg </w:t>
      </w:r>
      <w:r w:rsidR="00583BC0">
        <w:t xml:space="preserve">to smooth transitions </w:t>
      </w:r>
      <w:r w:rsidR="00583BC0">
        <w:lastRenderedPageBreak/>
        <w:t xml:space="preserve">and ensure that requirements for older children within the age bracket were met. </w:t>
      </w:r>
      <w:r w:rsidR="00B232EC">
        <w:t>Values for older children (12 to under 18 years) were rounded up to align with adult values, to ensure requirements for older children within the age bracket were met.</w:t>
      </w:r>
    </w:p>
    <w:p w14:paraId="04005454" w14:textId="3609E99B" w:rsidR="00A015F5" w:rsidRDefault="00A015F5" w:rsidP="00A015F5">
      <w:r>
        <w:t xml:space="preserve">Calculations and resulting values (both un-rounded and rounded) are provided in </w:t>
      </w:r>
      <w:r w:rsidR="00B232EC">
        <w:fldChar w:fldCharType="begin"/>
      </w:r>
      <w:r w:rsidR="00B232EC">
        <w:instrText xml:space="preserve"> REF _Ref233728191 \h </w:instrText>
      </w:r>
      <w:r w:rsidR="00B232EC">
        <w:fldChar w:fldCharType="separate"/>
      </w:r>
      <w:r w:rsidR="001E4734">
        <w:t xml:space="preserve">Table </w:t>
      </w:r>
      <w:r w:rsidR="001E4734">
        <w:rPr>
          <w:noProof/>
        </w:rPr>
        <w:t>14</w:t>
      </w:r>
      <w:r w:rsidR="00B232EC">
        <w:fldChar w:fldCharType="end"/>
      </w:r>
      <w:r w:rsidR="00746868">
        <w:t xml:space="preserve"> </w:t>
      </w:r>
      <w:r>
        <w:t xml:space="preserve">below. </w:t>
      </w:r>
    </w:p>
    <w:p w14:paraId="07CAA57E" w14:textId="2311C142" w:rsidR="00B232EC" w:rsidRDefault="00B232EC" w:rsidP="00B232EC">
      <w:pPr>
        <w:pStyle w:val="Caption"/>
        <w:keepNext/>
      </w:pPr>
      <w:bookmarkStart w:id="79" w:name="_Ref233728191"/>
      <w:r>
        <w:t xml:space="preserve">Table </w:t>
      </w:r>
      <w:r>
        <w:fldChar w:fldCharType="begin"/>
      </w:r>
      <w:r>
        <w:instrText>SEQ Table \* ARABIC</w:instrText>
      </w:r>
      <w:r>
        <w:fldChar w:fldCharType="separate"/>
      </w:r>
      <w:r w:rsidR="00B90577">
        <w:rPr>
          <w:noProof/>
        </w:rPr>
        <w:t>12</w:t>
      </w:r>
      <w:r>
        <w:fldChar w:fldCharType="end"/>
      </w:r>
      <w:bookmarkEnd w:id="79"/>
      <w:r>
        <w:t xml:space="preserve"> - Scaling calculations and rounding adjustment for child AI values</w:t>
      </w:r>
    </w:p>
    <w:tbl>
      <w:tblPr>
        <w:tblStyle w:val="TableGrid"/>
        <w:tblW w:w="7366" w:type="dxa"/>
        <w:tblLook w:val="04A0" w:firstRow="1" w:lastRow="0" w:firstColumn="1" w:lastColumn="0" w:noHBand="0" w:noVBand="1"/>
      </w:tblPr>
      <w:tblGrid>
        <w:gridCol w:w="2263"/>
        <w:gridCol w:w="1843"/>
        <w:gridCol w:w="1418"/>
        <w:gridCol w:w="1842"/>
      </w:tblGrid>
      <w:tr w:rsidR="00517787" w:rsidRPr="001B39CA" w14:paraId="005970E2" w14:textId="77777777" w:rsidTr="00517787">
        <w:tc>
          <w:tcPr>
            <w:tcW w:w="2263" w:type="dxa"/>
            <w:shd w:val="clear" w:color="auto" w:fill="156082" w:themeFill="accent1"/>
          </w:tcPr>
          <w:p w14:paraId="0D792116" w14:textId="371C5445" w:rsidR="00517787" w:rsidRPr="00D75259" w:rsidRDefault="00517787">
            <w:pPr>
              <w:rPr>
                <w:rFonts w:ascii="Aptos" w:hAnsi="Aptos"/>
                <w:b/>
                <w:bCs/>
                <w:color w:val="FFFFFF" w:themeColor="background1"/>
                <w:sz w:val="20"/>
                <w:szCs w:val="20"/>
              </w:rPr>
            </w:pPr>
            <w:r w:rsidRPr="00D75259">
              <w:rPr>
                <w:rFonts w:ascii="Aptos" w:hAnsi="Aptos"/>
                <w:b/>
                <w:bCs/>
                <w:color w:val="FFFFFF" w:themeColor="background1"/>
                <w:kern w:val="2"/>
                <w:sz w:val="20"/>
                <w:szCs w:val="20"/>
                <w14:ligatures w14:val="standardContextual"/>
              </w:rPr>
              <w:t>Age group</w:t>
            </w:r>
          </w:p>
        </w:tc>
        <w:tc>
          <w:tcPr>
            <w:tcW w:w="1843" w:type="dxa"/>
            <w:shd w:val="clear" w:color="auto" w:fill="156082" w:themeFill="accent1"/>
            <w:vAlign w:val="bottom"/>
          </w:tcPr>
          <w:p w14:paraId="782206B2" w14:textId="18658981" w:rsidR="00517787" w:rsidRPr="00D75259" w:rsidRDefault="00517787">
            <w:pPr>
              <w:jc w:val="center"/>
              <w:rPr>
                <w:rFonts w:ascii="Aptos" w:hAnsi="Aptos"/>
                <w:b/>
                <w:bCs/>
                <w:color w:val="FFFFFF" w:themeColor="background1"/>
                <w:sz w:val="20"/>
                <w:szCs w:val="20"/>
              </w:rPr>
            </w:pPr>
            <w:r w:rsidRPr="00D75259">
              <w:rPr>
                <w:rFonts w:ascii="Aptos" w:hAnsi="Aptos"/>
                <w:b/>
                <w:bCs/>
                <w:color w:val="FFFFFF" w:themeColor="background1"/>
                <w:sz w:val="20"/>
                <w:szCs w:val="20"/>
              </w:rPr>
              <w:t xml:space="preserve">Calculated </w:t>
            </w:r>
            <w:proofErr w:type="spellStart"/>
            <w:r w:rsidRPr="00D75259">
              <w:rPr>
                <w:rFonts w:ascii="Aptos" w:hAnsi="Aptos"/>
                <w:b/>
                <w:bCs/>
                <w:color w:val="FFFFFF" w:themeColor="background1"/>
                <w:sz w:val="20"/>
                <w:szCs w:val="20"/>
              </w:rPr>
              <w:t>AI</w:t>
            </w:r>
            <w:r w:rsidRPr="00D75259">
              <w:rPr>
                <w:rFonts w:ascii="Aptos" w:hAnsi="Aptos"/>
                <w:b/>
                <w:bCs/>
                <w:color w:val="FFFFFF" w:themeColor="background1"/>
                <w:sz w:val="20"/>
                <w:szCs w:val="20"/>
                <w:vertAlign w:val="subscript"/>
              </w:rPr>
              <w:t>child</w:t>
            </w:r>
            <w:proofErr w:type="spellEnd"/>
          </w:p>
        </w:tc>
        <w:tc>
          <w:tcPr>
            <w:tcW w:w="1418" w:type="dxa"/>
            <w:shd w:val="clear" w:color="auto" w:fill="156082" w:themeFill="accent1"/>
            <w:vAlign w:val="bottom"/>
          </w:tcPr>
          <w:p w14:paraId="4C67D6D2" w14:textId="21323E20" w:rsidR="00517787" w:rsidRPr="00D75259" w:rsidRDefault="00517787">
            <w:pPr>
              <w:jc w:val="center"/>
              <w:rPr>
                <w:rFonts w:ascii="Aptos" w:hAnsi="Aptos"/>
                <w:b/>
                <w:bCs/>
                <w:color w:val="FFFFFF" w:themeColor="background1"/>
                <w:sz w:val="20"/>
                <w:szCs w:val="20"/>
              </w:rPr>
            </w:pPr>
            <w:r>
              <w:rPr>
                <w:rFonts w:ascii="Aptos" w:hAnsi="Aptos"/>
                <w:b/>
                <w:bCs/>
                <w:color w:val="FFFFFF" w:themeColor="background1"/>
                <w:sz w:val="20"/>
                <w:szCs w:val="20"/>
              </w:rPr>
              <w:t>Rounding</w:t>
            </w:r>
          </w:p>
        </w:tc>
        <w:tc>
          <w:tcPr>
            <w:tcW w:w="1842" w:type="dxa"/>
            <w:shd w:val="clear" w:color="auto" w:fill="156082" w:themeFill="accent1"/>
            <w:vAlign w:val="bottom"/>
          </w:tcPr>
          <w:p w14:paraId="46A90F61" w14:textId="74E5B990" w:rsidR="00517787" w:rsidRPr="00D75259" w:rsidRDefault="00517787">
            <w:pPr>
              <w:jc w:val="center"/>
              <w:rPr>
                <w:rFonts w:ascii="Aptos" w:hAnsi="Aptos"/>
                <w:b/>
                <w:bCs/>
                <w:color w:val="FFFFFF" w:themeColor="background1"/>
                <w:sz w:val="20"/>
                <w:szCs w:val="20"/>
              </w:rPr>
            </w:pPr>
            <w:r>
              <w:rPr>
                <w:rFonts w:ascii="Aptos" w:hAnsi="Aptos"/>
                <w:b/>
                <w:bCs/>
                <w:color w:val="FFFFFF" w:themeColor="background1"/>
                <w:sz w:val="20"/>
                <w:szCs w:val="20"/>
              </w:rPr>
              <w:t xml:space="preserve">Final </w:t>
            </w:r>
            <w:proofErr w:type="spellStart"/>
            <w:r w:rsidRPr="00D75259">
              <w:rPr>
                <w:rFonts w:ascii="Aptos" w:hAnsi="Aptos"/>
                <w:b/>
                <w:bCs/>
                <w:color w:val="FFFFFF" w:themeColor="background1"/>
                <w:sz w:val="20"/>
                <w:szCs w:val="20"/>
              </w:rPr>
              <w:t>AI</w:t>
            </w:r>
            <w:r w:rsidRPr="00D75259">
              <w:rPr>
                <w:rFonts w:ascii="Aptos" w:hAnsi="Aptos"/>
                <w:b/>
                <w:bCs/>
                <w:color w:val="FFFFFF" w:themeColor="background1"/>
                <w:sz w:val="20"/>
                <w:szCs w:val="20"/>
                <w:vertAlign w:val="subscript"/>
              </w:rPr>
              <w:t>child</w:t>
            </w:r>
            <w:proofErr w:type="spellEnd"/>
          </w:p>
        </w:tc>
      </w:tr>
      <w:tr w:rsidR="006765C9" w:rsidRPr="001B39CA" w14:paraId="35F88CE7" w14:textId="77777777" w:rsidTr="00517787">
        <w:tc>
          <w:tcPr>
            <w:tcW w:w="2263" w:type="dxa"/>
          </w:tcPr>
          <w:p w14:paraId="3BFCCAE2" w14:textId="597680D5" w:rsidR="006765C9" w:rsidRPr="006765C9" w:rsidRDefault="006765C9">
            <w:pPr>
              <w:rPr>
                <w:rFonts w:ascii="Aptos" w:hAnsi="Aptos"/>
                <w:i/>
                <w:iCs/>
                <w:sz w:val="20"/>
                <w:szCs w:val="20"/>
              </w:rPr>
            </w:pPr>
            <w:r w:rsidRPr="006765C9">
              <w:rPr>
                <w:rFonts w:ascii="Aptos" w:hAnsi="Aptos"/>
                <w:i/>
                <w:iCs/>
                <w:sz w:val="20"/>
                <w:szCs w:val="20"/>
              </w:rPr>
              <w:t>Standard age groups:</w:t>
            </w:r>
          </w:p>
        </w:tc>
        <w:tc>
          <w:tcPr>
            <w:tcW w:w="1843" w:type="dxa"/>
            <w:vAlign w:val="bottom"/>
          </w:tcPr>
          <w:p w14:paraId="6C0022B4" w14:textId="77777777" w:rsidR="006765C9" w:rsidRDefault="006765C9">
            <w:pPr>
              <w:jc w:val="center"/>
              <w:rPr>
                <w:rFonts w:ascii="Aptos" w:hAnsi="Aptos"/>
                <w:color w:val="000000"/>
                <w:sz w:val="20"/>
                <w:szCs w:val="20"/>
                <w:highlight w:val="yellow"/>
              </w:rPr>
            </w:pPr>
          </w:p>
        </w:tc>
        <w:tc>
          <w:tcPr>
            <w:tcW w:w="1418" w:type="dxa"/>
            <w:shd w:val="clear" w:color="auto" w:fill="FFFFFF" w:themeFill="background1"/>
          </w:tcPr>
          <w:p w14:paraId="5C405517" w14:textId="77777777" w:rsidR="006765C9" w:rsidRDefault="006765C9">
            <w:pPr>
              <w:jc w:val="center"/>
              <w:rPr>
                <w:rFonts w:ascii="Aptos" w:hAnsi="Aptos"/>
                <w:b/>
                <w:bCs/>
                <w:color w:val="000000"/>
                <w:sz w:val="20"/>
                <w:szCs w:val="20"/>
              </w:rPr>
            </w:pPr>
          </w:p>
        </w:tc>
        <w:tc>
          <w:tcPr>
            <w:tcW w:w="1842" w:type="dxa"/>
          </w:tcPr>
          <w:p w14:paraId="2B0D3D61" w14:textId="77777777" w:rsidR="006765C9" w:rsidRDefault="006765C9">
            <w:pPr>
              <w:jc w:val="center"/>
              <w:rPr>
                <w:rFonts w:ascii="Aptos" w:hAnsi="Aptos"/>
                <w:color w:val="000000"/>
                <w:sz w:val="20"/>
                <w:szCs w:val="20"/>
              </w:rPr>
            </w:pPr>
          </w:p>
        </w:tc>
      </w:tr>
      <w:tr w:rsidR="00517787" w:rsidRPr="001B39CA" w14:paraId="0A424A65" w14:textId="77777777" w:rsidTr="00517787">
        <w:tc>
          <w:tcPr>
            <w:tcW w:w="2263" w:type="dxa"/>
          </w:tcPr>
          <w:p w14:paraId="024C3239" w14:textId="77777777" w:rsidR="00517787" w:rsidRPr="001B39CA" w:rsidRDefault="00517787">
            <w:pPr>
              <w:rPr>
                <w:rFonts w:ascii="Aptos" w:hAnsi="Aptos"/>
                <w:sz w:val="20"/>
                <w:szCs w:val="20"/>
              </w:rPr>
            </w:pPr>
            <w:r w:rsidRPr="001B39CA">
              <w:rPr>
                <w:rFonts w:ascii="Aptos" w:hAnsi="Aptos"/>
                <w:sz w:val="20"/>
                <w:szCs w:val="20"/>
              </w:rPr>
              <w:t>1 to under 4 years</w:t>
            </w:r>
          </w:p>
        </w:tc>
        <w:tc>
          <w:tcPr>
            <w:tcW w:w="1843" w:type="dxa"/>
            <w:vAlign w:val="bottom"/>
          </w:tcPr>
          <w:p w14:paraId="6BD8FFF6" w14:textId="5D7191EA" w:rsidR="00517787" w:rsidRPr="006765C9" w:rsidRDefault="005042B9">
            <w:pPr>
              <w:jc w:val="center"/>
              <w:rPr>
                <w:rFonts w:ascii="Aptos" w:hAnsi="Aptos"/>
                <w:color w:val="000000"/>
                <w:sz w:val="20"/>
                <w:szCs w:val="20"/>
              </w:rPr>
            </w:pPr>
            <w:r w:rsidRPr="006765C9">
              <w:rPr>
                <w:rFonts w:ascii="Aptos" w:hAnsi="Aptos"/>
                <w:color w:val="000000"/>
                <w:sz w:val="20"/>
                <w:szCs w:val="20"/>
              </w:rPr>
              <w:t>390</w:t>
            </w:r>
          </w:p>
        </w:tc>
        <w:tc>
          <w:tcPr>
            <w:tcW w:w="1418" w:type="dxa"/>
            <w:shd w:val="clear" w:color="auto" w:fill="FFFFFF" w:themeFill="background1"/>
          </w:tcPr>
          <w:p w14:paraId="7EE06FA2" w14:textId="2AFDF671" w:rsidR="00517787" w:rsidRPr="000E6A6C" w:rsidRDefault="005042B9">
            <w:pPr>
              <w:jc w:val="center"/>
              <w:rPr>
                <w:rFonts w:ascii="Aptos" w:hAnsi="Aptos"/>
                <w:b/>
                <w:bCs/>
                <w:color w:val="000000"/>
                <w:sz w:val="20"/>
                <w:szCs w:val="20"/>
              </w:rPr>
            </w:pPr>
            <w:r>
              <w:rPr>
                <w:rFonts w:ascii="Aptos" w:hAnsi="Aptos"/>
                <w:b/>
                <w:bCs/>
                <w:color w:val="000000"/>
                <w:sz w:val="20"/>
                <w:szCs w:val="20"/>
              </w:rPr>
              <w:t>10</w:t>
            </w:r>
          </w:p>
        </w:tc>
        <w:tc>
          <w:tcPr>
            <w:tcW w:w="1842" w:type="dxa"/>
          </w:tcPr>
          <w:p w14:paraId="03279004" w14:textId="2DFACDE7" w:rsidR="00517787" w:rsidRPr="005D3224" w:rsidRDefault="00444F5C">
            <w:pPr>
              <w:jc w:val="center"/>
              <w:rPr>
                <w:rFonts w:ascii="Aptos" w:hAnsi="Aptos"/>
                <w:color w:val="000000"/>
                <w:sz w:val="20"/>
                <w:szCs w:val="20"/>
              </w:rPr>
            </w:pPr>
            <w:r>
              <w:rPr>
                <w:rFonts w:ascii="Aptos" w:hAnsi="Aptos"/>
                <w:color w:val="000000"/>
                <w:sz w:val="20"/>
                <w:szCs w:val="20"/>
              </w:rPr>
              <w:t>400</w:t>
            </w:r>
          </w:p>
        </w:tc>
      </w:tr>
      <w:tr w:rsidR="00517787" w:rsidRPr="001B39CA" w14:paraId="1A213BDD" w14:textId="77777777" w:rsidTr="00517787">
        <w:tc>
          <w:tcPr>
            <w:tcW w:w="2263" w:type="dxa"/>
          </w:tcPr>
          <w:p w14:paraId="2C2CB399" w14:textId="77777777" w:rsidR="00517787" w:rsidRPr="001B39CA" w:rsidRDefault="00517787">
            <w:pPr>
              <w:rPr>
                <w:rFonts w:ascii="Aptos" w:hAnsi="Aptos"/>
                <w:sz w:val="20"/>
                <w:szCs w:val="20"/>
              </w:rPr>
            </w:pPr>
            <w:r w:rsidRPr="001B39CA">
              <w:rPr>
                <w:rFonts w:ascii="Aptos" w:hAnsi="Aptos"/>
                <w:sz w:val="20"/>
                <w:szCs w:val="20"/>
              </w:rPr>
              <w:t>4 to under 9 years</w:t>
            </w:r>
          </w:p>
        </w:tc>
        <w:tc>
          <w:tcPr>
            <w:tcW w:w="1843" w:type="dxa"/>
            <w:vAlign w:val="bottom"/>
          </w:tcPr>
          <w:p w14:paraId="71DE2305" w14:textId="6EECCEFE" w:rsidR="00517787" w:rsidRPr="006765C9" w:rsidRDefault="005042B9">
            <w:pPr>
              <w:jc w:val="center"/>
              <w:rPr>
                <w:rFonts w:ascii="Aptos" w:hAnsi="Aptos"/>
                <w:color w:val="000000"/>
                <w:sz w:val="20"/>
                <w:szCs w:val="20"/>
              </w:rPr>
            </w:pPr>
            <w:r w:rsidRPr="006765C9">
              <w:rPr>
                <w:rFonts w:ascii="Aptos" w:hAnsi="Aptos"/>
                <w:color w:val="000000"/>
                <w:sz w:val="20"/>
                <w:szCs w:val="20"/>
              </w:rPr>
              <w:t>569</w:t>
            </w:r>
          </w:p>
        </w:tc>
        <w:tc>
          <w:tcPr>
            <w:tcW w:w="1418" w:type="dxa"/>
            <w:shd w:val="clear" w:color="auto" w:fill="FFFFFF" w:themeFill="background1"/>
          </w:tcPr>
          <w:p w14:paraId="71F26735" w14:textId="32907DE8" w:rsidR="00517787" w:rsidRPr="000E6A6C" w:rsidRDefault="005042B9">
            <w:pPr>
              <w:jc w:val="center"/>
              <w:rPr>
                <w:rFonts w:ascii="Aptos" w:hAnsi="Aptos"/>
                <w:b/>
                <w:bCs/>
                <w:color w:val="000000"/>
                <w:sz w:val="20"/>
                <w:szCs w:val="20"/>
              </w:rPr>
            </w:pPr>
            <w:r>
              <w:rPr>
                <w:rFonts w:ascii="Aptos" w:hAnsi="Aptos"/>
                <w:b/>
                <w:bCs/>
                <w:color w:val="000000"/>
                <w:sz w:val="20"/>
                <w:szCs w:val="20"/>
              </w:rPr>
              <w:t>31</w:t>
            </w:r>
          </w:p>
        </w:tc>
        <w:tc>
          <w:tcPr>
            <w:tcW w:w="1842" w:type="dxa"/>
          </w:tcPr>
          <w:p w14:paraId="7B6E47C6" w14:textId="431A5EF2" w:rsidR="00517787" w:rsidRPr="005D3224" w:rsidRDefault="00444F5C">
            <w:pPr>
              <w:jc w:val="center"/>
              <w:rPr>
                <w:rFonts w:ascii="Aptos" w:hAnsi="Aptos"/>
                <w:color w:val="000000"/>
                <w:sz w:val="20"/>
                <w:szCs w:val="20"/>
              </w:rPr>
            </w:pPr>
            <w:r>
              <w:rPr>
                <w:rFonts w:ascii="Aptos" w:hAnsi="Aptos"/>
                <w:color w:val="000000"/>
                <w:sz w:val="20"/>
                <w:szCs w:val="20"/>
              </w:rPr>
              <w:t>600</w:t>
            </w:r>
          </w:p>
        </w:tc>
      </w:tr>
      <w:tr w:rsidR="00517787" w:rsidRPr="001B39CA" w14:paraId="29C8E26F" w14:textId="77777777" w:rsidTr="00517787">
        <w:tc>
          <w:tcPr>
            <w:tcW w:w="2263" w:type="dxa"/>
          </w:tcPr>
          <w:p w14:paraId="080243B0" w14:textId="77777777" w:rsidR="00517787" w:rsidRPr="001B39CA" w:rsidRDefault="00517787">
            <w:pPr>
              <w:rPr>
                <w:rFonts w:ascii="Aptos" w:hAnsi="Aptos"/>
                <w:sz w:val="20"/>
                <w:szCs w:val="20"/>
              </w:rPr>
            </w:pPr>
            <w:r w:rsidRPr="001B39CA">
              <w:rPr>
                <w:rFonts w:ascii="Aptos" w:hAnsi="Aptos"/>
                <w:sz w:val="20"/>
                <w:szCs w:val="20"/>
              </w:rPr>
              <w:t>9 to under 14 years</w:t>
            </w:r>
          </w:p>
        </w:tc>
        <w:tc>
          <w:tcPr>
            <w:tcW w:w="1843" w:type="dxa"/>
            <w:vAlign w:val="bottom"/>
          </w:tcPr>
          <w:p w14:paraId="7E1F4EE1" w14:textId="3CE4E603" w:rsidR="00517787" w:rsidRPr="006765C9" w:rsidRDefault="005042B9">
            <w:pPr>
              <w:jc w:val="center"/>
              <w:rPr>
                <w:rFonts w:ascii="Aptos" w:hAnsi="Aptos"/>
                <w:color w:val="000000"/>
                <w:sz w:val="20"/>
                <w:szCs w:val="20"/>
              </w:rPr>
            </w:pPr>
            <w:r w:rsidRPr="006765C9">
              <w:rPr>
                <w:rFonts w:ascii="Aptos" w:hAnsi="Aptos"/>
                <w:color w:val="000000"/>
                <w:sz w:val="20"/>
                <w:szCs w:val="20"/>
              </w:rPr>
              <w:t>801</w:t>
            </w:r>
          </w:p>
        </w:tc>
        <w:tc>
          <w:tcPr>
            <w:tcW w:w="1418" w:type="dxa"/>
            <w:shd w:val="clear" w:color="auto" w:fill="FFFFFF" w:themeFill="background1"/>
          </w:tcPr>
          <w:p w14:paraId="12221151" w14:textId="603C99DA" w:rsidR="00517787" w:rsidRPr="000E6A6C" w:rsidRDefault="005042B9">
            <w:pPr>
              <w:jc w:val="center"/>
              <w:rPr>
                <w:rFonts w:ascii="Aptos" w:hAnsi="Aptos"/>
                <w:b/>
                <w:bCs/>
                <w:color w:val="000000"/>
                <w:sz w:val="20"/>
                <w:szCs w:val="20"/>
              </w:rPr>
            </w:pPr>
            <w:r>
              <w:rPr>
                <w:rFonts w:ascii="Aptos" w:hAnsi="Aptos"/>
                <w:b/>
                <w:bCs/>
                <w:color w:val="000000"/>
                <w:sz w:val="20"/>
                <w:szCs w:val="20"/>
              </w:rPr>
              <w:t>-1</w:t>
            </w:r>
          </w:p>
        </w:tc>
        <w:tc>
          <w:tcPr>
            <w:tcW w:w="1842" w:type="dxa"/>
          </w:tcPr>
          <w:p w14:paraId="3FFF0267" w14:textId="726B127A" w:rsidR="00517787" w:rsidRPr="005D3224" w:rsidRDefault="00444F5C">
            <w:pPr>
              <w:jc w:val="center"/>
              <w:rPr>
                <w:rFonts w:ascii="Aptos" w:hAnsi="Aptos"/>
                <w:color w:val="000000"/>
                <w:sz w:val="20"/>
                <w:szCs w:val="20"/>
              </w:rPr>
            </w:pPr>
            <w:r>
              <w:rPr>
                <w:rFonts w:ascii="Aptos" w:hAnsi="Aptos"/>
                <w:color w:val="000000"/>
                <w:sz w:val="20"/>
                <w:szCs w:val="20"/>
              </w:rPr>
              <w:t>800</w:t>
            </w:r>
          </w:p>
        </w:tc>
      </w:tr>
      <w:tr w:rsidR="00517787" w:rsidRPr="001B39CA" w14:paraId="0684E9F5" w14:textId="77777777" w:rsidTr="00517787">
        <w:tc>
          <w:tcPr>
            <w:tcW w:w="2263" w:type="dxa"/>
          </w:tcPr>
          <w:p w14:paraId="1AA3830F" w14:textId="77777777" w:rsidR="00517787" w:rsidRPr="001B39CA" w:rsidRDefault="00517787">
            <w:pPr>
              <w:rPr>
                <w:rFonts w:ascii="Aptos" w:hAnsi="Aptos"/>
                <w:sz w:val="20"/>
                <w:szCs w:val="20"/>
              </w:rPr>
            </w:pPr>
            <w:r w:rsidRPr="001B39CA">
              <w:rPr>
                <w:rFonts w:ascii="Aptos" w:hAnsi="Aptos"/>
                <w:sz w:val="20"/>
                <w:szCs w:val="20"/>
              </w:rPr>
              <w:t>14 to under 18 years</w:t>
            </w:r>
          </w:p>
        </w:tc>
        <w:tc>
          <w:tcPr>
            <w:tcW w:w="1843" w:type="dxa"/>
            <w:vAlign w:val="bottom"/>
          </w:tcPr>
          <w:p w14:paraId="45C42CBF" w14:textId="41CCB35E" w:rsidR="00517787" w:rsidRPr="006765C9" w:rsidRDefault="005042B9">
            <w:pPr>
              <w:jc w:val="center"/>
              <w:rPr>
                <w:rFonts w:ascii="Aptos" w:hAnsi="Aptos"/>
                <w:color w:val="000000"/>
                <w:sz w:val="20"/>
                <w:szCs w:val="20"/>
              </w:rPr>
            </w:pPr>
            <w:r w:rsidRPr="006765C9">
              <w:rPr>
                <w:rFonts w:ascii="Aptos" w:hAnsi="Aptos"/>
                <w:color w:val="000000"/>
                <w:sz w:val="20"/>
                <w:szCs w:val="20"/>
              </w:rPr>
              <w:t>991</w:t>
            </w:r>
          </w:p>
        </w:tc>
        <w:tc>
          <w:tcPr>
            <w:tcW w:w="1418" w:type="dxa"/>
            <w:shd w:val="clear" w:color="auto" w:fill="FFFFFF" w:themeFill="background1"/>
          </w:tcPr>
          <w:p w14:paraId="11F56AF7" w14:textId="2023DF9A" w:rsidR="00517787" w:rsidRPr="000E6A6C" w:rsidRDefault="005042B9">
            <w:pPr>
              <w:jc w:val="center"/>
              <w:rPr>
                <w:rFonts w:ascii="Aptos" w:hAnsi="Aptos"/>
                <w:b/>
                <w:bCs/>
                <w:color w:val="000000"/>
                <w:sz w:val="20"/>
                <w:szCs w:val="20"/>
              </w:rPr>
            </w:pPr>
            <w:r>
              <w:rPr>
                <w:rFonts w:ascii="Aptos" w:hAnsi="Aptos"/>
                <w:b/>
                <w:bCs/>
                <w:color w:val="000000"/>
                <w:sz w:val="20"/>
                <w:szCs w:val="20"/>
              </w:rPr>
              <w:t>-71</w:t>
            </w:r>
          </w:p>
        </w:tc>
        <w:tc>
          <w:tcPr>
            <w:tcW w:w="1842" w:type="dxa"/>
          </w:tcPr>
          <w:p w14:paraId="0F153577" w14:textId="07524757" w:rsidR="00517787" w:rsidRPr="005D3224" w:rsidRDefault="00444F5C">
            <w:pPr>
              <w:jc w:val="center"/>
              <w:rPr>
                <w:rFonts w:ascii="Aptos" w:hAnsi="Aptos"/>
                <w:color w:val="000000"/>
                <w:sz w:val="20"/>
                <w:szCs w:val="20"/>
              </w:rPr>
            </w:pPr>
            <w:r>
              <w:rPr>
                <w:rFonts w:ascii="Aptos" w:hAnsi="Aptos"/>
                <w:color w:val="000000"/>
                <w:sz w:val="20"/>
                <w:szCs w:val="20"/>
              </w:rPr>
              <w:t>920</w:t>
            </w:r>
          </w:p>
        </w:tc>
      </w:tr>
      <w:tr w:rsidR="006765C9" w:rsidRPr="001B39CA" w14:paraId="42527026" w14:textId="77777777" w:rsidTr="00517787">
        <w:tc>
          <w:tcPr>
            <w:tcW w:w="2263" w:type="dxa"/>
          </w:tcPr>
          <w:p w14:paraId="6175450D" w14:textId="136AE36F" w:rsidR="006765C9" w:rsidRPr="006765C9" w:rsidRDefault="006765C9">
            <w:pPr>
              <w:rPr>
                <w:rFonts w:ascii="Aptos" w:hAnsi="Aptos"/>
                <w:i/>
                <w:iCs/>
                <w:sz w:val="20"/>
                <w:szCs w:val="20"/>
              </w:rPr>
            </w:pPr>
            <w:r w:rsidRPr="006765C9">
              <w:rPr>
                <w:rFonts w:ascii="Aptos" w:hAnsi="Aptos"/>
                <w:i/>
                <w:iCs/>
                <w:sz w:val="20"/>
                <w:szCs w:val="20"/>
              </w:rPr>
              <w:t>Alternative age groups:</w:t>
            </w:r>
          </w:p>
        </w:tc>
        <w:tc>
          <w:tcPr>
            <w:tcW w:w="1843" w:type="dxa"/>
            <w:vAlign w:val="bottom"/>
          </w:tcPr>
          <w:p w14:paraId="6AE6EF9E" w14:textId="77777777" w:rsidR="006765C9" w:rsidRPr="006765C9" w:rsidRDefault="006765C9">
            <w:pPr>
              <w:jc w:val="center"/>
              <w:rPr>
                <w:rFonts w:ascii="Aptos" w:hAnsi="Aptos"/>
                <w:color w:val="000000"/>
                <w:sz w:val="20"/>
                <w:szCs w:val="20"/>
              </w:rPr>
            </w:pPr>
          </w:p>
        </w:tc>
        <w:tc>
          <w:tcPr>
            <w:tcW w:w="1418" w:type="dxa"/>
            <w:shd w:val="clear" w:color="auto" w:fill="FFFFFF" w:themeFill="background1"/>
          </w:tcPr>
          <w:p w14:paraId="38836FD1" w14:textId="77777777" w:rsidR="006765C9" w:rsidRDefault="006765C9">
            <w:pPr>
              <w:jc w:val="center"/>
              <w:rPr>
                <w:rFonts w:ascii="Aptos" w:hAnsi="Aptos"/>
                <w:b/>
                <w:bCs/>
                <w:sz w:val="20"/>
                <w:szCs w:val="20"/>
              </w:rPr>
            </w:pPr>
          </w:p>
        </w:tc>
        <w:tc>
          <w:tcPr>
            <w:tcW w:w="1842" w:type="dxa"/>
            <w:vAlign w:val="bottom"/>
          </w:tcPr>
          <w:p w14:paraId="256582AA" w14:textId="77777777" w:rsidR="006765C9" w:rsidRDefault="006765C9">
            <w:pPr>
              <w:jc w:val="center"/>
              <w:rPr>
                <w:rFonts w:ascii="Aptos" w:hAnsi="Aptos"/>
                <w:color w:val="000000"/>
                <w:sz w:val="20"/>
                <w:szCs w:val="20"/>
              </w:rPr>
            </w:pPr>
          </w:p>
        </w:tc>
      </w:tr>
      <w:tr w:rsidR="00517787" w:rsidRPr="001B39CA" w14:paraId="4C1D3E13" w14:textId="77777777" w:rsidTr="00517787">
        <w:tc>
          <w:tcPr>
            <w:tcW w:w="2263" w:type="dxa"/>
          </w:tcPr>
          <w:p w14:paraId="1D11C5C0" w14:textId="77777777" w:rsidR="00517787" w:rsidRPr="000A6FEA" w:rsidRDefault="00517787">
            <w:pPr>
              <w:rPr>
                <w:rFonts w:ascii="Aptos" w:hAnsi="Aptos"/>
                <w:sz w:val="20"/>
                <w:szCs w:val="20"/>
              </w:rPr>
            </w:pPr>
            <w:r w:rsidRPr="000A6FEA">
              <w:rPr>
                <w:rFonts w:ascii="Aptos" w:hAnsi="Aptos"/>
                <w:sz w:val="20"/>
                <w:szCs w:val="20"/>
              </w:rPr>
              <w:t>12 to under 24 months</w:t>
            </w:r>
          </w:p>
        </w:tc>
        <w:tc>
          <w:tcPr>
            <w:tcW w:w="1843" w:type="dxa"/>
            <w:vAlign w:val="bottom"/>
          </w:tcPr>
          <w:p w14:paraId="6415AE44" w14:textId="41033A8F" w:rsidR="00517787" w:rsidRPr="006765C9" w:rsidRDefault="00572CE0">
            <w:pPr>
              <w:jc w:val="center"/>
              <w:rPr>
                <w:rFonts w:ascii="Aptos" w:hAnsi="Aptos"/>
                <w:color w:val="000000"/>
                <w:sz w:val="20"/>
                <w:szCs w:val="20"/>
              </w:rPr>
            </w:pPr>
            <w:r w:rsidRPr="006765C9">
              <w:rPr>
                <w:rFonts w:ascii="Aptos" w:hAnsi="Aptos"/>
                <w:color w:val="000000"/>
                <w:sz w:val="20"/>
                <w:szCs w:val="20"/>
              </w:rPr>
              <w:t>345</w:t>
            </w:r>
          </w:p>
        </w:tc>
        <w:tc>
          <w:tcPr>
            <w:tcW w:w="1418" w:type="dxa"/>
            <w:shd w:val="clear" w:color="auto" w:fill="FFFFFF" w:themeFill="background1"/>
          </w:tcPr>
          <w:p w14:paraId="2ECB5526" w14:textId="0431593E" w:rsidR="00517787" w:rsidRPr="000E6A6C" w:rsidRDefault="00FA72F9">
            <w:pPr>
              <w:jc w:val="center"/>
              <w:rPr>
                <w:rFonts w:ascii="Aptos" w:hAnsi="Aptos"/>
                <w:b/>
                <w:bCs/>
                <w:sz w:val="20"/>
                <w:szCs w:val="20"/>
              </w:rPr>
            </w:pPr>
            <w:r>
              <w:rPr>
                <w:rFonts w:ascii="Aptos" w:hAnsi="Aptos"/>
                <w:b/>
                <w:bCs/>
                <w:sz w:val="20"/>
                <w:szCs w:val="20"/>
              </w:rPr>
              <w:t>5</w:t>
            </w:r>
          </w:p>
        </w:tc>
        <w:tc>
          <w:tcPr>
            <w:tcW w:w="1842" w:type="dxa"/>
            <w:vAlign w:val="bottom"/>
          </w:tcPr>
          <w:p w14:paraId="498E629A" w14:textId="6834A574" w:rsidR="00517787" w:rsidRPr="00327EDA" w:rsidRDefault="00FA72F9">
            <w:pPr>
              <w:jc w:val="center"/>
              <w:rPr>
                <w:rFonts w:ascii="Aptos" w:hAnsi="Aptos"/>
                <w:color w:val="000000"/>
                <w:sz w:val="20"/>
                <w:szCs w:val="20"/>
              </w:rPr>
            </w:pPr>
            <w:r>
              <w:rPr>
                <w:rFonts w:ascii="Aptos" w:hAnsi="Aptos"/>
                <w:color w:val="000000"/>
                <w:sz w:val="20"/>
                <w:szCs w:val="20"/>
              </w:rPr>
              <w:t>350</w:t>
            </w:r>
          </w:p>
        </w:tc>
      </w:tr>
      <w:tr w:rsidR="00517787" w:rsidRPr="001B39CA" w14:paraId="0F23989C" w14:textId="77777777" w:rsidTr="00517787">
        <w:tc>
          <w:tcPr>
            <w:tcW w:w="2263" w:type="dxa"/>
          </w:tcPr>
          <w:p w14:paraId="18E347BB" w14:textId="77777777" w:rsidR="00517787" w:rsidRPr="000A6FEA" w:rsidRDefault="00517787">
            <w:pPr>
              <w:rPr>
                <w:rFonts w:ascii="Aptos" w:hAnsi="Aptos"/>
                <w:sz w:val="20"/>
                <w:szCs w:val="20"/>
              </w:rPr>
            </w:pPr>
            <w:r w:rsidRPr="000A6FEA">
              <w:rPr>
                <w:rFonts w:ascii="Aptos" w:hAnsi="Aptos"/>
                <w:sz w:val="20"/>
                <w:szCs w:val="20"/>
              </w:rPr>
              <w:t>2 to under 5 years</w:t>
            </w:r>
          </w:p>
        </w:tc>
        <w:tc>
          <w:tcPr>
            <w:tcW w:w="1843" w:type="dxa"/>
            <w:vAlign w:val="bottom"/>
          </w:tcPr>
          <w:p w14:paraId="246B4A31" w14:textId="4A19F57C" w:rsidR="00517787" w:rsidRPr="006765C9" w:rsidRDefault="00572CE0">
            <w:pPr>
              <w:jc w:val="center"/>
              <w:rPr>
                <w:rFonts w:ascii="Aptos" w:hAnsi="Aptos"/>
                <w:color w:val="000000"/>
                <w:sz w:val="20"/>
                <w:szCs w:val="20"/>
              </w:rPr>
            </w:pPr>
            <w:r w:rsidRPr="006765C9">
              <w:rPr>
                <w:rFonts w:ascii="Aptos" w:hAnsi="Aptos"/>
                <w:color w:val="000000"/>
                <w:sz w:val="20"/>
                <w:szCs w:val="20"/>
              </w:rPr>
              <w:t>460</w:t>
            </w:r>
          </w:p>
        </w:tc>
        <w:tc>
          <w:tcPr>
            <w:tcW w:w="1418" w:type="dxa"/>
            <w:shd w:val="clear" w:color="auto" w:fill="FFFFFF" w:themeFill="background1"/>
          </w:tcPr>
          <w:p w14:paraId="430A11B1" w14:textId="0E29875D" w:rsidR="00517787" w:rsidRPr="000E6A6C" w:rsidRDefault="00FA72F9">
            <w:pPr>
              <w:jc w:val="center"/>
              <w:rPr>
                <w:rFonts w:ascii="Aptos" w:hAnsi="Aptos"/>
                <w:b/>
                <w:bCs/>
                <w:sz w:val="20"/>
                <w:szCs w:val="20"/>
              </w:rPr>
            </w:pPr>
            <w:r>
              <w:rPr>
                <w:rFonts w:ascii="Aptos" w:hAnsi="Aptos"/>
                <w:b/>
                <w:bCs/>
                <w:sz w:val="20"/>
                <w:szCs w:val="20"/>
              </w:rPr>
              <w:t>40</w:t>
            </w:r>
          </w:p>
        </w:tc>
        <w:tc>
          <w:tcPr>
            <w:tcW w:w="1842" w:type="dxa"/>
            <w:vAlign w:val="bottom"/>
          </w:tcPr>
          <w:p w14:paraId="74558F9C" w14:textId="5BD1291E" w:rsidR="00517787" w:rsidRPr="00327EDA" w:rsidRDefault="00FA72F9">
            <w:pPr>
              <w:jc w:val="center"/>
              <w:rPr>
                <w:rFonts w:ascii="Aptos" w:hAnsi="Aptos"/>
                <w:color w:val="000000"/>
                <w:sz w:val="20"/>
                <w:szCs w:val="20"/>
              </w:rPr>
            </w:pPr>
            <w:r>
              <w:rPr>
                <w:rFonts w:ascii="Aptos" w:hAnsi="Aptos"/>
                <w:color w:val="000000"/>
                <w:sz w:val="20"/>
                <w:szCs w:val="20"/>
              </w:rPr>
              <w:t>500</w:t>
            </w:r>
          </w:p>
        </w:tc>
      </w:tr>
      <w:tr w:rsidR="00517787" w:rsidRPr="001B39CA" w14:paraId="046706F1" w14:textId="77777777" w:rsidTr="00517787">
        <w:tc>
          <w:tcPr>
            <w:tcW w:w="2263" w:type="dxa"/>
          </w:tcPr>
          <w:p w14:paraId="63A253DD" w14:textId="77777777" w:rsidR="00517787" w:rsidRPr="000A6FEA" w:rsidRDefault="00517787">
            <w:pPr>
              <w:rPr>
                <w:rFonts w:ascii="Aptos" w:hAnsi="Aptos"/>
                <w:sz w:val="20"/>
                <w:szCs w:val="20"/>
              </w:rPr>
            </w:pPr>
            <w:r w:rsidRPr="000A6FEA">
              <w:rPr>
                <w:rFonts w:ascii="Aptos" w:hAnsi="Aptos"/>
                <w:sz w:val="20"/>
                <w:szCs w:val="20"/>
              </w:rPr>
              <w:t>5 to under 12 years</w:t>
            </w:r>
          </w:p>
        </w:tc>
        <w:tc>
          <w:tcPr>
            <w:tcW w:w="1843" w:type="dxa"/>
            <w:vAlign w:val="bottom"/>
          </w:tcPr>
          <w:p w14:paraId="538147B2" w14:textId="31045326" w:rsidR="00517787" w:rsidRPr="006765C9" w:rsidRDefault="00572CE0">
            <w:pPr>
              <w:jc w:val="center"/>
              <w:rPr>
                <w:rFonts w:ascii="Aptos" w:hAnsi="Aptos"/>
                <w:color w:val="000000"/>
                <w:sz w:val="20"/>
                <w:szCs w:val="20"/>
              </w:rPr>
            </w:pPr>
            <w:r w:rsidRPr="006765C9">
              <w:rPr>
                <w:rFonts w:ascii="Aptos" w:hAnsi="Aptos"/>
                <w:color w:val="000000"/>
                <w:sz w:val="20"/>
                <w:szCs w:val="20"/>
              </w:rPr>
              <w:t>639</w:t>
            </w:r>
          </w:p>
        </w:tc>
        <w:tc>
          <w:tcPr>
            <w:tcW w:w="1418" w:type="dxa"/>
            <w:shd w:val="clear" w:color="auto" w:fill="FFFFFF" w:themeFill="background1"/>
          </w:tcPr>
          <w:p w14:paraId="21A8679C" w14:textId="28BDCC65" w:rsidR="00517787" w:rsidRPr="000E6A6C" w:rsidRDefault="005949DD">
            <w:pPr>
              <w:jc w:val="center"/>
              <w:rPr>
                <w:rFonts w:ascii="Aptos" w:hAnsi="Aptos"/>
                <w:b/>
                <w:bCs/>
                <w:sz w:val="20"/>
                <w:szCs w:val="20"/>
              </w:rPr>
            </w:pPr>
            <w:r>
              <w:rPr>
                <w:rFonts w:ascii="Aptos" w:hAnsi="Aptos"/>
                <w:b/>
                <w:bCs/>
                <w:sz w:val="20"/>
                <w:szCs w:val="20"/>
              </w:rPr>
              <w:t>61</w:t>
            </w:r>
          </w:p>
        </w:tc>
        <w:tc>
          <w:tcPr>
            <w:tcW w:w="1842" w:type="dxa"/>
            <w:vAlign w:val="bottom"/>
          </w:tcPr>
          <w:p w14:paraId="549B8D62" w14:textId="42686C12" w:rsidR="00517787" w:rsidRPr="00327EDA" w:rsidRDefault="005949DD">
            <w:pPr>
              <w:jc w:val="center"/>
              <w:rPr>
                <w:rFonts w:ascii="Aptos" w:hAnsi="Aptos"/>
                <w:color w:val="000000"/>
                <w:sz w:val="20"/>
                <w:szCs w:val="20"/>
              </w:rPr>
            </w:pPr>
            <w:r>
              <w:rPr>
                <w:rFonts w:ascii="Aptos" w:hAnsi="Aptos"/>
                <w:color w:val="000000"/>
                <w:sz w:val="20"/>
                <w:szCs w:val="20"/>
              </w:rPr>
              <w:t>700</w:t>
            </w:r>
          </w:p>
        </w:tc>
      </w:tr>
      <w:tr w:rsidR="00517787" w:rsidRPr="001B39CA" w14:paraId="168F17EB" w14:textId="77777777" w:rsidTr="00517787">
        <w:tc>
          <w:tcPr>
            <w:tcW w:w="2263" w:type="dxa"/>
          </w:tcPr>
          <w:p w14:paraId="7F81EDF0" w14:textId="77777777" w:rsidR="00517787" w:rsidRPr="000A6FEA" w:rsidRDefault="00517787">
            <w:pPr>
              <w:rPr>
                <w:rFonts w:ascii="Aptos" w:hAnsi="Aptos"/>
                <w:sz w:val="20"/>
                <w:szCs w:val="20"/>
              </w:rPr>
            </w:pPr>
            <w:r w:rsidRPr="000A6FEA">
              <w:rPr>
                <w:rFonts w:ascii="Aptos" w:hAnsi="Aptos"/>
                <w:sz w:val="20"/>
                <w:szCs w:val="20"/>
              </w:rPr>
              <w:t>12 to under 18 years</w:t>
            </w:r>
          </w:p>
        </w:tc>
        <w:tc>
          <w:tcPr>
            <w:tcW w:w="1843" w:type="dxa"/>
            <w:vAlign w:val="bottom"/>
          </w:tcPr>
          <w:p w14:paraId="09453C4D" w14:textId="180E7CF6" w:rsidR="00517787" w:rsidRPr="006765C9" w:rsidRDefault="00572CE0">
            <w:pPr>
              <w:jc w:val="center"/>
              <w:rPr>
                <w:rFonts w:ascii="Aptos" w:hAnsi="Aptos"/>
                <w:color w:val="000000"/>
                <w:sz w:val="20"/>
                <w:szCs w:val="20"/>
              </w:rPr>
            </w:pPr>
            <w:r w:rsidRPr="006765C9">
              <w:rPr>
                <w:rFonts w:ascii="Aptos" w:hAnsi="Aptos"/>
                <w:color w:val="000000"/>
                <w:sz w:val="20"/>
                <w:szCs w:val="20"/>
              </w:rPr>
              <w:t>895</w:t>
            </w:r>
          </w:p>
        </w:tc>
        <w:tc>
          <w:tcPr>
            <w:tcW w:w="1418" w:type="dxa"/>
            <w:shd w:val="clear" w:color="auto" w:fill="FFFFFF" w:themeFill="background1"/>
          </w:tcPr>
          <w:p w14:paraId="40270B52" w14:textId="0C819717" w:rsidR="00517787" w:rsidRPr="000E6A6C" w:rsidRDefault="005949DD">
            <w:pPr>
              <w:jc w:val="center"/>
              <w:rPr>
                <w:rFonts w:ascii="Aptos" w:hAnsi="Aptos"/>
                <w:b/>
                <w:bCs/>
                <w:sz w:val="20"/>
                <w:szCs w:val="20"/>
              </w:rPr>
            </w:pPr>
            <w:r>
              <w:rPr>
                <w:rFonts w:ascii="Aptos" w:hAnsi="Aptos"/>
                <w:b/>
                <w:bCs/>
                <w:sz w:val="20"/>
                <w:szCs w:val="20"/>
              </w:rPr>
              <w:t>25</w:t>
            </w:r>
          </w:p>
        </w:tc>
        <w:tc>
          <w:tcPr>
            <w:tcW w:w="1842" w:type="dxa"/>
            <w:vAlign w:val="bottom"/>
          </w:tcPr>
          <w:p w14:paraId="34EA2F38" w14:textId="5619AF53" w:rsidR="00517787" w:rsidRPr="00327EDA" w:rsidRDefault="005949DD">
            <w:pPr>
              <w:jc w:val="center"/>
              <w:rPr>
                <w:rFonts w:ascii="Aptos" w:hAnsi="Aptos"/>
                <w:color w:val="000000"/>
                <w:sz w:val="20"/>
                <w:szCs w:val="20"/>
              </w:rPr>
            </w:pPr>
            <w:r>
              <w:rPr>
                <w:rFonts w:ascii="Aptos" w:hAnsi="Aptos"/>
                <w:color w:val="000000"/>
                <w:sz w:val="20"/>
                <w:szCs w:val="20"/>
              </w:rPr>
              <w:t>920</w:t>
            </w:r>
          </w:p>
        </w:tc>
      </w:tr>
    </w:tbl>
    <w:p w14:paraId="05DDD4FE" w14:textId="1C786AFD" w:rsidR="00D124A2" w:rsidRPr="00C44EA6" w:rsidRDefault="00D124A2" w:rsidP="00C44EA6">
      <w:pPr>
        <w:pStyle w:val="Heading2"/>
        <w:tabs>
          <w:tab w:val="left" w:pos="5546"/>
        </w:tabs>
        <w:rPr>
          <w:b/>
          <w:bCs/>
        </w:rPr>
      </w:pPr>
      <w:bookmarkStart w:id="80" w:name="_Toc234960861"/>
      <w:r w:rsidRPr="00C44EA6">
        <w:rPr>
          <w:b/>
          <w:bCs/>
        </w:rPr>
        <w:t>Chronic Disease Risk Reduction</w:t>
      </w:r>
      <w:bookmarkEnd w:id="80"/>
    </w:p>
    <w:p w14:paraId="3CCF327E" w14:textId="52AD2C1F" w:rsidR="00AB7E26" w:rsidRDefault="00AB7E26" w:rsidP="00AB7E26">
      <w:pPr>
        <w:pStyle w:val="Heading3"/>
      </w:pPr>
      <w:bookmarkStart w:id="81" w:name="_Toc234960862"/>
      <w:r>
        <w:t>Adults</w:t>
      </w:r>
      <w:bookmarkEnd w:id="81"/>
    </w:p>
    <w:p w14:paraId="48030D53" w14:textId="6A805BCB" w:rsidR="00E01A78" w:rsidRDefault="00D54B34" w:rsidP="006A36F2">
      <w:pPr>
        <w:spacing w:line="276" w:lineRule="auto"/>
        <w:rPr>
          <w:rFonts w:eastAsia="Times New Roman" w:cs="Arial"/>
          <w:iCs/>
        </w:rPr>
      </w:pPr>
      <w:r>
        <w:rPr>
          <w:rFonts w:eastAsia="Times New Roman" w:cs="Arial"/>
          <w:iCs/>
        </w:rPr>
        <w:t xml:space="preserve">This 2,000 mg/day threshold </w:t>
      </w:r>
      <w:r>
        <w:t>was established in 2017 based on a meta-analysis suggesting that if population sodium intakes were reduced from the then average of 3,600 mg/day to 2,000 mg/day</w:t>
      </w:r>
      <w:r w:rsidRPr="00E9202C">
        <w:t xml:space="preserve">, reductions in average population blood pressure could be achieved. </w:t>
      </w:r>
      <w:r>
        <w:fldChar w:fldCharType="begin"/>
      </w:r>
      <w:r>
        <w:instrText xml:space="preserve"> ADDIN EN.CITE &lt;EndNote&gt;&lt;Cite&gt;&lt;Author&gt;Department of Health&lt;/Author&gt;&lt;Year&gt;2017&lt;/Year&gt;&lt;RecNum&gt;4782&lt;/RecNum&gt;&lt;DisplayText&gt;(Department of Health, 2017)&lt;/DisplayText&gt;&lt;record&gt;&lt;rec-number&gt;4782&lt;/rec-number&gt;&lt;foreign-keys&gt;&lt;key app="EN" db-id="wwsdv2wwp29fenerv0kx5tw9zxtx2fdrprx2" timestamp="1784005684"&gt;4782&lt;/key&gt;&lt;/foreign-keys&gt;&lt;ref-type name="Government Document"&gt;46&lt;/ref-type&gt;&lt;contributors&gt;&lt;authors&gt;&lt;author&gt;Department of Health,&lt;/author&gt;&lt;/authors&gt;&lt;secondary-authors&gt;&lt;author&gt;Department of Health,&lt;/author&gt;&lt;/secondary-authors&gt;&lt;/contributors&gt;&lt;titles&gt;&lt;title&gt;Australian and New Zealand Nutrient Reference Values for Sodium: Supporting Document 2 - Statistical Analyses&lt;/title&gt;&lt;/titles&gt;&lt;dates&gt;&lt;year&gt;2017&lt;/year&gt;&lt;/dates&gt;&lt;urls&gt;&lt;related-urls&gt;&lt;url&gt;https://www.eatforhealth.gov.au/sites/default/files/2022-10/2017_Sodium_SD2_-_Statistical_Analyses.pdf&lt;/url&gt;&lt;/related-urls&gt;&lt;/urls&gt;&lt;/record&gt;&lt;/Cite&gt;&lt;/EndNote&gt;</w:instrText>
      </w:r>
      <w:r>
        <w:fldChar w:fldCharType="separate"/>
      </w:r>
      <w:r>
        <w:rPr>
          <w:noProof/>
        </w:rPr>
        <w:t>(Department of Health, 2017)</w:t>
      </w:r>
      <w:r>
        <w:fldChar w:fldCharType="end"/>
      </w:r>
      <w:r w:rsidRPr="00DE427A">
        <w:t>.</w:t>
      </w:r>
      <w:r>
        <w:t xml:space="preserve"> </w:t>
      </w:r>
      <w:r w:rsidR="006A36F2">
        <w:rPr>
          <w:rFonts w:eastAsia="Times New Roman" w:cs="Arial"/>
          <w:iCs/>
        </w:rPr>
        <w:t xml:space="preserve">The </w:t>
      </w:r>
      <w:r>
        <w:rPr>
          <w:rFonts w:eastAsia="Times New Roman" w:cs="Arial"/>
          <w:iCs/>
        </w:rPr>
        <w:t xml:space="preserve">present </w:t>
      </w:r>
      <w:r w:rsidR="006A36F2">
        <w:rPr>
          <w:rFonts w:eastAsia="Times New Roman" w:cs="Arial"/>
          <w:iCs/>
        </w:rPr>
        <w:t xml:space="preserve">evidence review suggests that the evidence for the relationship between sodium intake and chronic disease risk remains largely unchanged </w:t>
      </w:r>
      <w:r w:rsidR="001E4734">
        <w:rPr>
          <w:rFonts w:eastAsia="Times New Roman" w:cs="Arial"/>
          <w:iCs/>
        </w:rPr>
        <w:t xml:space="preserve">since the 2017 </w:t>
      </w:r>
      <w:r w:rsidR="006A36F2">
        <w:rPr>
          <w:rFonts w:eastAsia="Times New Roman" w:cs="Arial"/>
          <w:iCs/>
        </w:rPr>
        <w:t xml:space="preserve">review. Retaining the current </w:t>
      </w:r>
      <w:r w:rsidR="002456E6">
        <w:rPr>
          <w:rFonts w:eastAsia="Times New Roman" w:cs="Arial"/>
          <w:iCs/>
        </w:rPr>
        <w:t>recommendation</w:t>
      </w:r>
      <w:r w:rsidR="006A36F2">
        <w:rPr>
          <w:rFonts w:eastAsia="Times New Roman" w:cs="Arial"/>
          <w:iCs/>
        </w:rPr>
        <w:t xml:space="preserve"> of 2,000mg/day maintains consistent public health messaging about the need to reduce sodium intakes to reduce chronic disease risk, aligns with values from comparable international jurisdictions, and is feasible to achieve from Australian and New Zealand diets. This also aligns with WHO recommendations that adult intakes should not exceed 2,000 mg/day </w:t>
      </w:r>
      <w:r w:rsidR="00720599">
        <w:rPr>
          <w:rFonts w:eastAsia="Times New Roman" w:cs="Arial"/>
          <w:iCs/>
        </w:rPr>
        <w:t xml:space="preserve">to reduce chronic disease risk </w:t>
      </w:r>
      <w:r w:rsidR="00720599">
        <w:rPr>
          <w:rFonts w:eastAsia="Times New Roman" w:cs="Arial"/>
          <w:iCs/>
        </w:rPr>
        <w:fldChar w:fldCharType="begin"/>
      </w:r>
      <w:r w:rsidR="00720599">
        <w:rPr>
          <w:rFonts w:eastAsia="Times New Roman" w:cs="Arial"/>
          <w:iCs/>
        </w:rPr>
        <w:instrText xml:space="preserve"> ADDIN EN.CITE &lt;EndNote&gt;&lt;Cite&gt;&lt;Author&gt;World Health Organization&lt;/Author&gt;&lt;Year&gt;2012&lt;/Year&gt;&lt;RecNum&gt;4621&lt;/RecNum&gt;&lt;DisplayText&gt;(World Health Organization, 2012)&lt;/DisplayText&gt;&lt;record&gt;&lt;rec-number&gt;4621&lt;/rec-number&gt;&lt;foreign-keys&gt;&lt;key app="EN" db-id="wwsdv2wwp29fenerv0kx5tw9zxtx2fdrprx2" timestamp="1774922300"&gt;4621&lt;/key&gt;&lt;/foreign-keys&gt;&lt;ref-type name="Electronic Book"&gt;44&lt;/ref-type&gt;&lt;contributors&gt;&lt;authors&gt;&lt;author&gt;World Health Organization, WHO&lt;/author&gt;&lt;/authors&gt;&lt;/contributors&gt;&lt;titles&gt;&lt;title&gt;Guideline: Sodium Intake for Adults and Children&lt;/title&gt;&lt;/titles&gt;&lt;dates&gt;&lt;year&gt;2012&lt;/year&gt;&lt;/dates&gt;&lt;pub-location&gt;Geneva&lt;/pub-location&gt;&lt;publisher&gt;WHO&lt;/publisher&gt;&lt;urls&gt;&lt;related-urls&gt;&lt;url&gt;https://www.who.int/publications/i/item/9789241504836&lt;/url&gt;&lt;/related-urls&gt;&lt;/urls&gt;&lt;/record&gt;&lt;/Cite&gt;&lt;/EndNote&gt;</w:instrText>
      </w:r>
      <w:r w:rsidR="00720599">
        <w:rPr>
          <w:rFonts w:eastAsia="Times New Roman" w:cs="Arial"/>
          <w:iCs/>
        </w:rPr>
        <w:fldChar w:fldCharType="separate"/>
      </w:r>
      <w:r w:rsidR="00720599">
        <w:rPr>
          <w:rFonts w:eastAsia="Times New Roman" w:cs="Arial"/>
          <w:iCs/>
          <w:noProof/>
        </w:rPr>
        <w:t>(World Health Organization, 2012)</w:t>
      </w:r>
      <w:r w:rsidR="00720599">
        <w:rPr>
          <w:rFonts w:eastAsia="Times New Roman" w:cs="Arial"/>
          <w:iCs/>
        </w:rPr>
        <w:fldChar w:fldCharType="end"/>
      </w:r>
      <w:r w:rsidR="00720599">
        <w:rPr>
          <w:rFonts w:eastAsia="Times New Roman" w:cs="Arial"/>
          <w:iCs/>
        </w:rPr>
        <w:t xml:space="preserve">. </w:t>
      </w:r>
    </w:p>
    <w:p w14:paraId="6DAD0C3D" w14:textId="351056F8" w:rsidR="00E01A78" w:rsidRPr="00BE06C2" w:rsidRDefault="006D2A69" w:rsidP="00E01A78">
      <w:pPr>
        <w:spacing w:after="120"/>
      </w:pPr>
      <w:r>
        <w:t xml:space="preserve">Critically, this recommendation reflects a </w:t>
      </w:r>
      <w:r w:rsidR="00E01A78">
        <w:t xml:space="preserve">pragmatic </w:t>
      </w:r>
      <w:r w:rsidR="00E01A78" w:rsidRPr="00BE06C2">
        <w:t xml:space="preserve">population target selected </w:t>
      </w:r>
      <w:r w:rsidR="00E01A78">
        <w:t xml:space="preserve">in the context of </w:t>
      </w:r>
      <w:r w:rsidR="00E01A78" w:rsidRPr="00BE06C2">
        <w:t xml:space="preserve">a continuous intake–risk relationship, </w:t>
      </w:r>
      <w:r w:rsidR="00E01A78">
        <w:t xml:space="preserve">in which </w:t>
      </w:r>
      <w:r>
        <w:t xml:space="preserve">reduced </w:t>
      </w:r>
      <w:r w:rsidR="00E01A78" w:rsidRPr="00BE06C2">
        <w:t>sodium intake</w:t>
      </w:r>
      <w:r>
        <w:t>s</w:t>
      </w:r>
      <w:r w:rsidR="00E01A78" w:rsidRPr="00BE06C2">
        <w:t xml:space="preserve"> </w:t>
      </w:r>
      <w:r>
        <w:t>are</w:t>
      </w:r>
      <w:r w:rsidR="00E01A78" w:rsidRPr="00BE06C2">
        <w:t xml:space="preserve"> consistently associated with </w:t>
      </w:r>
      <w:r>
        <w:t xml:space="preserve">lower </w:t>
      </w:r>
      <w:r w:rsidR="00E01A78" w:rsidRPr="00BE06C2">
        <w:t>blood pressure</w:t>
      </w:r>
      <w:r w:rsidR="00E01A78">
        <w:t>.</w:t>
      </w:r>
    </w:p>
    <w:p w14:paraId="2DF4A181" w14:textId="77777777" w:rsidR="00AB7E26" w:rsidRDefault="00AB7E26" w:rsidP="00AB7E26">
      <w:pPr>
        <w:pStyle w:val="Heading3"/>
      </w:pPr>
      <w:bookmarkStart w:id="82" w:name="_Toc234960863"/>
      <w:r>
        <w:t>Pregnancy</w:t>
      </w:r>
      <w:bookmarkEnd w:id="82"/>
    </w:p>
    <w:p w14:paraId="4CEB38D2" w14:textId="77777777" w:rsidR="00F42858" w:rsidRPr="00974EB9" w:rsidRDefault="00F42858" w:rsidP="00F42858">
      <w:pPr>
        <w:spacing w:after="120"/>
        <w:ind w:right="172"/>
        <w:rPr>
          <w:rFonts w:eastAsia="Times New Roman" w:cs="Arial"/>
          <w:iCs/>
        </w:rPr>
      </w:pPr>
      <w:r>
        <w:rPr>
          <w:rFonts w:eastAsia="Times New Roman" w:cs="Arial"/>
          <w:iCs/>
        </w:rPr>
        <w:t xml:space="preserve">Chronic hypertension increases the risk of hypertensive disorders during pregnancy, and consequently the risk of adverse pregnancy and birth outcomes. </w:t>
      </w:r>
      <w:r w:rsidRPr="00470FDD">
        <w:rPr>
          <w:rFonts w:eastAsia="Times New Roman" w:cs="Arial"/>
          <w:iCs/>
        </w:rPr>
        <w:t>Australian clinical guidance recommends that individuals planning pregnancy optimise blood pressure prior to conception through management of modifiable risk factors including weight, diet, physical activity and smoking</w:t>
      </w:r>
      <w:r>
        <w:rPr>
          <w:rFonts w:eastAsia="Times New Roman" w:cs="Arial"/>
          <w:iCs/>
        </w:rPr>
        <w:t xml:space="preserve">. Although </w:t>
      </w:r>
      <w:r w:rsidRPr="00470FDD">
        <w:rPr>
          <w:rFonts w:eastAsia="Times New Roman" w:cs="Arial"/>
          <w:iCs/>
        </w:rPr>
        <w:t>some guidance notes the importance of maintaining a low</w:t>
      </w:r>
      <w:r>
        <w:rPr>
          <w:rFonts w:eastAsia="Times New Roman" w:cs="Arial"/>
          <w:iCs/>
        </w:rPr>
        <w:t>er</w:t>
      </w:r>
      <w:r w:rsidRPr="00470FDD">
        <w:rPr>
          <w:rFonts w:eastAsia="Times New Roman" w:cs="Arial"/>
          <w:iCs/>
        </w:rPr>
        <w:t xml:space="preserve"> dietary sodium intake as part of cardiovascular risk reduction, this advice is not specific to pregnancy and reflects standard management recommendations for individuals with chronic hypertension rather than pregnancy-specific dietary requirements.</w:t>
      </w:r>
      <w:r>
        <w:rPr>
          <w:rFonts w:eastAsia="Times New Roman" w:cs="Arial"/>
          <w:iCs/>
        </w:rPr>
        <w:t xml:space="preserve"> There is no current </w:t>
      </w:r>
      <w:r w:rsidRPr="00974EB9">
        <w:rPr>
          <w:rFonts w:eastAsia="Times New Roman" w:cs="Arial"/>
          <w:iCs/>
        </w:rPr>
        <w:t xml:space="preserve">recommendation for pregnant individuals </w:t>
      </w:r>
      <w:r>
        <w:rPr>
          <w:rFonts w:eastAsia="Times New Roman" w:cs="Arial"/>
          <w:iCs/>
        </w:rPr>
        <w:t xml:space="preserve">with high blood pressure </w:t>
      </w:r>
      <w:r w:rsidRPr="00974EB9">
        <w:rPr>
          <w:rFonts w:eastAsia="Times New Roman" w:cs="Arial"/>
          <w:iCs/>
        </w:rPr>
        <w:t>to re</w:t>
      </w:r>
      <w:r>
        <w:rPr>
          <w:rFonts w:eastAsia="Times New Roman" w:cs="Arial"/>
          <w:iCs/>
        </w:rPr>
        <w:t xml:space="preserve">strict </w:t>
      </w:r>
      <w:r w:rsidRPr="00974EB9">
        <w:rPr>
          <w:rFonts w:eastAsia="Times New Roman" w:cs="Arial"/>
          <w:iCs/>
        </w:rPr>
        <w:t xml:space="preserve">sodium intake during pregnancy </w:t>
      </w:r>
      <w:r>
        <w:rPr>
          <w:rFonts w:eastAsia="Times New Roman" w:cs="Arial"/>
          <w:iCs/>
        </w:rPr>
        <w:t xml:space="preserve">for the </w:t>
      </w:r>
      <w:r w:rsidRPr="00974EB9">
        <w:rPr>
          <w:rFonts w:eastAsia="Times New Roman" w:cs="Arial"/>
          <w:iCs/>
        </w:rPr>
        <w:t xml:space="preserve">prevention or management of hypertensive disorders, and available </w:t>
      </w:r>
      <w:r w:rsidRPr="00974EB9">
        <w:rPr>
          <w:rFonts w:eastAsia="Times New Roman" w:cs="Arial"/>
          <w:iCs/>
        </w:rPr>
        <w:lastRenderedPageBreak/>
        <w:t>evidence on the effect of sodium reduction on these outcomes in pregnancy is limited and uncertain.</w:t>
      </w:r>
      <w:r>
        <w:rPr>
          <w:rFonts w:eastAsia="Times New Roman" w:cs="Arial"/>
          <w:iCs/>
        </w:rPr>
        <w:fldChar w:fldCharType="begin"/>
      </w:r>
      <w:r>
        <w:rPr>
          <w:rFonts w:eastAsia="Times New Roman" w:cs="Arial"/>
          <w:iCs/>
        </w:rPr>
        <w:instrText xml:space="preserve"> ADDIN EN.CITE &lt;EndNote&gt;&lt;Cite&gt;&lt;Author&gt;Lowe&lt;/Author&gt;&lt;Year&gt;2014&lt;/Year&gt;&lt;RecNum&gt;4732&lt;/RecNum&gt;&lt;DisplayText&gt;(Lowe et al., 2014)&lt;/DisplayText&gt;&lt;record&gt;&lt;rec-number&gt;4732&lt;/rec-number&gt;&lt;foreign-keys&gt;&lt;key app="EN" db-id="wwsdv2wwp29fenerv0kx5tw9zxtx2fdrprx2" timestamp="1780364534"&gt;4732&lt;/key&gt;&lt;/foreign-keys&gt;&lt;ref-type name="Report"&gt;27&lt;/ref-type&gt;&lt;contributors&gt;&lt;authors&gt;&lt;author&gt;Lowe, SA.&lt;/author&gt;&lt;author&gt;Bowyer, L&lt;/author&gt;&lt;author&gt;Lust, K&lt;/author&gt;&lt;author&gt;McMahon, LP&lt;/author&gt;&lt;author&gt;Morton, M&lt;/author&gt;&lt;author&gt;North, RA&lt;/author&gt;&lt;author&gt;Paech, M&lt;/author&gt;&lt;author&gt;Said, JM&lt;/author&gt;&lt;/authors&gt;&lt;secondary-authors&gt;&lt;author&gt;Society of Obstetric Medicine of Australia and New Zealand,&lt;/author&gt;&lt;/secondary-authors&gt;&lt;/contributors&gt;&lt;titles&gt;&lt;title&gt;Guideline for the Management of Hypertensive Disorders of Pregnancy&lt;/title&gt;&lt;/titles&gt;&lt;dates&gt;&lt;year&gt;2014&lt;/year&gt;&lt;/dates&gt;&lt;publisher&gt;Society of Obstetric Medicine of Australia and New Zealand,&lt;/publisher&gt;&lt;urls&gt;&lt;related-urls&gt;&lt;url&gt;https://ranzcog.edu.au/wp-content/uploads/SOMANZ-Hypertensive-Disorders-Pregnancy.pdf&lt;/url&gt;&lt;/related-urls&gt;&lt;/urls&gt;&lt;/record&gt;&lt;/Cite&gt;&lt;/EndNote&gt;</w:instrText>
      </w:r>
      <w:r>
        <w:rPr>
          <w:rFonts w:eastAsia="Times New Roman" w:cs="Arial"/>
          <w:iCs/>
        </w:rPr>
        <w:fldChar w:fldCharType="separate"/>
      </w:r>
      <w:r>
        <w:rPr>
          <w:rFonts w:eastAsia="Times New Roman" w:cs="Arial"/>
          <w:iCs/>
          <w:noProof/>
        </w:rPr>
        <w:t>(Lowe et al., 2014)</w:t>
      </w:r>
      <w:r>
        <w:rPr>
          <w:rFonts w:eastAsia="Times New Roman" w:cs="Arial"/>
          <w:iCs/>
        </w:rPr>
        <w:fldChar w:fldCharType="end"/>
      </w:r>
    </w:p>
    <w:p w14:paraId="1CE4A26A" w14:textId="7A8F5720" w:rsidR="00AB7E26" w:rsidRDefault="00F42858" w:rsidP="00F42858">
      <w:pPr>
        <w:rPr>
          <w:lang w:eastAsia="en-AU"/>
        </w:rPr>
      </w:pPr>
      <w:r>
        <w:rPr>
          <w:lang w:eastAsia="en-AU"/>
        </w:rPr>
        <w:t xml:space="preserve">There is no evidence to suggest that pregnant adults differ in sensitivity to sodium exposure compared with non-pregnant adults. Consistent with the NASEM (2019) and EFSA (2019) recommendations, the CDRR </w:t>
      </w:r>
      <w:r w:rsidR="00F71253">
        <w:rPr>
          <w:lang w:eastAsia="en-AU"/>
        </w:rPr>
        <w:t xml:space="preserve">(formerly the SDT) </w:t>
      </w:r>
      <w:r>
        <w:rPr>
          <w:lang w:eastAsia="en-AU"/>
        </w:rPr>
        <w:t xml:space="preserve">for pregnant adults is </w:t>
      </w:r>
      <w:r w:rsidRPr="00B9618C">
        <w:rPr>
          <w:lang w:eastAsia="en-AU"/>
        </w:rPr>
        <w:t>aligned with those for the general adult population.</w:t>
      </w:r>
    </w:p>
    <w:p w14:paraId="0A377A1A" w14:textId="77777777" w:rsidR="00AB7E26" w:rsidRDefault="00AB7E26" w:rsidP="00AB7E26">
      <w:pPr>
        <w:pStyle w:val="Heading3"/>
      </w:pPr>
      <w:bookmarkStart w:id="83" w:name="_Toc234960864"/>
      <w:r>
        <w:t>Lactation</w:t>
      </w:r>
      <w:bookmarkEnd w:id="83"/>
    </w:p>
    <w:p w14:paraId="7D306568" w14:textId="297BF409" w:rsidR="00380D8D" w:rsidRPr="00C33341" w:rsidRDefault="00380D8D" w:rsidP="00380D8D">
      <w:pPr>
        <w:rPr>
          <w:lang w:eastAsia="en-AU"/>
        </w:rPr>
      </w:pPr>
      <w:r>
        <w:rPr>
          <w:lang w:eastAsia="en-AU"/>
        </w:rPr>
        <w:t xml:space="preserve">There is no evidence that sensitivity to sodium exposure differs during lactation compared with non-lactating adults. Consistent with the NASEM (2019) and EFSA (2019) recommendations, the CDRR </w:t>
      </w:r>
      <w:r w:rsidR="000260DF">
        <w:rPr>
          <w:lang w:eastAsia="en-AU"/>
        </w:rPr>
        <w:t xml:space="preserve">(formerly </w:t>
      </w:r>
      <w:r w:rsidR="00E0232D">
        <w:rPr>
          <w:lang w:eastAsia="en-AU"/>
        </w:rPr>
        <w:t xml:space="preserve">the </w:t>
      </w:r>
      <w:r w:rsidR="000260DF">
        <w:rPr>
          <w:lang w:eastAsia="en-AU"/>
        </w:rPr>
        <w:t xml:space="preserve">SDT) </w:t>
      </w:r>
      <w:r>
        <w:rPr>
          <w:lang w:eastAsia="en-AU"/>
        </w:rPr>
        <w:t xml:space="preserve">for lactating adults is </w:t>
      </w:r>
      <w:r w:rsidRPr="00B9618C">
        <w:rPr>
          <w:lang w:eastAsia="en-AU"/>
        </w:rPr>
        <w:t>aligned with those for the general adult population.</w:t>
      </w:r>
    </w:p>
    <w:p w14:paraId="2A6A7275" w14:textId="77777777" w:rsidR="0013389B" w:rsidRDefault="0013389B" w:rsidP="0013389B">
      <w:pPr>
        <w:pStyle w:val="Heading3"/>
      </w:pPr>
      <w:bookmarkStart w:id="84" w:name="_Toc234960865"/>
      <w:r>
        <w:t>Children and adolescents</w:t>
      </w:r>
      <w:bookmarkEnd w:id="84"/>
    </w:p>
    <w:p w14:paraId="1212A3C7" w14:textId="77777777" w:rsidR="00B42B20" w:rsidRDefault="00377E23" w:rsidP="00377E23">
      <w:pPr>
        <w:rPr>
          <w:rFonts w:eastAsia="Times New Roman" w:cs="Arial"/>
          <w:iCs/>
          <w:lang w:eastAsia="en-AU"/>
        </w:rPr>
      </w:pPr>
      <w:r>
        <w:rPr>
          <w:rFonts w:eastAsia="Times New Roman" w:cs="Arial"/>
          <w:iCs/>
          <w:lang w:eastAsia="en-AU"/>
        </w:rPr>
        <w:t>The</w:t>
      </w:r>
      <w:r w:rsidR="00AE1AD4">
        <w:rPr>
          <w:rFonts w:eastAsia="Times New Roman" w:cs="Arial"/>
          <w:iCs/>
          <w:lang w:eastAsia="en-AU"/>
        </w:rPr>
        <w:t xml:space="preserve">re is insufficient evidence among children and adolescents to support NRV derivation. </w:t>
      </w:r>
      <w:r w:rsidR="00862CB1">
        <w:rPr>
          <w:rFonts w:eastAsia="Times New Roman" w:cs="Arial"/>
          <w:iCs/>
          <w:lang w:eastAsia="en-AU"/>
        </w:rPr>
        <w:t>The decision to set a CDRR</w:t>
      </w:r>
      <w:r w:rsidR="008E3571">
        <w:rPr>
          <w:rFonts w:eastAsia="Times New Roman" w:cs="Arial"/>
          <w:iCs/>
          <w:lang w:eastAsia="en-AU"/>
        </w:rPr>
        <w:t xml:space="preserve"> for children </w:t>
      </w:r>
      <w:r w:rsidR="00986C3E">
        <w:rPr>
          <w:rFonts w:eastAsia="Times New Roman" w:cs="Arial"/>
          <w:iCs/>
          <w:lang w:eastAsia="en-AU"/>
        </w:rPr>
        <w:t xml:space="preserve">was based on the </w:t>
      </w:r>
      <w:r w:rsidR="008E3571">
        <w:rPr>
          <w:rFonts w:eastAsia="Times New Roman" w:cs="Arial"/>
          <w:iCs/>
          <w:lang w:eastAsia="en-AU"/>
        </w:rPr>
        <w:t xml:space="preserve">linear relationship of </w:t>
      </w:r>
      <w:r w:rsidR="0016036E">
        <w:rPr>
          <w:rFonts w:eastAsia="Times New Roman" w:cs="Arial"/>
          <w:iCs/>
          <w:lang w:eastAsia="en-AU"/>
        </w:rPr>
        <w:t xml:space="preserve">sodium intake and </w:t>
      </w:r>
      <w:r w:rsidR="008E3571">
        <w:rPr>
          <w:rFonts w:eastAsia="Times New Roman" w:cs="Arial"/>
          <w:iCs/>
          <w:lang w:eastAsia="en-AU"/>
        </w:rPr>
        <w:t>blood pressure</w:t>
      </w:r>
      <w:r w:rsidR="00E82D6D">
        <w:rPr>
          <w:rFonts w:eastAsia="Times New Roman" w:cs="Arial"/>
          <w:iCs/>
          <w:lang w:eastAsia="en-AU"/>
        </w:rPr>
        <w:t xml:space="preserve"> </w:t>
      </w:r>
      <w:r w:rsidR="0016036E">
        <w:rPr>
          <w:rFonts w:eastAsia="Times New Roman" w:cs="Arial"/>
          <w:iCs/>
          <w:lang w:eastAsia="en-AU"/>
        </w:rPr>
        <w:t>in adults</w:t>
      </w:r>
      <w:r w:rsidR="00A40B90">
        <w:rPr>
          <w:rFonts w:eastAsia="Times New Roman" w:cs="Arial"/>
          <w:iCs/>
          <w:lang w:eastAsia="en-AU"/>
        </w:rPr>
        <w:t xml:space="preserve">, the </w:t>
      </w:r>
      <w:r w:rsidR="00C4477D">
        <w:rPr>
          <w:rFonts w:eastAsia="Times New Roman" w:cs="Arial"/>
          <w:iCs/>
          <w:lang w:eastAsia="en-AU"/>
        </w:rPr>
        <w:t>early development of food and taste preferences that are maintained from children to adults</w:t>
      </w:r>
      <w:r w:rsidR="00D61D2D">
        <w:rPr>
          <w:rFonts w:eastAsia="Times New Roman" w:cs="Arial"/>
          <w:iCs/>
          <w:lang w:eastAsia="en-AU"/>
        </w:rPr>
        <w:t xml:space="preserve"> and the high levels of </w:t>
      </w:r>
      <w:r w:rsidR="00274A86">
        <w:rPr>
          <w:rFonts w:eastAsia="Times New Roman" w:cs="Arial"/>
          <w:iCs/>
          <w:lang w:eastAsia="en-AU"/>
        </w:rPr>
        <w:t>hypertension in</w:t>
      </w:r>
      <w:r w:rsidR="0068172C">
        <w:rPr>
          <w:rFonts w:eastAsia="Times New Roman" w:cs="Arial"/>
          <w:iCs/>
          <w:lang w:eastAsia="en-AU"/>
        </w:rPr>
        <w:t xml:space="preserve"> Australian </w:t>
      </w:r>
      <w:r w:rsidR="00B42B20">
        <w:rPr>
          <w:rFonts w:eastAsia="Times New Roman" w:cs="Arial"/>
          <w:iCs/>
          <w:lang w:eastAsia="en-AU"/>
        </w:rPr>
        <w:t>and New Zealand adults</w:t>
      </w:r>
      <w:r w:rsidR="00FE12ED">
        <w:rPr>
          <w:rFonts w:eastAsia="Times New Roman" w:cs="Arial"/>
          <w:iCs/>
          <w:lang w:eastAsia="en-AU"/>
        </w:rPr>
        <w:t xml:space="preserve">. </w:t>
      </w:r>
      <w:r w:rsidR="0016036E">
        <w:rPr>
          <w:rFonts w:eastAsia="Times New Roman" w:cs="Arial"/>
          <w:iCs/>
          <w:lang w:eastAsia="en-AU"/>
        </w:rPr>
        <w:t xml:space="preserve"> </w:t>
      </w:r>
    </w:p>
    <w:p w14:paraId="613419D7" w14:textId="2F182DE8" w:rsidR="00377E23" w:rsidRDefault="00B42B20" w:rsidP="00377E23">
      <w:r>
        <w:t>V</w:t>
      </w:r>
      <w:r w:rsidR="00377E23">
        <w:t xml:space="preserve">alues </w:t>
      </w:r>
      <w:r>
        <w:t xml:space="preserve">for children and </w:t>
      </w:r>
      <w:r w:rsidR="00584C2B">
        <w:t>a</w:t>
      </w:r>
      <w:r>
        <w:t>dolescents are</w:t>
      </w:r>
      <w:r w:rsidR="00377E23">
        <w:t xml:space="preserve"> extrapolated from adult values based on relative energy requirements, using the formula:</w:t>
      </w:r>
    </w:p>
    <w:p w14:paraId="6D3613F4" w14:textId="54C05138" w:rsidR="00085A75" w:rsidRDefault="00085A75" w:rsidP="00085A75">
      <w:proofErr w:type="spellStart"/>
      <w:r w:rsidRPr="00446CB1">
        <w:t>CDRR</w:t>
      </w:r>
      <w:r w:rsidRPr="00D15D15">
        <w:rPr>
          <w:vertAlign w:val="subscript"/>
        </w:rPr>
        <w:t>child</w:t>
      </w:r>
      <w:proofErr w:type="spellEnd"/>
      <w:r>
        <w:t xml:space="preserve"> = </w:t>
      </w:r>
      <w:proofErr w:type="spellStart"/>
      <w:r>
        <w:t>CDRR</w:t>
      </w:r>
      <w:r w:rsidRPr="00D15D15">
        <w:rPr>
          <w:vertAlign w:val="subscript"/>
        </w:rPr>
        <w:t>adult</w:t>
      </w:r>
      <w:proofErr w:type="spellEnd"/>
      <w:r>
        <w:t xml:space="preserve"> x (</w:t>
      </w:r>
      <w:proofErr w:type="spellStart"/>
      <w:r>
        <w:t>EER</w:t>
      </w:r>
      <w:r w:rsidRPr="00D15D15">
        <w:rPr>
          <w:vertAlign w:val="subscript"/>
        </w:rPr>
        <w:t>child</w:t>
      </w:r>
      <w:proofErr w:type="spellEnd"/>
      <w:r>
        <w:t xml:space="preserve">/ </w:t>
      </w:r>
      <w:proofErr w:type="spellStart"/>
      <w:r>
        <w:t>EER</w:t>
      </w:r>
      <w:r w:rsidRPr="00D15D15">
        <w:rPr>
          <w:vertAlign w:val="subscript"/>
        </w:rPr>
        <w:t>adult</w:t>
      </w:r>
      <w:proofErr w:type="spellEnd"/>
      <w:r>
        <w:t>), with the following inputs:</w:t>
      </w:r>
    </w:p>
    <w:p w14:paraId="1C532E3A" w14:textId="5F28948D" w:rsidR="00085A75" w:rsidRDefault="00085A75" w:rsidP="00085A75">
      <w:proofErr w:type="spellStart"/>
      <w:r>
        <w:t>CDRR</w:t>
      </w:r>
      <w:r w:rsidRPr="00D15D15">
        <w:rPr>
          <w:vertAlign w:val="subscript"/>
        </w:rPr>
        <w:t>adult</w:t>
      </w:r>
      <w:proofErr w:type="spellEnd"/>
      <w:r w:rsidRPr="00085A75">
        <w:t xml:space="preserve"> = </w:t>
      </w:r>
      <w:r w:rsidR="000260DF">
        <w:t>2,000</w:t>
      </w:r>
    </w:p>
    <w:p w14:paraId="567FFEF9" w14:textId="294DA517" w:rsidR="008954EC" w:rsidRPr="008954EC" w:rsidRDefault="00085A75" w:rsidP="008954EC">
      <w:pPr>
        <w:spacing w:line="276" w:lineRule="auto"/>
      </w:pPr>
      <w:r>
        <w:t xml:space="preserve">EER values for children and adolescents </w:t>
      </w:r>
      <w:r w:rsidR="009E4FA9">
        <w:t xml:space="preserve">per </w:t>
      </w:r>
      <w:r w:rsidR="009E4FA9">
        <w:fldChar w:fldCharType="begin"/>
      </w:r>
      <w:r w:rsidR="009E4FA9">
        <w:instrText xml:space="preserve"> REF _Ref232669974 \h </w:instrText>
      </w:r>
      <w:r w:rsidR="009E4FA9">
        <w:fldChar w:fldCharType="separate"/>
      </w:r>
      <w:r w:rsidR="00074E84">
        <w:t xml:space="preserve">Table </w:t>
      </w:r>
      <w:r w:rsidR="00074E84">
        <w:rPr>
          <w:noProof/>
        </w:rPr>
        <w:t>13</w:t>
      </w:r>
      <w:r w:rsidR="009E4FA9">
        <w:fldChar w:fldCharType="end"/>
      </w:r>
      <w:r>
        <w:t xml:space="preserve"> </w:t>
      </w:r>
      <w:r w:rsidR="009E4FA9">
        <w:t xml:space="preserve">on page </w:t>
      </w:r>
      <w:r w:rsidR="009E4FA9">
        <w:fldChar w:fldCharType="begin"/>
      </w:r>
      <w:r w:rsidR="009E4FA9">
        <w:instrText xml:space="preserve"> PAGEREF _Ref232669993 \h </w:instrText>
      </w:r>
      <w:r w:rsidR="009E4FA9">
        <w:fldChar w:fldCharType="separate"/>
      </w:r>
      <w:r w:rsidR="00074E84">
        <w:rPr>
          <w:noProof/>
        </w:rPr>
        <w:t>57</w:t>
      </w:r>
      <w:r w:rsidR="009E4FA9">
        <w:fldChar w:fldCharType="end"/>
      </w:r>
      <w:r w:rsidR="009E4FA9">
        <w:t>.</w:t>
      </w:r>
    </w:p>
    <w:p w14:paraId="33EBDD22" w14:textId="37579AF1" w:rsidR="00E527EC" w:rsidRDefault="00833951" w:rsidP="00833951">
      <w:r>
        <w:t>V</w:t>
      </w:r>
      <w:r w:rsidR="00DD43A4">
        <w:t xml:space="preserve">alues were </w:t>
      </w:r>
      <w:r w:rsidR="00E527EC" w:rsidRPr="00572CE0">
        <w:t xml:space="preserve">rounded </w:t>
      </w:r>
      <w:r w:rsidR="00B6391A">
        <w:t xml:space="preserve">up </w:t>
      </w:r>
      <w:r w:rsidR="00DD43A4">
        <w:t xml:space="preserve">- except in </w:t>
      </w:r>
      <w:r>
        <w:t xml:space="preserve">the 14 to 18 years group </w:t>
      </w:r>
      <w:r w:rsidR="00DD43A4">
        <w:t xml:space="preserve">- to </w:t>
      </w:r>
      <w:r w:rsidR="006E1FCE">
        <w:t xml:space="preserve">allow sufficient buffer between the AI and CDRR, and to smooth </w:t>
      </w:r>
      <w:r w:rsidR="00E527EC" w:rsidRPr="00572CE0">
        <w:t>transitions between age groupings.</w:t>
      </w:r>
      <w:r w:rsidR="006E1FCE">
        <w:t xml:space="preserve"> </w:t>
      </w:r>
      <w:r>
        <w:t xml:space="preserve">Values for 14 to 18 year olds were </w:t>
      </w:r>
      <w:r w:rsidR="006E1FCE">
        <w:t xml:space="preserve">rounded down to align with the adult CDRR. </w:t>
      </w:r>
    </w:p>
    <w:p w14:paraId="255FBE36" w14:textId="5EE89F99" w:rsidR="00F82830" w:rsidRDefault="00F82830" w:rsidP="00F82830">
      <w:pPr>
        <w:pStyle w:val="Caption"/>
        <w:keepNext/>
      </w:pPr>
      <w:r>
        <w:t xml:space="preserve">Table </w:t>
      </w:r>
      <w:r>
        <w:fldChar w:fldCharType="begin"/>
      </w:r>
      <w:r>
        <w:instrText>SEQ Table \* ARABIC</w:instrText>
      </w:r>
      <w:r>
        <w:fldChar w:fldCharType="separate"/>
      </w:r>
      <w:r w:rsidR="00B90577">
        <w:rPr>
          <w:noProof/>
        </w:rPr>
        <w:t>13</w:t>
      </w:r>
      <w:r>
        <w:fldChar w:fldCharType="end"/>
      </w:r>
      <w:r>
        <w:t xml:space="preserve"> - Scaling calculations and rounding adjustment for child CDRR values</w:t>
      </w:r>
    </w:p>
    <w:tbl>
      <w:tblPr>
        <w:tblStyle w:val="TableGrid"/>
        <w:tblW w:w="7366" w:type="dxa"/>
        <w:tblLook w:val="04A0" w:firstRow="1" w:lastRow="0" w:firstColumn="1" w:lastColumn="0" w:noHBand="0" w:noVBand="1"/>
      </w:tblPr>
      <w:tblGrid>
        <w:gridCol w:w="2263"/>
        <w:gridCol w:w="2127"/>
        <w:gridCol w:w="1134"/>
        <w:gridCol w:w="1842"/>
      </w:tblGrid>
      <w:tr w:rsidR="00F82830" w:rsidRPr="001B39CA" w14:paraId="54B467B9" w14:textId="77777777" w:rsidTr="00F82830">
        <w:tc>
          <w:tcPr>
            <w:tcW w:w="2263" w:type="dxa"/>
            <w:shd w:val="clear" w:color="auto" w:fill="156082" w:themeFill="accent1"/>
          </w:tcPr>
          <w:p w14:paraId="6510EE03" w14:textId="77777777" w:rsidR="00F82830" w:rsidRPr="00D75259" w:rsidRDefault="00F82830">
            <w:pPr>
              <w:rPr>
                <w:rFonts w:ascii="Aptos" w:hAnsi="Aptos"/>
                <w:b/>
                <w:bCs/>
                <w:color w:val="FFFFFF" w:themeColor="background1"/>
                <w:sz w:val="20"/>
                <w:szCs w:val="20"/>
              </w:rPr>
            </w:pPr>
            <w:r w:rsidRPr="00D75259">
              <w:rPr>
                <w:rFonts w:ascii="Aptos" w:hAnsi="Aptos"/>
                <w:b/>
                <w:bCs/>
                <w:color w:val="FFFFFF" w:themeColor="background1"/>
                <w:kern w:val="2"/>
                <w:sz w:val="20"/>
                <w:szCs w:val="20"/>
                <w14:ligatures w14:val="standardContextual"/>
              </w:rPr>
              <w:t>Age group</w:t>
            </w:r>
          </w:p>
        </w:tc>
        <w:tc>
          <w:tcPr>
            <w:tcW w:w="2127" w:type="dxa"/>
            <w:shd w:val="clear" w:color="auto" w:fill="156082" w:themeFill="accent1"/>
            <w:vAlign w:val="bottom"/>
          </w:tcPr>
          <w:p w14:paraId="5587E578" w14:textId="074958D7" w:rsidR="00F82830" w:rsidRPr="00D75259" w:rsidRDefault="00F82830">
            <w:pPr>
              <w:jc w:val="center"/>
              <w:rPr>
                <w:rFonts w:ascii="Aptos" w:hAnsi="Aptos"/>
                <w:b/>
                <w:bCs/>
                <w:color w:val="FFFFFF" w:themeColor="background1"/>
                <w:sz w:val="20"/>
                <w:szCs w:val="20"/>
              </w:rPr>
            </w:pPr>
            <w:r w:rsidRPr="00D75259">
              <w:rPr>
                <w:rFonts w:ascii="Aptos" w:hAnsi="Aptos"/>
                <w:b/>
                <w:bCs/>
                <w:color w:val="FFFFFF" w:themeColor="background1"/>
                <w:sz w:val="20"/>
                <w:szCs w:val="20"/>
              </w:rPr>
              <w:t xml:space="preserve">Calculated </w:t>
            </w:r>
            <w:proofErr w:type="spellStart"/>
            <w:r>
              <w:rPr>
                <w:rFonts w:ascii="Aptos" w:hAnsi="Aptos"/>
                <w:b/>
                <w:bCs/>
                <w:color w:val="FFFFFF" w:themeColor="background1"/>
                <w:sz w:val="20"/>
                <w:szCs w:val="20"/>
              </w:rPr>
              <w:t>CDRR</w:t>
            </w:r>
            <w:r w:rsidRPr="00D75259">
              <w:rPr>
                <w:rFonts w:ascii="Aptos" w:hAnsi="Aptos"/>
                <w:b/>
                <w:bCs/>
                <w:color w:val="FFFFFF" w:themeColor="background1"/>
                <w:sz w:val="20"/>
                <w:szCs w:val="20"/>
                <w:vertAlign w:val="subscript"/>
              </w:rPr>
              <w:t>child</w:t>
            </w:r>
            <w:proofErr w:type="spellEnd"/>
          </w:p>
        </w:tc>
        <w:tc>
          <w:tcPr>
            <w:tcW w:w="1134" w:type="dxa"/>
            <w:shd w:val="clear" w:color="auto" w:fill="156082" w:themeFill="accent1"/>
            <w:vAlign w:val="bottom"/>
          </w:tcPr>
          <w:p w14:paraId="597B1A83" w14:textId="77777777" w:rsidR="00F82830" w:rsidRPr="00D75259" w:rsidRDefault="00F82830">
            <w:pPr>
              <w:jc w:val="center"/>
              <w:rPr>
                <w:rFonts w:ascii="Aptos" w:hAnsi="Aptos"/>
                <w:b/>
                <w:bCs/>
                <w:color w:val="FFFFFF" w:themeColor="background1"/>
                <w:sz w:val="20"/>
                <w:szCs w:val="20"/>
              </w:rPr>
            </w:pPr>
            <w:r>
              <w:rPr>
                <w:rFonts w:ascii="Aptos" w:hAnsi="Aptos"/>
                <w:b/>
                <w:bCs/>
                <w:color w:val="FFFFFF" w:themeColor="background1"/>
                <w:sz w:val="20"/>
                <w:szCs w:val="20"/>
              </w:rPr>
              <w:t>Rounding</w:t>
            </w:r>
          </w:p>
        </w:tc>
        <w:tc>
          <w:tcPr>
            <w:tcW w:w="1842" w:type="dxa"/>
            <w:shd w:val="clear" w:color="auto" w:fill="156082" w:themeFill="accent1"/>
            <w:vAlign w:val="bottom"/>
          </w:tcPr>
          <w:p w14:paraId="62B4FF56" w14:textId="05A74626" w:rsidR="00F82830" w:rsidRPr="00D75259" w:rsidRDefault="00F82830">
            <w:pPr>
              <w:jc w:val="center"/>
              <w:rPr>
                <w:rFonts w:ascii="Aptos" w:hAnsi="Aptos"/>
                <w:b/>
                <w:bCs/>
                <w:color w:val="FFFFFF" w:themeColor="background1"/>
                <w:sz w:val="20"/>
                <w:szCs w:val="20"/>
              </w:rPr>
            </w:pPr>
            <w:r>
              <w:rPr>
                <w:rFonts w:ascii="Aptos" w:hAnsi="Aptos"/>
                <w:b/>
                <w:bCs/>
                <w:color w:val="FFFFFF" w:themeColor="background1"/>
                <w:sz w:val="20"/>
                <w:szCs w:val="20"/>
              </w:rPr>
              <w:t xml:space="preserve">Final </w:t>
            </w:r>
            <w:proofErr w:type="spellStart"/>
            <w:r>
              <w:rPr>
                <w:rFonts w:ascii="Aptos" w:hAnsi="Aptos"/>
                <w:b/>
                <w:bCs/>
                <w:color w:val="FFFFFF" w:themeColor="background1"/>
                <w:sz w:val="20"/>
                <w:szCs w:val="20"/>
              </w:rPr>
              <w:t>CDRR</w:t>
            </w:r>
            <w:r w:rsidRPr="00D75259">
              <w:rPr>
                <w:rFonts w:ascii="Aptos" w:hAnsi="Aptos"/>
                <w:b/>
                <w:bCs/>
                <w:color w:val="FFFFFF" w:themeColor="background1"/>
                <w:sz w:val="20"/>
                <w:szCs w:val="20"/>
                <w:vertAlign w:val="subscript"/>
              </w:rPr>
              <w:t>child</w:t>
            </w:r>
            <w:proofErr w:type="spellEnd"/>
          </w:p>
        </w:tc>
      </w:tr>
      <w:tr w:rsidR="00F82830" w:rsidRPr="001B39CA" w14:paraId="3AECFCE7" w14:textId="77777777" w:rsidTr="00F82830">
        <w:tc>
          <w:tcPr>
            <w:tcW w:w="2263" w:type="dxa"/>
          </w:tcPr>
          <w:p w14:paraId="27FC0A1C" w14:textId="77777777" w:rsidR="00F82830" w:rsidRPr="006765C9" w:rsidRDefault="00F82830">
            <w:pPr>
              <w:rPr>
                <w:rFonts w:ascii="Aptos" w:hAnsi="Aptos"/>
                <w:i/>
                <w:iCs/>
                <w:sz w:val="20"/>
                <w:szCs w:val="20"/>
              </w:rPr>
            </w:pPr>
            <w:r w:rsidRPr="006765C9">
              <w:rPr>
                <w:rFonts w:ascii="Aptos" w:hAnsi="Aptos"/>
                <w:i/>
                <w:iCs/>
                <w:sz w:val="20"/>
                <w:szCs w:val="20"/>
              </w:rPr>
              <w:t>Standard age groups:</w:t>
            </w:r>
          </w:p>
        </w:tc>
        <w:tc>
          <w:tcPr>
            <w:tcW w:w="2127" w:type="dxa"/>
            <w:vAlign w:val="bottom"/>
          </w:tcPr>
          <w:p w14:paraId="0B1CAF37" w14:textId="77777777" w:rsidR="00F82830" w:rsidRDefault="00F82830">
            <w:pPr>
              <w:jc w:val="center"/>
              <w:rPr>
                <w:rFonts w:ascii="Aptos" w:hAnsi="Aptos"/>
                <w:color w:val="000000"/>
                <w:sz w:val="20"/>
                <w:szCs w:val="20"/>
                <w:highlight w:val="yellow"/>
              </w:rPr>
            </w:pPr>
          </w:p>
        </w:tc>
        <w:tc>
          <w:tcPr>
            <w:tcW w:w="1134" w:type="dxa"/>
            <w:shd w:val="clear" w:color="auto" w:fill="FFFFFF" w:themeFill="background1"/>
          </w:tcPr>
          <w:p w14:paraId="667A78B1" w14:textId="77777777" w:rsidR="00F82830" w:rsidRDefault="00F82830">
            <w:pPr>
              <w:jc w:val="center"/>
              <w:rPr>
                <w:rFonts w:ascii="Aptos" w:hAnsi="Aptos"/>
                <w:b/>
                <w:bCs/>
                <w:color w:val="000000"/>
                <w:sz w:val="20"/>
                <w:szCs w:val="20"/>
              </w:rPr>
            </w:pPr>
          </w:p>
        </w:tc>
        <w:tc>
          <w:tcPr>
            <w:tcW w:w="1842" w:type="dxa"/>
          </w:tcPr>
          <w:p w14:paraId="0375027C" w14:textId="77777777" w:rsidR="00F82830" w:rsidRDefault="00F82830">
            <w:pPr>
              <w:jc w:val="center"/>
              <w:rPr>
                <w:rFonts w:ascii="Aptos" w:hAnsi="Aptos"/>
                <w:color w:val="000000"/>
                <w:sz w:val="20"/>
                <w:szCs w:val="20"/>
              </w:rPr>
            </w:pPr>
          </w:p>
        </w:tc>
      </w:tr>
      <w:tr w:rsidR="00F82830" w:rsidRPr="001B39CA" w14:paraId="7FC01913" w14:textId="77777777" w:rsidTr="00F82830">
        <w:tc>
          <w:tcPr>
            <w:tcW w:w="2263" w:type="dxa"/>
          </w:tcPr>
          <w:p w14:paraId="30AF0A0D" w14:textId="77777777" w:rsidR="00F82830" w:rsidRPr="001B39CA" w:rsidRDefault="00F82830">
            <w:pPr>
              <w:rPr>
                <w:rFonts w:ascii="Aptos" w:hAnsi="Aptos"/>
                <w:sz w:val="20"/>
                <w:szCs w:val="20"/>
              </w:rPr>
            </w:pPr>
            <w:r w:rsidRPr="001B39CA">
              <w:rPr>
                <w:rFonts w:ascii="Aptos" w:hAnsi="Aptos"/>
                <w:sz w:val="20"/>
                <w:szCs w:val="20"/>
              </w:rPr>
              <w:t>1 to under 4 years</w:t>
            </w:r>
          </w:p>
        </w:tc>
        <w:tc>
          <w:tcPr>
            <w:tcW w:w="2127" w:type="dxa"/>
            <w:vAlign w:val="bottom"/>
          </w:tcPr>
          <w:p w14:paraId="46217049" w14:textId="0B65A91D" w:rsidR="00F82830" w:rsidRPr="006765C9" w:rsidRDefault="006F2463">
            <w:pPr>
              <w:jc w:val="center"/>
              <w:rPr>
                <w:rFonts w:ascii="Aptos" w:hAnsi="Aptos"/>
                <w:color w:val="000000"/>
                <w:sz w:val="20"/>
                <w:szCs w:val="20"/>
              </w:rPr>
            </w:pPr>
            <w:r>
              <w:rPr>
                <w:rFonts w:ascii="Aptos" w:hAnsi="Aptos"/>
                <w:color w:val="000000"/>
                <w:sz w:val="20"/>
                <w:szCs w:val="20"/>
              </w:rPr>
              <w:t>848</w:t>
            </w:r>
          </w:p>
        </w:tc>
        <w:tc>
          <w:tcPr>
            <w:tcW w:w="1134" w:type="dxa"/>
            <w:shd w:val="clear" w:color="auto" w:fill="FFFFFF" w:themeFill="background1"/>
          </w:tcPr>
          <w:p w14:paraId="0BDD7903" w14:textId="5577559C" w:rsidR="00F82830" w:rsidRPr="006F2463" w:rsidRDefault="006F2463">
            <w:pPr>
              <w:jc w:val="center"/>
              <w:rPr>
                <w:rFonts w:ascii="Aptos" w:hAnsi="Aptos"/>
                <w:color w:val="000000"/>
                <w:sz w:val="20"/>
                <w:szCs w:val="20"/>
              </w:rPr>
            </w:pPr>
            <w:r w:rsidRPr="006F2463">
              <w:rPr>
                <w:rFonts w:ascii="Aptos" w:hAnsi="Aptos"/>
                <w:color w:val="000000"/>
                <w:sz w:val="20"/>
                <w:szCs w:val="20"/>
              </w:rPr>
              <w:t>102</w:t>
            </w:r>
          </w:p>
        </w:tc>
        <w:tc>
          <w:tcPr>
            <w:tcW w:w="1842" w:type="dxa"/>
          </w:tcPr>
          <w:p w14:paraId="4A782F6C" w14:textId="54B417E3" w:rsidR="00F82830" w:rsidRPr="005D3224" w:rsidRDefault="006F2463">
            <w:pPr>
              <w:jc w:val="center"/>
              <w:rPr>
                <w:rFonts w:ascii="Aptos" w:hAnsi="Aptos"/>
                <w:color w:val="000000"/>
                <w:sz w:val="20"/>
                <w:szCs w:val="20"/>
              </w:rPr>
            </w:pPr>
            <w:r>
              <w:rPr>
                <w:rFonts w:ascii="Aptos" w:hAnsi="Aptos"/>
                <w:color w:val="000000"/>
                <w:sz w:val="20"/>
                <w:szCs w:val="20"/>
              </w:rPr>
              <w:t>950</w:t>
            </w:r>
          </w:p>
        </w:tc>
      </w:tr>
      <w:tr w:rsidR="00F82830" w:rsidRPr="001B39CA" w14:paraId="555C12D1" w14:textId="77777777" w:rsidTr="00F82830">
        <w:tc>
          <w:tcPr>
            <w:tcW w:w="2263" w:type="dxa"/>
          </w:tcPr>
          <w:p w14:paraId="078EDBC0" w14:textId="77777777" w:rsidR="00F82830" w:rsidRPr="001B39CA" w:rsidRDefault="00F82830">
            <w:pPr>
              <w:rPr>
                <w:rFonts w:ascii="Aptos" w:hAnsi="Aptos"/>
                <w:sz w:val="20"/>
                <w:szCs w:val="20"/>
              </w:rPr>
            </w:pPr>
            <w:r w:rsidRPr="001B39CA">
              <w:rPr>
                <w:rFonts w:ascii="Aptos" w:hAnsi="Aptos"/>
                <w:sz w:val="20"/>
                <w:szCs w:val="20"/>
              </w:rPr>
              <w:t>4 to under 9 years</w:t>
            </w:r>
          </w:p>
        </w:tc>
        <w:tc>
          <w:tcPr>
            <w:tcW w:w="2127" w:type="dxa"/>
            <w:vAlign w:val="bottom"/>
          </w:tcPr>
          <w:p w14:paraId="0E911352" w14:textId="3C5CF2D6" w:rsidR="00F82830" w:rsidRPr="006765C9" w:rsidRDefault="006F2463">
            <w:pPr>
              <w:jc w:val="center"/>
              <w:rPr>
                <w:rFonts w:ascii="Aptos" w:hAnsi="Aptos"/>
                <w:color w:val="000000"/>
                <w:sz w:val="20"/>
                <w:szCs w:val="20"/>
              </w:rPr>
            </w:pPr>
            <w:r>
              <w:rPr>
                <w:rFonts w:ascii="Aptos" w:hAnsi="Aptos"/>
                <w:color w:val="000000"/>
                <w:sz w:val="20"/>
                <w:szCs w:val="20"/>
              </w:rPr>
              <w:t>1237</w:t>
            </w:r>
          </w:p>
        </w:tc>
        <w:tc>
          <w:tcPr>
            <w:tcW w:w="1134" w:type="dxa"/>
            <w:shd w:val="clear" w:color="auto" w:fill="FFFFFF" w:themeFill="background1"/>
          </w:tcPr>
          <w:p w14:paraId="6E9ED799" w14:textId="3D5A1175" w:rsidR="00F82830" w:rsidRPr="006F2463" w:rsidRDefault="006F2463">
            <w:pPr>
              <w:jc w:val="center"/>
              <w:rPr>
                <w:rFonts w:ascii="Aptos" w:hAnsi="Aptos"/>
                <w:color w:val="000000"/>
                <w:sz w:val="20"/>
                <w:szCs w:val="20"/>
              </w:rPr>
            </w:pPr>
            <w:r w:rsidRPr="006F2463">
              <w:rPr>
                <w:rFonts w:ascii="Aptos" w:hAnsi="Aptos"/>
                <w:color w:val="000000"/>
                <w:sz w:val="20"/>
                <w:szCs w:val="20"/>
              </w:rPr>
              <w:t>13</w:t>
            </w:r>
          </w:p>
        </w:tc>
        <w:tc>
          <w:tcPr>
            <w:tcW w:w="1842" w:type="dxa"/>
          </w:tcPr>
          <w:p w14:paraId="5EC20C3B" w14:textId="57D8386F" w:rsidR="00F82830" w:rsidRPr="005D3224" w:rsidRDefault="006F2463">
            <w:pPr>
              <w:jc w:val="center"/>
              <w:rPr>
                <w:rFonts w:ascii="Aptos" w:hAnsi="Aptos"/>
                <w:color w:val="000000"/>
                <w:sz w:val="20"/>
                <w:szCs w:val="20"/>
              </w:rPr>
            </w:pPr>
            <w:r>
              <w:rPr>
                <w:rFonts w:ascii="Aptos" w:hAnsi="Aptos"/>
                <w:color w:val="000000"/>
                <w:sz w:val="20"/>
                <w:szCs w:val="20"/>
              </w:rPr>
              <w:t>1,250</w:t>
            </w:r>
          </w:p>
        </w:tc>
      </w:tr>
      <w:tr w:rsidR="00F82830" w:rsidRPr="001B39CA" w14:paraId="367CBDA1" w14:textId="77777777" w:rsidTr="00F82830">
        <w:tc>
          <w:tcPr>
            <w:tcW w:w="2263" w:type="dxa"/>
          </w:tcPr>
          <w:p w14:paraId="484ABE88" w14:textId="77777777" w:rsidR="00F82830" w:rsidRPr="001B39CA" w:rsidRDefault="00F82830">
            <w:pPr>
              <w:rPr>
                <w:rFonts w:ascii="Aptos" w:hAnsi="Aptos"/>
                <w:sz w:val="20"/>
                <w:szCs w:val="20"/>
              </w:rPr>
            </w:pPr>
            <w:r w:rsidRPr="001B39CA">
              <w:rPr>
                <w:rFonts w:ascii="Aptos" w:hAnsi="Aptos"/>
                <w:sz w:val="20"/>
                <w:szCs w:val="20"/>
              </w:rPr>
              <w:t>9 to under 14 years</w:t>
            </w:r>
          </w:p>
        </w:tc>
        <w:tc>
          <w:tcPr>
            <w:tcW w:w="2127" w:type="dxa"/>
            <w:vAlign w:val="bottom"/>
          </w:tcPr>
          <w:p w14:paraId="767C42BE" w14:textId="00CEDFA9" w:rsidR="00F82830" w:rsidRPr="006765C9" w:rsidRDefault="006F2463">
            <w:pPr>
              <w:jc w:val="center"/>
              <w:rPr>
                <w:rFonts w:ascii="Aptos" w:hAnsi="Aptos"/>
                <w:color w:val="000000"/>
                <w:sz w:val="20"/>
                <w:szCs w:val="20"/>
              </w:rPr>
            </w:pPr>
            <w:r>
              <w:rPr>
                <w:rFonts w:ascii="Aptos" w:hAnsi="Aptos"/>
                <w:color w:val="000000"/>
                <w:sz w:val="20"/>
                <w:szCs w:val="20"/>
              </w:rPr>
              <w:t>1741</w:t>
            </w:r>
          </w:p>
        </w:tc>
        <w:tc>
          <w:tcPr>
            <w:tcW w:w="1134" w:type="dxa"/>
            <w:shd w:val="clear" w:color="auto" w:fill="FFFFFF" w:themeFill="background1"/>
          </w:tcPr>
          <w:p w14:paraId="18195CFA" w14:textId="3DCBC0A5" w:rsidR="00F82830" w:rsidRPr="006F2463" w:rsidRDefault="006F2463">
            <w:pPr>
              <w:jc w:val="center"/>
              <w:rPr>
                <w:rFonts w:ascii="Aptos" w:hAnsi="Aptos"/>
                <w:color w:val="000000"/>
                <w:sz w:val="20"/>
                <w:szCs w:val="20"/>
              </w:rPr>
            </w:pPr>
            <w:r w:rsidRPr="006F2463">
              <w:rPr>
                <w:rFonts w:ascii="Aptos" w:hAnsi="Aptos"/>
                <w:color w:val="000000"/>
                <w:sz w:val="20"/>
                <w:szCs w:val="20"/>
              </w:rPr>
              <w:t>9</w:t>
            </w:r>
          </w:p>
        </w:tc>
        <w:tc>
          <w:tcPr>
            <w:tcW w:w="1842" w:type="dxa"/>
          </w:tcPr>
          <w:p w14:paraId="2010904E" w14:textId="1CF9EBC5" w:rsidR="00F82830" w:rsidRPr="005D3224" w:rsidRDefault="006F2463">
            <w:pPr>
              <w:jc w:val="center"/>
              <w:rPr>
                <w:rFonts w:ascii="Aptos" w:hAnsi="Aptos"/>
                <w:color w:val="000000"/>
                <w:sz w:val="20"/>
                <w:szCs w:val="20"/>
              </w:rPr>
            </w:pPr>
            <w:r>
              <w:rPr>
                <w:rFonts w:ascii="Aptos" w:hAnsi="Aptos"/>
                <w:color w:val="000000"/>
                <w:sz w:val="20"/>
                <w:szCs w:val="20"/>
              </w:rPr>
              <w:t>1,750</w:t>
            </w:r>
          </w:p>
        </w:tc>
      </w:tr>
      <w:tr w:rsidR="00F82830" w:rsidRPr="001B39CA" w14:paraId="768F6975" w14:textId="77777777" w:rsidTr="00F82830">
        <w:tc>
          <w:tcPr>
            <w:tcW w:w="2263" w:type="dxa"/>
          </w:tcPr>
          <w:p w14:paraId="6A83934A" w14:textId="77777777" w:rsidR="00F82830" w:rsidRPr="001B39CA" w:rsidRDefault="00F82830">
            <w:pPr>
              <w:rPr>
                <w:rFonts w:ascii="Aptos" w:hAnsi="Aptos"/>
                <w:sz w:val="20"/>
                <w:szCs w:val="20"/>
              </w:rPr>
            </w:pPr>
            <w:r w:rsidRPr="001B39CA">
              <w:rPr>
                <w:rFonts w:ascii="Aptos" w:hAnsi="Aptos"/>
                <w:sz w:val="20"/>
                <w:szCs w:val="20"/>
              </w:rPr>
              <w:t>14 to under 18 years</w:t>
            </w:r>
          </w:p>
        </w:tc>
        <w:tc>
          <w:tcPr>
            <w:tcW w:w="2127" w:type="dxa"/>
            <w:vAlign w:val="bottom"/>
          </w:tcPr>
          <w:p w14:paraId="54B67ADD" w14:textId="6CBC7FF6" w:rsidR="00F82830" w:rsidRPr="006765C9" w:rsidRDefault="006F2463">
            <w:pPr>
              <w:jc w:val="center"/>
              <w:rPr>
                <w:rFonts w:ascii="Aptos" w:hAnsi="Aptos"/>
                <w:color w:val="000000"/>
                <w:sz w:val="20"/>
                <w:szCs w:val="20"/>
              </w:rPr>
            </w:pPr>
            <w:r>
              <w:rPr>
                <w:rFonts w:ascii="Aptos" w:hAnsi="Aptos"/>
                <w:color w:val="000000"/>
                <w:sz w:val="20"/>
                <w:szCs w:val="20"/>
              </w:rPr>
              <w:t>2154</w:t>
            </w:r>
          </w:p>
        </w:tc>
        <w:tc>
          <w:tcPr>
            <w:tcW w:w="1134" w:type="dxa"/>
            <w:shd w:val="clear" w:color="auto" w:fill="FFFFFF" w:themeFill="background1"/>
          </w:tcPr>
          <w:p w14:paraId="77944939" w14:textId="78266DB9" w:rsidR="00F82830" w:rsidRPr="006F2463" w:rsidRDefault="006F2463">
            <w:pPr>
              <w:jc w:val="center"/>
              <w:rPr>
                <w:rFonts w:ascii="Aptos" w:hAnsi="Aptos"/>
                <w:color w:val="000000"/>
                <w:sz w:val="20"/>
                <w:szCs w:val="20"/>
              </w:rPr>
            </w:pPr>
            <w:r w:rsidRPr="006F2463">
              <w:rPr>
                <w:rFonts w:ascii="Aptos" w:hAnsi="Aptos"/>
                <w:color w:val="000000"/>
                <w:sz w:val="20"/>
                <w:szCs w:val="20"/>
              </w:rPr>
              <w:t>-154</w:t>
            </w:r>
          </w:p>
        </w:tc>
        <w:tc>
          <w:tcPr>
            <w:tcW w:w="1842" w:type="dxa"/>
          </w:tcPr>
          <w:p w14:paraId="0ECA00DA" w14:textId="3AD69831" w:rsidR="00F82830" w:rsidRPr="005D3224" w:rsidRDefault="006F2463">
            <w:pPr>
              <w:jc w:val="center"/>
              <w:rPr>
                <w:rFonts w:ascii="Aptos" w:hAnsi="Aptos"/>
                <w:color w:val="000000"/>
                <w:sz w:val="20"/>
                <w:szCs w:val="20"/>
              </w:rPr>
            </w:pPr>
            <w:r>
              <w:rPr>
                <w:rFonts w:ascii="Aptos" w:hAnsi="Aptos"/>
                <w:color w:val="000000"/>
                <w:sz w:val="20"/>
                <w:szCs w:val="20"/>
              </w:rPr>
              <w:t>2,000</w:t>
            </w:r>
          </w:p>
        </w:tc>
      </w:tr>
      <w:tr w:rsidR="00F82830" w:rsidRPr="001B39CA" w14:paraId="1CE99711" w14:textId="77777777" w:rsidTr="00F82830">
        <w:tc>
          <w:tcPr>
            <w:tcW w:w="2263" w:type="dxa"/>
          </w:tcPr>
          <w:p w14:paraId="76CDAB88" w14:textId="77777777" w:rsidR="00F82830" w:rsidRPr="006765C9" w:rsidRDefault="00F82830">
            <w:pPr>
              <w:rPr>
                <w:rFonts w:ascii="Aptos" w:hAnsi="Aptos"/>
                <w:i/>
                <w:iCs/>
                <w:sz w:val="20"/>
                <w:szCs w:val="20"/>
              </w:rPr>
            </w:pPr>
            <w:r w:rsidRPr="006765C9">
              <w:rPr>
                <w:rFonts w:ascii="Aptos" w:hAnsi="Aptos"/>
                <w:i/>
                <w:iCs/>
                <w:sz w:val="20"/>
                <w:szCs w:val="20"/>
              </w:rPr>
              <w:t>Alternative age groups:</w:t>
            </w:r>
          </w:p>
        </w:tc>
        <w:tc>
          <w:tcPr>
            <w:tcW w:w="2127" w:type="dxa"/>
            <w:vAlign w:val="bottom"/>
          </w:tcPr>
          <w:p w14:paraId="4B3A6E53" w14:textId="77777777" w:rsidR="00F82830" w:rsidRPr="006765C9" w:rsidRDefault="00F82830">
            <w:pPr>
              <w:jc w:val="center"/>
              <w:rPr>
                <w:rFonts w:ascii="Aptos" w:hAnsi="Aptos"/>
                <w:color w:val="000000"/>
                <w:sz w:val="20"/>
                <w:szCs w:val="20"/>
              </w:rPr>
            </w:pPr>
          </w:p>
        </w:tc>
        <w:tc>
          <w:tcPr>
            <w:tcW w:w="1134" w:type="dxa"/>
            <w:shd w:val="clear" w:color="auto" w:fill="FFFFFF" w:themeFill="background1"/>
          </w:tcPr>
          <w:p w14:paraId="1BA751FA" w14:textId="77777777" w:rsidR="00F82830" w:rsidRDefault="00F82830">
            <w:pPr>
              <w:jc w:val="center"/>
              <w:rPr>
                <w:rFonts w:ascii="Aptos" w:hAnsi="Aptos"/>
                <w:b/>
                <w:bCs/>
                <w:sz w:val="20"/>
                <w:szCs w:val="20"/>
              </w:rPr>
            </w:pPr>
          </w:p>
        </w:tc>
        <w:tc>
          <w:tcPr>
            <w:tcW w:w="1842" w:type="dxa"/>
            <w:vAlign w:val="bottom"/>
          </w:tcPr>
          <w:p w14:paraId="7D00A5E7" w14:textId="77777777" w:rsidR="00F82830" w:rsidRDefault="00F82830">
            <w:pPr>
              <w:jc w:val="center"/>
              <w:rPr>
                <w:rFonts w:ascii="Aptos" w:hAnsi="Aptos"/>
                <w:color w:val="000000"/>
                <w:sz w:val="20"/>
                <w:szCs w:val="20"/>
              </w:rPr>
            </w:pPr>
          </w:p>
        </w:tc>
      </w:tr>
      <w:tr w:rsidR="00F82830" w:rsidRPr="001B39CA" w14:paraId="4DBAC428" w14:textId="77777777" w:rsidTr="00F82830">
        <w:tc>
          <w:tcPr>
            <w:tcW w:w="2263" w:type="dxa"/>
          </w:tcPr>
          <w:p w14:paraId="48551C4D" w14:textId="77777777" w:rsidR="00F82830" w:rsidRPr="000A6FEA" w:rsidRDefault="00F82830">
            <w:pPr>
              <w:rPr>
                <w:rFonts w:ascii="Aptos" w:hAnsi="Aptos"/>
                <w:sz w:val="20"/>
                <w:szCs w:val="20"/>
              </w:rPr>
            </w:pPr>
            <w:r w:rsidRPr="000A6FEA">
              <w:rPr>
                <w:rFonts w:ascii="Aptos" w:hAnsi="Aptos"/>
                <w:sz w:val="20"/>
                <w:szCs w:val="20"/>
              </w:rPr>
              <w:t>12 to under 24 months</w:t>
            </w:r>
          </w:p>
        </w:tc>
        <w:tc>
          <w:tcPr>
            <w:tcW w:w="2127" w:type="dxa"/>
            <w:vAlign w:val="bottom"/>
          </w:tcPr>
          <w:p w14:paraId="042B8780" w14:textId="31FC5107" w:rsidR="00F82830" w:rsidRPr="006765C9" w:rsidRDefault="00FA6E30">
            <w:pPr>
              <w:jc w:val="center"/>
              <w:rPr>
                <w:rFonts w:ascii="Aptos" w:hAnsi="Aptos"/>
                <w:color w:val="000000"/>
                <w:sz w:val="20"/>
                <w:szCs w:val="20"/>
              </w:rPr>
            </w:pPr>
            <w:r>
              <w:rPr>
                <w:rFonts w:ascii="Aptos" w:hAnsi="Aptos"/>
                <w:color w:val="000000"/>
                <w:sz w:val="20"/>
                <w:szCs w:val="20"/>
              </w:rPr>
              <w:t>750</w:t>
            </w:r>
          </w:p>
        </w:tc>
        <w:tc>
          <w:tcPr>
            <w:tcW w:w="1134" w:type="dxa"/>
            <w:shd w:val="clear" w:color="auto" w:fill="FFFFFF" w:themeFill="background1"/>
          </w:tcPr>
          <w:p w14:paraId="14F9DE98" w14:textId="7B95CD89" w:rsidR="00F82830" w:rsidRPr="00E527EC" w:rsidRDefault="00FA6E30">
            <w:pPr>
              <w:jc w:val="center"/>
              <w:rPr>
                <w:rFonts w:ascii="Aptos" w:hAnsi="Aptos"/>
                <w:sz w:val="20"/>
                <w:szCs w:val="20"/>
              </w:rPr>
            </w:pPr>
            <w:r w:rsidRPr="00E527EC">
              <w:rPr>
                <w:rFonts w:ascii="Aptos" w:hAnsi="Aptos"/>
                <w:sz w:val="20"/>
                <w:szCs w:val="20"/>
              </w:rPr>
              <w:t>100</w:t>
            </w:r>
          </w:p>
        </w:tc>
        <w:tc>
          <w:tcPr>
            <w:tcW w:w="1842" w:type="dxa"/>
            <w:vAlign w:val="bottom"/>
          </w:tcPr>
          <w:p w14:paraId="50DD1D52" w14:textId="7EC7651C" w:rsidR="00F82830" w:rsidRPr="00327EDA" w:rsidRDefault="00E527EC">
            <w:pPr>
              <w:jc w:val="center"/>
              <w:rPr>
                <w:rFonts w:ascii="Aptos" w:hAnsi="Aptos"/>
                <w:color w:val="000000"/>
                <w:sz w:val="20"/>
                <w:szCs w:val="20"/>
              </w:rPr>
            </w:pPr>
            <w:r>
              <w:rPr>
                <w:rFonts w:ascii="Aptos" w:hAnsi="Aptos"/>
                <w:color w:val="000000"/>
                <w:sz w:val="20"/>
                <w:szCs w:val="20"/>
              </w:rPr>
              <w:t>850</w:t>
            </w:r>
          </w:p>
        </w:tc>
      </w:tr>
      <w:tr w:rsidR="00F82830" w:rsidRPr="001B39CA" w14:paraId="6DD012AD" w14:textId="77777777" w:rsidTr="00F82830">
        <w:tc>
          <w:tcPr>
            <w:tcW w:w="2263" w:type="dxa"/>
          </w:tcPr>
          <w:p w14:paraId="1104058E" w14:textId="77777777" w:rsidR="00F82830" w:rsidRPr="000A6FEA" w:rsidRDefault="00F82830">
            <w:pPr>
              <w:rPr>
                <w:rFonts w:ascii="Aptos" w:hAnsi="Aptos"/>
                <w:sz w:val="20"/>
                <w:szCs w:val="20"/>
              </w:rPr>
            </w:pPr>
            <w:r w:rsidRPr="000A6FEA">
              <w:rPr>
                <w:rFonts w:ascii="Aptos" w:hAnsi="Aptos"/>
                <w:sz w:val="20"/>
                <w:szCs w:val="20"/>
              </w:rPr>
              <w:t>2 to under 5 years</w:t>
            </w:r>
          </w:p>
        </w:tc>
        <w:tc>
          <w:tcPr>
            <w:tcW w:w="2127" w:type="dxa"/>
            <w:vAlign w:val="bottom"/>
          </w:tcPr>
          <w:p w14:paraId="6255D5F3" w14:textId="7A697A3E" w:rsidR="00F82830" w:rsidRPr="006765C9" w:rsidRDefault="00FA6E30">
            <w:pPr>
              <w:jc w:val="center"/>
              <w:rPr>
                <w:rFonts w:ascii="Aptos" w:hAnsi="Aptos"/>
                <w:color w:val="000000"/>
                <w:sz w:val="20"/>
                <w:szCs w:val="20"/>
              </w:rPr>
            </w:pPr>
            <w:r>
              <w:rPr>
                <w:rFonts w:ascii="Aptos" w:hAnsi="Aptos"/>
                <w:color w:val="000000"/>
                <w:sz w:val="20"/>
                <w:szCs w:val="20"/>
              </w:rPr>
              <w:t>1000</w:t>
            </w:r>
          </w:p>
        </w:tc>
        <w:tc>
          <w:tcPr>
            <w:tcW w:w="1134" w:type="dxa"/>
            <w:shd w:val="clear" w:color="auto" w:fill="FFFFFF" w:themeFill="background1"/>
          </w:tcPr>
          <w:p w14:paraId="11FDC26B" w14:textId="083FFE56" w:rsidR="00F82830" w:rsidRPr="00E527EC" w:rsidRDefault="00FA6E30">
            <w:pPr>
              <w:jc w:val="center"/>
              <w:rPr>
                <w:rFonts w:ascii="Aptos" w:hAnsi="Aptos"/>
                <w:sz w:val="20"/>
                <w:szCs w:val="20"/>
              </w:rPr>
            </w:pPr>
            <w:r w:rsidRPr="00E527EC">
              <w:rPr>
                <w:rFonts w:ascii="Aptos" w:hAnsi="Aptos"/>
                <w:sz w:val="20"/>
                <w:szCs w:val="20"/>
              </w:rPr>
              <w:t>100</w:t>
            </w:r>
          </w:p>
        </w:tc>
        <w:tc>
          <w:tcPr>
            <w:tcW w:w="1842" w:type="dxa"/>
            <w:vAlign w:val="bottom"/>
          </w:tcPr>
          <w:p w14:paraId="4F182F01" w14:textId="2922C6FF" w:rsidR="00F82830" w:rsidRPr="00327EDA" w:rsidRDefault="00E527EC">
            <w:pPr>
              <w:jc w:val="center"/>
              <w:rPr>
                <w:rFonts w:ascii="Aptos" w:hAnsi="Aptos"/>
                <w:color w:val="000000"/>
                <w:sz w:val="20"/>
                <w:szCs w:val="20"/>
              </w:rPr>
            </w:pPr>
            <w:r>
              <w:rPr>
                <w:rFonts w:ascii="Aptos" w:hAnsi="Aptos"/>
                <w:color w:val="000000"/>
                <w:sz w:val="20"/>
                <w:szCs w:val="20"/>
              </w:rPr>
              <w:t>1100</w:t>
            </w:r>
          </w:p>
        </w:tc>
      </w:tr>
      <w:tr w:rsidR="00F82830" w:rsidRPr="001B39CA" w14:paraId="1EF07664" w14:textId="77777777" w:rsidTr="00F82830">
        <w:tc>
          <w:tcPr>
            <w:tcW w:w="2263" w:type="dxa"/>
          </w:tcPr>
          <w:p w14:paraId="62696477" w14:textId="77777777" w:rsidR="00F82830" w:rsidRPr="000A6FEA" w:rsidRDefault="00F82830">
            <w:pPr>
              <w:rPr>
                <w:rFonts w:ascii="Aptos" w:hAnsi="Aptos"/>
                <w:sz w:val="20"/>
                <w:szCs w:val="20"/>
              </w:rPr>
            </w:pPr>
            <w:r w:rsidRPr="000A6FEA">
              <w:rPr>
                <w:rFonts w:ascii="Aptos" w:hAnsi="Aptos"/>
                <w:sz w:val="20"/>
                <w:szCs w:val="20"/>
              </w:rPr>
              <w:t>5 to under 12 years</w:t>
            </w:r>
          </w:p>
        </w:tc>
        <w:tc>
          <w:tcPr>
            <w:tcW w:w="2127" w:type="dxa"/>
            <w:vAlign w:val="bottom"/>
          </w:tcPr>
          <w:p w14:paraId="00401F8C" w14:textId="0B66EE3A" w:rsidR="00F82830" w:rsidRPr="006765C9" w:rsidRDefault="00FA6E30">
            <w:pPr>
              <w:jc w:val="center"/>
              <w:rPr>
                <w:rFonts w:ascii="Aptos" w:hAnsi="Aptos"/>
                <w:color w:val="000000"/>
                <w:sz w:val="20"/>
                <w:szCs w:val="20"/>
              </w:rPr>
            </w:pPr>
            <w:r>
              <w:rPr>
                <w:rFonts w:ascii="Aptos" w:hAnsi="Aptos"/>
                <w:color w:val="000000"/>
                <w:sz w:val="20"/>
                <w:szCs w:val="20"/>
              </w:rPr>
              <w:t>1388</w:t>
            </w:r>
          </w:p>
        </w:tc>
        <w:tc>
          <w:tcPr>
            <w:tcW w:w="1134" w:type="dxa"/>
            <w:shd w:val="clear" w:color="auto" w:fill="FFFFFF" w:themeFill="background1"/>
          </w:tcPr>
          <w:p w14:paraId="3706EA11" w14:textId="56C945ED" w:rsidR="00F82830" w:rsidRPr="00E527EC" w:rsidRDefault="00FA6E30">
            <w:pPr>
              <w:jc w:val="center"/>
              <w:rPr>
                <w:rFonts w:ascii="Aptos" w:hAnsi="Aptos"/>
                <w:sz w:val="20"/>
                <w:szCs w:val="20"/>
              </w:rPr>
            </w:pPr>
            <w:r w:rsidRPr="00E527EC">
              <w:rPr>
                <w:rFonts w:ascii="Aptos" w:hAnsi="Aptos"/>
                <w:sz w:val="20"/>
                <w:szCs w:val="20"/>
              </w:rPr>
              <w:t>112</w:t>
            </w:r>
          </w:p>
        </w:tc>
        <w:tc>
          <w:tcPr>
            <w:tcW w:w="1842" w:type="dxa"/>
            <w:vAlign w:val="bottom"/>
          </w:tcPr>
          <w:p w14:paraId="1F4E6E76" w14:textId="0C9D9822" w:rsidR="00F82830" w:rsidRPr="00327EDA" w:rsidRDefault="00E527EC">
            <w:pPr>
              <w:jc w:val="center"/>
              <w:rPr>
                <w:rFonts w:ascii="Aptos" w:hAnsi="Aptos"/>
                <w:color w:val="000000"/>
                <w:sz w:val="20"/>
                <w:szCs w:val="20"/>
              </w:rPr>
            </w:pPr>
            <w:r>
              <w:rPr>
                <w:rFonts w:ascii="Aptos" w:hAnsi="Aptos"/>
                <w:color w:val="000000"/>
                <w:sz w:val="20"/>
                <w:szCs w:val="20"/>
              </w:rPr>
              <w:t>1500</w:t>
            </w:r>
          </w:p>
        </w:tc>
      </w:tr>
      <w:tr w:rsidR="00F82830" w:rsidRPr="001B39CA" w14:paraId="4EC00BD4" w14:textId="77777777" w:rsidTr="00F82830">
        <w:tc>
          <w:tcPr>
            <w:tcW w:w="2263" w:type="dxa"/>
          </w:tcPr>
          <w:p w14:paraId="09FAA5C9" w14:textId="77777777" w:rsidR="00F82830" w:rsidRPr="000A6FEA" w:rsidRDefault="00F82830">
            <w:pPr>
              <w:rPr>
                <w:rFonts w:ascii="Aptos" w:hAnsi="Aptos"/>
                <w:sz w:val="20"/>
                <w:szCs w:val="20"/>
              </w:rPr>
            </w:pPr>
            <w:r w:rsidRPr="000A6FEA">
              <w:rPr>
                <w:rFonts w:ascii="Aptos" w:hAnsi="Aptos"/>
                <w:sz w:val="20"/>
                <w:szCs w:val="20"/>
              </w:rPr>
              <w:t>12 to under 18 years</w:t>
            </w:r>
          </w:p>
        </w:tc>
        <w:tc>
          <w:tcPr>
            <w:tcW w:w="2127" w:type="dxa"/>
            <w:vAlign w:val="bottom"/>
          </w:tcPr>
          <w:p w14:paraId="6FB6C01F" w14:textId="73DA9834" w:rsidR="00F82830" w:rsidRPr="006765C9" w:rsidRDefault="00FA6E30">
            <w:pPr>
              <w:jc w:val="center"/>
              <w:rPr>
                <w:rFonts w:ascii="Aptos" w:hAnsi="Aptos"/>
                <w:color w:val="000000"/>
                <w:sz w:val="20"/>
                <w:szCs w:val="20"/>
              </w:rPr>
            </w:pPr>
            <w:r>
              <w:rPr>
                <w:rFonts w:ascii="Aptos" w:hAnsi="Aptos"/>
                <w:color w:val="000000"/>
                <w:sz w:val="20"/>
                <w:szCs w:val="20"/>
              </w:rPr>
              <w:t>1945</w:t>
            </w:r>
          </w:p>
        </w:tc>
        <w:tc>
          <w:tcPr>
            <w:tcW w:w="1134" w:type="dxa"/>
            <w:shd w:val="clear" w:color="auto" w:fill="FFFFFF" w:themeFill="background1"/>
          </w:tcPr>
          <w:p w14:paraId="50F556A1" w14:textId="028C88B7" w:rsidR="00F82830" w:rsidRPr="00E527EC" w:rsidRDefault="00FA6E30">
            <w:pPr>
              <w:jc w:val="center"/>
              <w:rPr>
                <w:rFonts w:ascii="Aptos" w:hAnsi="Aptos"/>
                <w:sz w:val="20"/>
                <w:szCs w:val="20"/>
              </w:rPr>
            </w:pPr>
            <w:r w:rsidRPr="00E527EC">
              <w:rPr>
                <w:rFonts w:ascii="Aptos" w:hAnsi="Aptos"/>
                <w:sz w:val="20"/>
                <w:szCs w:val="20"/>
              </w:rPr>
              <w:t>5</w:t>
            </w:r>
          </w:p>
        </w:tc>
        <w:tc>
          <w:tcPr>
            <w:tcW w:w="1842" w:type="dxa"/>
            <w:vAlign w:val="bottom"/>
          </w:tcPr>
          <w:p w14:paraId="6F093195" w14:textId="5767B53F" w:rsidR="00F82830" w:rsidRPr="00327EDA" w:rsidRDefault="00E527EC">
            <w:pPr>
              <w:jc w:val="center"/>
              <w:rPr>
                <w:rFonts w:ascii="Aptos" w:hAnsi="Aptos"/>
                <w:color w:val="000000"/>
                <w:sz w:val="20"/>
                <w:szCs w:val="20"/>
              </w:rPr>
            </w:pPr>
            <w:r>
              <w:rPr>
                <w:rFonts w:ascii="Aptos" w:hAnsi="Aptos"/>
                <w:color w:val="000000"/>
                <w:sz w:val="20"/>
                <w:szCs w:val="20"/>
              </w:rPr>
              <w:t>1950</w:t>
            </w:r>
          </w:p>
        </w:tc>
      </w:tr>
    </w:tbl>
    <w:p w14:paraId="6529D88C" w14:textId="77777777" w:rsidR="001E4734" w:rsidRDefault="001E4734" w:rsidP="00C44EA6">
      <w:pPr>
        <w:pStyle w:val="Heading2"/>
        <w:tabs>
          <w:tab w:val="left" w:pos="5546"/>
        </w:tabs>
        <w:rPr>
          <w:b/>
          <w:bCs/>
        </w:rPr>
      </w:pPr>
    </w:p>
    <w:p w14:paraId="79D9D70E" w14:textId="77777777" w:rsidR="001E4734" w:rsidRDefault="001E4734">
      <w:pPr>
        <w:rPr>
          <w:rFonts w:asciiTheme="majorHAnsi" w:eastAsiaTheme="majorEastAsia" w:hAnsiTheme="majorHAnsi" w:cstheme="majorBidi"/>
          <w:b/>
          <w:bCs/>
          <w:color w:val="0F4761" w:themeColor="accent1" w:themeShade="BF"/>
          <w:sz w:val="32"/>
          <w:szCs w:val="32"/>
        </w:rPr>
      </w:pPr>
      <w:r>
        <w:rPr>
          <w:b/>
          <w:bCs/>
        </w:rPr>
        <w:br w:type="page"/>
      </w:r>
    </w:p>
    <w:p w14:paraId="28B9A80B" w14:textId="116564D4" w:rsidR="00C23AB3" w:rsidRPr="00C44EA6" w:rsidRDefault="00C23AB3" w:rsidP="00C44EA6">
      <w:pPr>
        <w:pStyle w:val="Heading2"/>
        <w:tabs>
          <w:tab w:val="left" w:pos="5546"/>
        </w:tabs>
        <w:rPr>
          <w:b/>
          <w:bCs/>
        </w:rPr>
      </w:pPr>
      <w:bookmarkStart w:id="85" w:name="_Toc234960866"/>
      <w:r w:rsidRPr="00C44EA6">
        <w:rPr>
          <w:b/>
          <w:bCs/>
        </w:rPr>
        <w:lastRenderedPageBreak/>
        <w:t>Upper Levels</w:t>
      </w:r>
      <w:bookmarkEnd w:id="85"/>
    </w:p>
    <w:p w14:paraId="692E5CF8" w14:textId="77777777" w:rsidR="00AB7E26" w:rsidRDefault="00AB7E26" w:rsidP="00AB7E26">
      <w:pPr>
        <w:pStyle w:val="Heading3"/>
      </w:pPr>
      <w:bookmarkStart w:id="86" w:name="_Toc234960867"/>
      <w:r>
        <w:t>Children and adolescents</w:t>
      </w:r>
      <w:bookmarkEnd w:id="86"/>
    </w:p>
    <w:p w14:paraId="026357CD" w14:textId="2FA03888" w:rsidR="00611E07" w:rsidRPr="00611E07" w:rsidRDefault="00611E07" w:rsidP="00611E07">
      <w:r>
        <w:t>There is insufficient evidence upon which to base a UL in children and adolescents, and a UL in adults has not been set (the former adult UL was re</w:t>
      </w:r>
      <w:r w:rsidR="00E0232D">
        <w:t xml:space="preserve">voked in favour of </w:t>
      </w:r>
      <w:r>
        <w:t>a</w:t>
      </w:r>
      <w:r w:rsidR="00475B5A">
        <w:t>n</w:t>
      </w:r>
      <w:r>
        <w:t xml:space="preserve"> SDT in 2017). </w:t>
      </w:r>
      <w:r w:rsidR="00835007">
        <w:t xml:space="preserve">The current ULs for children and adolescents will be revoked in favour of establishing </w:t>
      </w:r>
      <w:r w:rsidR="00475B5A">
        <w:t xml:space="preserve">a </w:t>
      </w:r>
      <w:r w:rsidR="00835007">
        <w:t xml:space="preserve">CDRR value </w:t>
      </w:r>
      <w:r w:rsidR="00475B5A">
        <w:t>(formerly the SDT)</w:t>
      </w:r>
      <w:r w:rsidR="00835007">
        <w:t xml:space="preserve"> in this population.</w:t>
      </w:r>
      <w:r w:rsidR="00A756A6">
        <w:t xml:space="preserve"> This also better reflects the nature of health risk associated with high sodium intake in childhood and adolescence, which is one of increased risk of chronic disease (CDRR) rather than one of acute toxic effects (UL).</w:t>
      </w:r>
    </w:p>
    <w:p w14:paraId="5C743070" w14:textId="77777777" w:rsidR="00194EF5" w:rsidRDefault="00194EF5">
      <w:pPr>
        <w:rPr>
          <w:rFonts w:asciiTheme="majorHAnsi" w:eastAsiaTheme="majorEastAsia" w:hAnsiTheme="majorHAnsi" w:cstheme="majorBidi"/>
          <w:b/>
          <w:bCs/>
          <w:color w:val="0F4761" w:themeColor="accent1" w:themeShade="BF"/>
          <w:sz w:val="40"/>
          <w:szCs w:val="40"/>
        </w:rPr>
      </w:pPr>
      <w:r>
        <w:rPr>
          <w:b/>
          <w:bCs/>
        </w:rPr>
        <w:br w:type="page"/>
      </w:r>
    </w:p>
    <w:p w14:paraId="5ADF5D8C" w14:textId="0083D44D" w:rsidR="00AB7E26" w:rsidRPr="00F1010C" w:rsidRDefault="00AB7E26" w:rsidP="005F45FC">
      <w:pPr>
        <w:pStyle w:val="Heading1"/>
        <w:rPr>
          <w:b/>
          <w:bCs/>
        </w:rPr>
      </w:pPr>
      <w:bookmarkStart w:id="87" w:name="_Toc234960868"/>
      <w:r w:rsidRPr="00F1010C">
        <w:rPr>
          <w:b/>
          <w:bCs/>
        </w:rPr>
        <w:lastRenderedPageBreak/>
        <w:t>Benchmarking</w:t>
      </w:r>
      <w:bookmarkEnd w:id="87"/>
    </w:p>
    <w:p w14:paraId="37D9D0FA" w14:textId="77777777" w:rsidR="00AB7E26" w:rsidRPr="00C44EA6" w:rsidRDefault="00AB7E26" w:rsidP="00C44EA6">
      <w:pPr>
        <w:pStyle w:val="Heading2"/>
        <w:tabs>
          <w:tab w:val="left" w:pos="5546"/>
        </w:tabs>
        <w:rPr>
          <w:b/>
          <w:bCs/>
        </w:rPr>
      </w:pPr>
      <w:bookmarkStart w:id="88" w:name="_Toc234960869"/>
      <w:r w:rsidRPr="00C44EA6">
        <w:rPr>
          <w:b/>
          <w:bCs/>
        </w:rPr>
        <w:t>International comparisons</w:t>
      </w:r>
      <w:bookmarkEnd w:id="88"/>
    </w:p>
    <w:p w14:paraId="5C423E43" w14:textId="7557EF43" w:rsidR="00193E52" w:rsidRPr="00193E52" w:rsidRDefault="00193E52" w:rsidP="00193E52">
      <w:pPr>
        <w:pStyle w:val="Heading3"/>
      </w:pPr>
      <w:bookmarkStart w:id="89" w:name="_Toc234960870"/>
      <w:r>
        <w:t>Adequate Intake</w:t>
      </w:r>
      <w:bookmarkEnd w:id="89"/>
    </w:p>
    <w:p w14:paraId="2754B9FE" w14:textId="35EB462B" w:rsidR="001B4236" w:rsidRPr="001B4236" w:rsidRDefault="00580CF6" w:rsidP="001B4236">
      <w:pPr>
        <w:spacing w:line="276" w:lineRule="auto"/>
        <w:rPr>
          <w:color w:val="000000" w:themeColor="text1"/>
        </w:rPr>
      </w:pPr>
      <w:r>
        <w:rPr>
          <w:color w:val="000000" w:themeColor="text1"/>
        </w:rPr>
        <w:t xml:space="preserve">Proposed AI values are compared with international values in </w:t>
      </w:r>
      <w:r>
        <w:rPr>
          <w:color w:val="000000" w:themeColor="text1"/>
        </w:rPr>
        <w:fldChar w:fldCharType="begin"/>
      </w:r>
      <w:r>
        <w:rPr>
          <w:color w:val="000000" w:themeColor="text1"/>
        </w:rPr>
        <w:instrText xml:space="preserve"> REF _Ref233730240 \h </w:instrText>
      </w:r>
      <w:r>
        <w:rPr>
          <w:color w:val="000000" w:themeColor="text1"/>
        </w:rPr>
      </w:r>
      <w:r>
        <w:rPr>
          <w:color w:val="000000" w:themeColor="text1"/>
        </w:rPr>
        <w:fldChar w:fldCharType="separate"/>
      </w:r>
      <w:r w:rsidR="00074E84">
        <w:t xml:space="preserve">Table </w:t>
      </w:r>
      <w:r w:rsidR="00074E84">
        <w:rPr>
          <w:noProof/>
        </w:rPr>
        <w:t>17</w:t>
      </w:r>
      <w:r>
        <w:rPr>
          <w:color w:val="000000" w:themeColor="text1"/>
        </w:rPr>
        <w:fldChar w:fldCharType="end"/>
      </w:r>
      <w:r>
        <w:rPr>
          <w:color w:val="000000" w:themeColor="text1"/>
        </w:rPr>
        <w:t xml:space="preserve">. </w:t>
      </w:r>
      <w:r w:rsidR="00E769AC">
        <w:rPr>
          <w:color w:val="000000" w:themeColor="text1"/>
        </w:rPr>
        <w:t>Across almost all populations, t</w:t>
      </w:r>
      <w:r w:rsidR="001B4236" w:rsidRPr="001B4236">
        <w:rPr>
          <w:color w:val="000000" w:themeColor="text1"/>
        </w:rPr>
        <w:t xml:space="preserve">he proposed AI values </w:t>
      </w:r>
      <w:r w:rsidR="001B4236">
        <w:rPr>
          <w:color w:val="000000" w:themeColor="text1"/>
        </w:rPr>
        <w:t xml:space="preserve">for Australia and New Zealand </w:t>
      </w:r>
      <w:r w:rsidR="001B4236" w:rsidRPr="001B4236">
        <w:rPr>
          <w:color w:val="000000" w:themeColor="text1"/>
        </w:rPr>
        <w:t xml:space="preserve">are lower than </w:t>
      </w:r>
      <w:r w:rsidR="001B4236">
        <w:rPr>
          <w:color w:val="000000" w:themeColor="text1"/>
        </w:rPr>
        <w:t xml:space="preserve">the AIs </w:t>
      </w:r>
      <w:r w:rsidR="001B4236" w:rsidRPr="001B4236">
        <w:rPr>
          <w:color w:val="000000" w:themeColor="text1"/>
        </w:rPr>
        <w:t xml:space="preserve">set </w:t>
      </w:r>
      <w:r w:rsidR="001B4236">
        <w:rPr>
          <w:color w:val="000000" w:themeColor="text1"/>
        </w:rPr>
        <w:t xml:space="preserve">by </w:t>
      </w:r>
      <w:r w:rsidR="001B4236" w:rsidRPr="001B4236">
        <w:rPr>
          <w:color w:val="000000" w:themeColor="text1"/>
        </w:rPr>
        <w:t xml:space="preserve">comparable international </w:t>
      </w:r>
      <w:r w:rsidR="001B4236">
        <w:rPr>
          <w:color w:val="000000" w:themeColor="text1"/>
        </w:rPr>
        <w:t xml:space="preserve">jurisdictions </w:t>
      </w:r>
      <w:r w:rsidR="001B4236" w:rsidRPr="001B4236">
        <w:rPr>
          <w:color w:val="000000" w:themeColor="text1"/>
        </w:rPr>
        <w:t>(</w:t>
      </w:r>
      <w:r w:rsidR="00E769AC">
        <w:rPr>
          <w:color w:val="000000" w:themeColor="text1"/>
        </w:rPr>
        <w:t xml:space="preserve">except for </w:t>
      </w:r>
      <w:r w:rsidR="008348E2">
        <w:rPr>
          <w:color w:val="000000" w:themeColor="text1"/>
        </w:rPr>
        <w:t xml:space="preserve">AIs in </w:t>
      </w:r>
      <w:r w:rsidR="001B4236" w:rsidRPr="001B4236">
        <w:rPr>
          <w:color w:val="000000" w:themeColor="text1"/>
        </w:rPr>
        <w:t>younger children relative to the D-A-CH recommendations). This primarily reflects the selection of a lower adult AI for Australia and New Zealand, from which child values have been extrapolated.</w:t>
      </w:r>
    </w:p>
    <w:p w14:paraId="78700961" w14:textId="77777777" w:rsidR="001B4236" w:rsidRPr="001B4236" w:rsidRDefault="001B4236" w:rsidP="001B4236">
      <w:pPr>
        <w:spacing w:line="276" w:lineRule="auto"/>
        <w:rPr>
          <w:color w:val="000000" w:themeColor="text1"/>
        </w:rPr>
      </w:pPr>
      <w:r w:rsidRPr="001B4236">
        <w:rPr>
          <w:color w:val="000000" w:themeColor="text1"/>
        </w:rPr>
        <w:t>However, there is substantial uncertainty in the evidence underpinning sodium requirements, and in most jurisdictions the AI represents a pragmatic estimate rather than a value based on robust evidence. As such, the lack of alignment with international values is not considered problematic.</w:t>
      </w:r>
    </w:p>
    <w:p w14:paraId="497C2D1C" w14:textId="315C36A9" w:rsidR="00816BA5" w:rsidRDefault="00816BA5" w:rsidP="00816BA5">
      <w:pPr>
        <w:pStyle w:val="Caption"/>
        <w:keepNext/>
      </w:pPr>
      <w:bookmarkStart w:id="90" w:name="_Ref233730240"/>
      <w:r>
        <w:t xml:space="preserve">Table </w:t>
      </w:r>
      <w:r>
        <w:fldChar w:fldCharType="begin"/>
      </w:r>
      <w:r>
        <w:instrText>SEQ Table \* ARABIC</w:instrText>
      </w:r>
      <w:r>
        <w:fldChar w:fldCharType="separate"/>
      </w:r>
      <w:r w:rsidR="00B90577">
        <w:rPr>
          <w:noProof/>
        </w:rPr>
        <w:t>14</w:t>
      </w:r>
      <w:r>
        <w:fldChar w:fldCharType="end"/>
      </w:r>
      <w:bookmarkEnd w:id="90"/>
      <w:r>
        <w:t xml:space="preserve"> - </w:t>
      </w:r>
      <w:r w:rsidRPr="00735F3B">
        <w:t xml:space="preserve">Comparison of proposed </w:t>
      </w:r>
      <w:r>
        <w:t xml:space="preserve">AI </w:t>
      </w:r>
      <w:r w:rsidRPr="00735F3B">
        <w:t>values alongside recommendations from comparable international jurisdictions</w:t>
      </w:r>
    </w:p>
    <w:tbl>
      <w:tblPr>
        <w:tblW w:w="9351"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Look w:val="04A0" w:firstRow="1" w:lastRow="0" w:firstColumn="1" w:lastColumn="0" w:noHBand="0" w:noVBand="1"/>
      </w:tblPr>
      <w:tblGrid>
        <w:gridCol w:w="1413"/>
        <w:gridCol w:w="1063"/>
        <w:gridCol w:w="1276"/>
        <w:gridCol w:w="1276"/>
        <w:gridCol w:w="1276"/>
        <w:gridCol w:w="1377"/>
        <w:gridCol w:w="1670"/>
      </w:tblGrid>
      <w:tr w:rsidR="00A87FCA" w:rsidRPr="00194EF5" w14:paraId="666D9233" w14:textId="77777777" w:rsidTr="00194EF5">
        <w:trPr>
          <w:cantSplit/>
          <w:trHeight w:val="1447"/>
        </w:trPr>
        <w:tc>
          <w:tcPr>
            <w:tcW w:w="1413" w:type="dxa"/>
            <w:shd w:val="clear" w:color="auto" w:fill="005F85"/>
            <w:vAlign w:val="center"/>
            <w:hideMark/>
          </w:tcPr>
          <w:p w14:paraId="0FA511FC"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Age (years)</w:t>
            </w:r>
          </w:p>
        </w:tc>
        <w:tc>
          <w:tcPr>
            <w:tcW w:w="1063" w:type="dxa"/>
            <w:shd w:val="clear" w:color="auto" w:fill="005F85"/>
            <w:vAlign w:val="center"/>
          </w:tcPr>
          <w:p w14:paraId="524228AD" w14:textId="1D6535A2"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Aust/NZ – Proposed AI</w:t>
            </w:r>
          </w:p>
          <w:p w14:paraId="4F1F45D8"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w:t>
            </w:r>
            <w:r w:rsidRPr="00194EF5">
              <w:rPr>
                <w:rFonts w:eastAsia="Times New Roman" w:cs="Times New Roman"/>
                <w:b/>
                <w:bCs/>
                <w:color w:val="FFFFFF"/>
                <w:sz w:val="18"/>
                <w:szCs w:val="18"/>
              </w:rPr>
              <w:t>mg/day)</w:t>
            </w:r>
          </w:p>
        </w:tc>
        <w:tc>
          <w:tcPr>
            <w:tcW w:w="1276" w:type="dxa"/>
            <w:shd w:val="clear" w:color="auto" w:fill="005F85"/>
            <w:vAlign w:val="center"/>
            <w:hideMark/>
          </w:tcPr>
          <w:p w14:paraId="7DC756DE"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Aust/NZ -Current</w:t>
            </w:r>
          </w:p>
          <w:p w14:paraId="635C75F6"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(NHMRC 2006)</w:t>
            </w:r>
          </w:p>
          <w:p w14:paraId="6D264D2F"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AI</w:t>
            </w:r>
          </w:p>
          <w:p w14:paraId="716BF6B6"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w:t>
            </w:r>
            <w:r w:rsidRPr="00194EF5">
              <w:rPr>
                <w:rFonts w:eastAsia="Times New Roman" w:cs="Times New Roman"/>
                <w:b/>
                <w:bCs/>
                <w:color w:val="FFFFFF"/>
                <w:sz w:val="18"/>
                <w:szCs w:val="18"/>
              </w:rPr>
              <w:t>mg/day)</w:t>
            </w:r>
          </w:p>
        </w:tc>
        <w:tc>
          <w:tcPr>
            <w:tcW w:w="1276" w:type="dxa"/>
            <w:shd w:val="clear" w:color="auto" w:fill="005F85"/>
            <w:vAlign w:val="center"/>
            <w:hideMark/>
          </w:tcPr>
          <w:p w14:paraId="55E4A106" w14:textId="4EC75208"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European Union</w:t>
            </w:r>
          </w:p>
          <w:p w14:paraId="3F02353A"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(EFSA 2019)</w:t>
            </w:r>
          </w:p>
          <w:p w14:paraId="52C0C7F0"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‘Safe and Adequate’</w:t>
            </w:r>
          </w:p>
          <w:p w14:paraId="48C3222C"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w:t>
            </w:r>
            <w:r w:rsidRPr="00194EF5">
              <w:rPr>
                <w:rFonts w:eastAsia="Times New Roman" w:cs="Times New Roman"/>
                <w:b/>
                <w:bCs/>
                <w:color w:val="FFFFFF"/>
                <w:sz w:val="18"/>
                <w:szCs w:val="18"/>
              </w:rPr>
              <w:t>mg/day)*</w:t>
            </w:r>
          </w:p>
        </w:tc>
        <w:tc>
          <w:tcPr>
            <w:tcW w:w="1276" w:type="dxa"/>
            <w:shd w:val="clear" w:color="auto" w:fill="005F85"/>
            <w:vAlign w:val="center"/>
          </w:tcPr>
          <w:p w14:paraId="0102BF9D" w14:textId="4FA2D000"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United States</w:t>
            </w:r>
          </w:p>
          <w:p w14:paraId="617DA467"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(NASEM 2018)</w:t>
            </w:r>
          </w:p>
          <w:p w14:paraId="2C18F05E"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AI</w:t>
            </w:r>
          </w:p>
          <w:p w14:paraId="53CA0922"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w:t>
            </w:r>
            <w:r w:rsidRPr="00194EF5">
              <w:rPr>
                <w:rFonts w:eastAsia="Times New Roman" w:cs="Times New Roman"/>
                <w:b/>
                <w:bCs/>
                <w:color w:val="FFFFFF"/>
                <w:sz w:val="18"/>
                <w:szCs w:val="18"/>
              </w:rPr>
              <w:t>mg/day)</w:t>
            </w:r>
          </w:p>
        </w:tc>
        <w:tc>
          <w:tcPr>
            <w:tcW w:w="1377" w:type="dxa"/>
            <w:shd w:val="clear" w:color="auto" w:fill="005F85"/>
            <w:vAlign w:val="center"/>
            <w:hideMark/>
          </w:tcPr>
          <w:p w14:paraId="08CD4608"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Nordic and Baltic</w:t>
            </w:r>
          </w:p>
          <w:p w14:paraId="46044ADE"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(NNR 2023)</w:t>
            </w:r>
          </w:p>
          <w:p w14:paraId="2DB8F5B3"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AI</w:t>
            </w:r>
          </w:p>
          <w:p w14:paraId="2BB69FB5"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w:t>
            </w:r>
            <w:r w:rsidRPr="00194EF5">
              <w:rPr>
                <w:rFonts w:eastAsia="Times New Roman" w:cs="Times New Roman"/>
                <w:b/>
                <w:bCs/>
                <w:color w:val="FFFFFF"/>
                <w:sz w:val="18"/>
                <w:szCs w:val="18"/>
              </w:rPr>
              <w:t>mg/day)</w:t>
            </w:r>
          </w:p>
        </w:tc>
        <w:tc>
          <w:tcPr>
            <w:tcW w:w="1670" w:type="dxa"/>
            <w:shd w:val="clear" w:color="auto" w:fill="005F85"/>
            <w:vAlign w:val="center"/>
          </w:tcPr>
          <w:p w14:paraId="1819A7C4"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Germany, Austria, Switzerland (DACH 2013)</w:t>
            </w:r>
          </w:p>
          <w:p w14:paraId="2B45C8D8"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AI</w:t>
            </w:r>
          </w:p>
          <w:p w14:paraId="2F36DA9D" w14:textId="77777777" w:rsidR="00A87FCA" w:rsidRPr="00194EF5" w:rsidRDefault="00A87FCA" w:rsidP="00580CF6">
            <w:pPr>
              <w:keepNext/>
              <w:spacing w:after="0" w:line="240" w:lineRule="auto"/>
              <w:jc w:val="center"/>
              <w:rPr>
                <w:rFonts w:eastAsia="Times New Roman" w:cs="Times New Roman"/>
                <w:b/>
                <w:bCs/>
                <w:color w:val="FFFFFF"/>
                <w:kern w:val="0"/>
                <w:sz w:val="18"/>
                <w:szCs w:val="18"/>
                <w:lang w:eastAsia="en-AU"/>
                <w14:ligatures w14:val="none"/>
              </w:rPr>
            </w:pPr>
            <w:r w:rsidRPr="00194EF5">
              <w:rPr>
                <w:rFonts w:eastAsia="Times New Roman" w:cs="Times New Roman"/>
                <w:b/>
                <w:bCs/>
                <w:color w:val="FFFFFF"/>
                <w:kern w:val="0"/>
                <w:sz w:val="18"/>
                <w:szCs w:val="18"/>
                <w:lang w:eastAsia="en-AU"/>
                <w14:ligatures w14:val="none"/>
              </w:rPr>
              <w:t>(</w:t>
            </w:r>
            <w:r w:rsidRPr="00194EF5">
              <w:rPr>
                <w:rFonts w:eastAsia="Times New Roman" w:cs="Times New Roman"/>
                <w:b/>
                <w:bCs/>
                <w:color w:val="FFFFFF"/>
                <w:sz w:val="18"/>
                <w:szCs w:val="18"/>
              </w:rPr>
              <w:t>mg/day)</w:t>
            </w:r>
          </w:p>
        </w:tc>
      </w:tr>
      <w:tr w:rsidR="007C1861" w:rsidRPr="00194EF5" w14:paraId="217D0F1F" w14:textId="77777777" w:rsidTr="00194EF5">
        <w:trPr>
          <w:cantSplit/>
          <w:trHeight w:val="300"/>
        </w:trPr>
        <w:tc>
          <w:tcPr>
            <w:tcW w:w="9351" w:type="dxa"/>
            <w:gridSpan w:val="7"/>
            <w:noWrap/>
            <w:vAlign w:val="center"/>
          </w:tcPr>
          <w:p w14:paraId="3DB34579" w14:textId="34127AB3" w:rsidR="007C1861" w:rsidRPr="00194EF5" w:rsidRDefault="007C1861" w:rsidP="00580CF6">
            <w:pPr>
              <w:spacing w:after="0" w:line="240" w:lineRule="auto"/>
              <w:rPr>
                <w:rFonts w:eastAsia="Times New Roman" w:cs="Times New Roman"/>
                <w:color w:val="000000"/>
                <w:kern w:val="0"/>
                <w:sz w:val="18"/>
                <w:szCs w:val="18"/>
                <w:lang w:eastAsia="en-AU"/>
                <w14:ligatures w14:val="none"/>
              </w:rPr>
            </w:pPr>
            <w:r w:rsidRPr="00194EF5">
              <w:rPr>
                <w:rFonts w:eastAsia="Times New Roman" w:cs="Times New Roman"/>
                <w:b/>
                <w:bCs/>
                <w:color w:val="000000"/>
                <w:kern w:val="0"/>
                <w:sz w:val="18"/>
                <w:szCs w:val="18"/>
                <w:lang w:eastAsia="en-AU"/>
                <w14:ligatures w14:val="none"/>
              </w:rPr>
              <w:t>Adults</w:t>
            </w:r>
          </w:p>
        </w:tc>
      </w:tr>
      <w:tr w:rsidR="007C1861" w:rsidRPr="00194EF5" w14:paraId="4B3669F8" w14:textId="77777777" w:rsidTr="00194EF5">
        <w:trPr>
          <w:cantSplit/>
          <w:trHeight w:val="198"/>
        </w:trPr>
        <w:tc>
          <w:tcPr>
            <w:tcW w:w="1413" w:type="dxa"/>
            <w:noWrap/>
            <w:vAlign w:val="center"/>
          </w:tcPr>
          <w:p w14:paraId="3BAEAAFD" w14:textId="165C19D7" w:rsidR="007C1861" w:rsidRPr="00194EF5" w:rsidRDefault="007C1861" w:rsidP="00580CF6">
            <w:pPr>
              <w:spacing w:after="0" w:line="240" w:lineRule="auto"/>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18 +years</w:t>
            </w:r>
          </w:p>
        </w:tc>
        <w:tc>
          <w:tcPr>
            <w:tcW w:w="1063" w:type="dxa"/>
            <w:vAlign w:val="center"/>
          </w:tcPr>
          <w:p w14:paraId="36E26F6C" w14:textId="3F679732" w:rsidR="007C1861" w:rsidRPr="00194EF5" w:rsidRDefault="007C1861"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920</w:t>
            </w:r>
          </w:p>
        </w:tc>
        <w:tc>
          <w:tcPr>
            <w:tcW w:w="1276" w:type="dxa"/>
            <w:noWrap/>
            <w:vAlign w:val="center"/>
          </w:tcPr>
          <w:p w14:paraId="27D94EF6" w14:textId="04201F3A" w:rsidR="007C1861" w:rsidRPr="00194EF5" w:rsidRDefault="007C1861"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460-920</w:t>
            </w:r>
          </w:p>
        </w:tc>
        <w:tc>
          <w:tcPr>
            <w:tcW w:w="1276" w:type="dxa"/>
            <w:noWrap/>
            <w:vAlign w:val="center"/>
          </w:tcPr>
          <w:p w14:paraId="56B70D35" w14:textId="5F5AA12D" w:rsidR="007C1861" w:rsidRPr="0050371D" w:rsidRDefault="007C1861" w:rsidP="00580CF6">
            <w:pPr>
              <w:spacing w:after="0" w:line="240" w:lineRule="auto"/>
              <w:jc w:val="center"/>
              <w:rPr>
                <w:rFonts w:eastAsia="Times New Roman" w:cs="Times New Roman"/>
                <w:color w:val="747474" w:themeColor="background2" w:themeShade="80"/>
                <w:kern w:val="0"/>
                <w:sz w:val="18"/>
                <w:szCs w:val="18"/>
                <w:lang w:eastAsia="en-AU"/>
                <w14:ligatures w14:val="none"/>
              </w:rPr>
            </w:pPr>
            <w:r w:rsidRPr="0050371D">
              <w:rPr>
                <w:rFonts w:eastAsia="Times New Roman" w:cs="Times New Roman"/>
                <w:color w:val="747474" w:themeColor="background2" w:themeShade="80"/>
                <w:kern w:val="0"/>
                <w:sz w:val="18"/>
                <w:szCs w:val="18"/>
                <w:lang w:eastAsia="en-AU"/>
                <w14:ligatures w14:val="none"/>
              </w:rPr>
              <w:t>2,000*</w:t>
            </w:r>
          </w:p>
        </w:tc>
        <w:tc>
          <w:tcPr>
            <w:tcW w:w="1276" w:type="dxa"/>
            <w:vAlign w:val="center"/>
          </w:tcPr>
          <w:p w14:paraId="47827BED" w14:textId="32E62286" w:rsidR="007C1861" w:rsidRPr="00194EF5" w:rsidRDefault="007C1861"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1,500</w:t>
            </w:r>
          </w:p>
        </w:tc>
        <w:tc>
          <w:tcPr>
            <w:tcW w:w="1377" w:type="dxa"/>
            <w:noWrap/>
            <w:vAlign w:val="center"/>
          </w:tcPr>
          <w:p w14:paraId="73D90C7C" w14:textId="41C74D17" w:rsidR="007C1861" w:rsidRPr="00194EF5" w:rsidRDefault="007C1861"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1,500</w:t>
            </w:r>
          </w:p>
        </w:tc>
        <w:tc>
          <w:tcPr>
            <w:tcW w:w="1670" w:type="dxa"/>
            <w:vAlign w:val="center"/>
          </w:tcPr>
          <w:p w14:paraId="68C0E5A2" w14:textId="15E5401A" w:rsidR="007C1861" w:rsidRPr="00194EF5" w:rsidRDefault="007C1861"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1,500^</w:t>
            </w:r>
          </w:p>
        </w:tc>
      </w:tr>
      <w:tr w:rsidR="007C1861" w:rsidRPr="00194EF5" w14:paraId="68518885" w14:textId="77777777" w:rsidTr="00194EF5">
        <w:trPr>
          <w:cantSplit/>
          <w:trHeight w:val="300"/>
        </w:trPr>
        <w:tc>
          <w:tcPr>
            <w:tcW w:w="9351" w:type="dxa"/>
            <w:gridSpan w:val="7"/>
            <w:noWrap/>
            <w:vAlign w:val="center"/>
          </w:tcPr>
          <w:p w14:paraId="2CA59BAA" w14:textId="6C4EF917" w:rsidR="007C1861" w:rsidRPr="00194EF5" w:rsidRDefault="007C1861" w:rsidP="00580CF6">
            <w:pPr>
              <w:spacing w:after="0" w:line="240" w:lineRule="auto"/>
              <w:rPr>
                <w:rFonts w:eastAsia="Times New Roman" w:cs="Times New Roman"/>
                <w:color w:val="000000"/>
                <w:kern w:val="0"/>
                <w:sz w:val="18"/>
                <w:szCs w:val="18"/>
                <w:lang w:eastAsia="en-AU"/>
                <w14:ligatures w14:val="none"/>
              </w:rPr>
            </w:pPr>
            <w:r w:rsidRPr="00194EF5">
              <w:rPr>
                <w:rFonts w:eastAsia="Times New Roman" w:cs="Times New Roman"/>
                <w:b/>
                <w:bCs/>
                <w:color w:val="000000"/>
                <w:kern w:val="0"/>
                <w:sz w:val="18"/>
                <w:szCs w:val="18"/>
                <w:lang w:eastAsia="en-AU"/>
                <w14:ligatures w14:val="none"/>
              </w:rPr>
              <w:t>Children and adolescents</w:t>
            </w:r>
          </w:p>
        </w:tc>
      </w:tr>
      <w:tr w:rsidR="00520F27" w:rsidRPr="00194EF5" w14:paraId="54D0A3FA" w14:textId="77777777" w:rsidTr="00194EF5">
        <w:trPr>
          <w:cantSplit/>
          <w:trHeight w:val="219"/>
        </w:trPr>
        <w:tc>
          <w:tcPr>
            <w:tcW w:w="1413" w:type="dxa"/>
            <w:noWrap/>
            <w:vAlign w:val="center"/>
          </w:tcPr>
          <w:p w14:paraId="0C7BE587" w14:textId="38A94E76"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1 yr</w:t>
            </w:r>
          </w:p>
        </w:tc>
        <w:tc>
          <w:tcPr>
            <w:tcW w:w="1063" w:type="dxa"/>
            <w:vMerge w:val="restart"/>
            <w:vAlign w:val="center"/>
          </w:tcPr>
          <w:p w14:paraId="082132B4" w14:textId="63EF8D12"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400</w:t>
            </w:r>
          </w:p>
        </w:tc>
        <w:tc>
          <w:tcPr>
            <w:tcW w:w="1276" w:type="dxa"/>
            <w:vMerge w:val="restart"/>
            <w:noWrap/>
            <w:vAlign w:val="center"/>
          </w:tcPr>
          <w:p w14:paraId="7CA2E1E1" w14:textId="0BBEEAA0"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200-400</w:t>
            </w:r>
          </w:p>
        </w:tc>
        <w:tc>
          <w:tcPr>
            <w:tcW w:w="1276" w:type="dxa"/>
            <w:vMerge w:val="restart"/>
            <w:noWrap/>
            <w:vAlign w:val="center"/>
          </w:tcPr>
          <w:p w14:paraId="0FC06150" w14:textId="0687E140" w:rsidR="00520F27" w:rsidRPr="0050371D" w:rsidRDefault="00520F27" w:rsidP="00580CF6">
            <w:pPr>
              <w:spacing w:after="0" w:line="240" w:lineRule="auto"/>
              <w:jc w:val="center"/>
              <w:rPr>
                <w:rFonts w:eastAsia="Times New Roman" w:cs="Times New Roman"/>
                <w:color w:val="747474" w:themeColor="background2" w:themeShade="80"/>
                <w:kern w:val="0"/>
                <w:sz w:val="18"/>
                <w:szCs w:val="18"/>
                <w:lang w:eastAsia="en-AU"/>
                <w14:ligatures w14:val="none"/>
              </w:rPr>
            </w:pPr>
            <w:r w:rsidRPr="0050371D">
              <w:rPr>
                <w:rFonts w:eastAsia="Times New Roman" w:cs="Times New Roman"/>
                <w:color w:val="747474" w:themeColor="background2" w:themeShade="80"/>
                <w:kern w:val="0"/>
                <w:sz w:val="18"/>
                <w:szCs w:val="18"/>
                <w:lang w:eastAsia="en-AU"/>
                <w14:ligatures w14:val="none"/>
              </w:rPr>
              <w:t>1,100</w:t>
            </w:r>
          </w:p>
        </w:tc>
        <w:tc>
          <w:tcPr>
            <w:tcW w:w="1276" w:type="dxa"/>
            <w:vMerge w:val="restart"/>
            <w:vAlign w:val="center"/>
          </w:tcPr>
          <w:p w14:paraId="6261F52E" w14:textId="0C73AE2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800</w:t>
            </w:r>
          </w:p>
        </w:tc>
        <w:tc>
          <w:tcPr>
            <w:tcW w:w="1377" w:type="dxa"/>
            <w:vMerge w:val="restart"/>
            <w:noWrap/>
            <w:vAlign w:val="center"/>
          </w:tcPr>
          <w:p w14:paraId="6307CB9D" w14:textId="22BF517B"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Not set or not reported</w:t>
            </w:r>
          </w:p>
        </w:tc>
        <w:tc>
          <w:tcPr>
            <w:tcW w:w="1670" w:type="dxa"/>
            <w:vMerge w:val="restart"/>
            <w:vAlign w:val="center"/>
          </w:tcPr>
          <w:p w14:paraId="3D1B2113" w14:textId="7B6272B3"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400</w:t>
            </w:r>
          </w:p>
        </w:tc>
      </w:tr>
      <w:tr w:rsidR="00520F27" w:rsidRPr="00194EF5" w14:paraId="290EB385" w14:textId="77777777" w:rsidTr="00194EF5">
        <w:trPr>
          <w:cantSplit/>
          <w:trHeight w:val="300"/>
        </w:trPr>
        <w:tc>
          <w:tcPr>
            <w:tcW w:w="1413" w:type="dxa"/>
            <w:noWrap/>
            <w:vAlign w:val="center"/>
          </w:tcPr>
          <w:p w14:paraId="782AF7A3" w14:textId="5233E8AC"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2 yr</w:t>
            </w:r>
          </w:p>
        </w:tc>
        <w:tc>
          <w:tcPr>
            <w:tcW w:w="1063" w:type="dxa"/>
            <w:vMerge/>
            <w:vAlign w:val="center"/>
          </w:tcPr>
          <w:p w14:paraId="236B29D8"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6131003C"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2FE2E38D" w14:textId="77777777" w:rsidR="00520F27" w:rsidRPr="00194EF5" w:rsidRDefault="00520F27" w:rsidP="00580CF6">
            <w:pPr>
              <w:spacing w:after="0" w:line="240" w:lineRule="auto"/>
              <w:jc w:val="center"/>
              <w:rPr>
                <w:rFonts w:eastAsia="Times New Roman" w:cs="Times New Roman"/>
                <w:color w:val="ADADAD" w:themeColor="background2" w:themeShade="BF"/>
                <w:kern w:val="0"/>
                <w:sz w:val="18"/>
                <w:szCs w:val="18"/>
                <w:lang w:eastAsia="en-AU"/>
                <w14:ligatures w14:val="none"/>
              </w:rPr>
            </w:pPr>
          </w:p>
        </w:tc>
        <w:tc>
          <w:tcPr>
            <w:tcW w:w="1276" w:type="dxa"/>
            <w:vMerge/>
            <w:vAlign w:val="center"/>
          </w:tcPr>
          <w:p w14:paraId="2E406553"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377" w:type="dxa"/>
            <w:vMerge/>
            <w:noWrap/>
            <w:vAlign w:val="center"/>
          </w:tcPr>
          <w:p w14:paraId="777BF777"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670" w:type="dxa"/>
            <w:vMerge/>
            <w:vAlign w:val="center"/>
          </w:tcPr>
          <w:p w14:paraId="69D19A05"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r>
      <w:tr w:rsidR="00520F27" w:rsidRPr="00194EF5" w14:paraId="58D495D5" w14:textId="77777777" w:rsidTr="00194EF5">
        <w:trPr>
          <w:cantSplit/>
          <w:trHeight w:val="300"/>
        </w:trPr>
        <w:tc>
          <w:tcPr>
            <w:tcW w:w="1413" w:type="dxa"/>
            <w:noWrap/>
            <w:vAlign w:val="center"/>
          </w:tcPr>
          <w:p w14:paraId="2FF32686" w14:textId="2C71E63A"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3 yr</w:t>
            </w:r>
          </w:p>
        </w:tc>
        <w:tc>
          <w:tcPr>
            <w:tcW w:w="1063" w:type="dxa"/>
            <w:vMerge/>
            <w:vAlign w:val="center"/>
          </w:tcPr>
          <w:p w14:paraId="1E19A777"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593A5054"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2D288706" w14:textId="77777777" w:rsidR="00520F27" w:rsidRPr="00194EF5" w:rsidRDefault="00520F27" w:rsidP="00580CF6">
            <w:pPr>
              <w:spacing w:after="0" w:line="240" w:lineRule="auto"/>
              <w:jc w:val="center"/>
              <w:rPr>
                <w:rFonts w:eastAsia="Times New Roman" w:cs="Times New Roman"/>
                <w:color w:val="ADADAD" w:themeColor="background2" w:themeShade="BF"/>
                <w:kern w:val="0"/>
                <w:sz w:val="18"/>
                <w:szCs w:val="18"/>
                <w:lang w:eastAsia="en-AU"/>
                <w14:ligatures w14:val="none"/>
              </w:rPr>
            </w:pPr>
          </w:p>
        </w:tc>
        <w:tc>
          <w:tcPr>
            <w:tcW w:w="1276" w:type="dxa"/>
            <w:vMerge/>
            <w:vAlign w:val="center"/>
          </w:tcPr>
          <w:p w14:paraId="06D0C939"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377" w:type="dxa"/>
            <w:vMerge/>
            <w:noWrap/>
            <w:vAlign w:val="center"/>
          </w:tcPr>
          <w:p w14:paraId="12C45398"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670" w:type="dxa"/>
            <w:vMerge/>
            <w:vAlign w:val="center"/>
          </w:tcPr>
          <w:p w14:paraId="10C7B76D"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r>
      <w:tr w:rsidR="00520F27" w:rsidRPr="00194EF5" w14:paraId="4380809B" w14:textId="77777777" w:rsidTr="00194EF5">
        <w:trPr>
          <w:cantSplit/>
          <w:trHeight w:val="300"/>
        </w:trPr>
        <w:tc>
          <w:tcPr>
            <w:tcW w:w="1413" w:type="dxa"/>
            <w:noWrap/>
            <w:vAlign w:val="center"/>
          </w:tcPr>
          <w:p w14:paraId="6E11DC3B" w14:textId="289A0D72"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4 yr</w:t>
            </w:r>
          </w:p>
        </w:tc>
        <w:tc>
          <w:tcPr>
            <w:tcW w:w="1063" w:type="dxa"/>
            <w:vMerge w:val="restart"/>
            <w:vAlign w:val="center"/>
          </w:tcPr>
          <w:p w14:paraId="3E3AA37E" w14:textId="152545E4"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600</w:t>
            </w:r>
          </w:p>
        </w:tc>
        <w:tc>
          <w:tcPr>
            <w:tcW w:w="1276" w:type="dxa"/>
            <w:vMerge w:val="restart"/>
            <w:noWrap/>
            <w:vAlign w:val="center"/>
          </w:tcPr>
          <w:p w14:paraId="6A9EED84" w14:textId="50D99312"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300-600</w:t>
            </w:r>
          </w:p>
        </w:tc>
        <w:tc>
          <w:tcPr>
            <w:tcW w:w="1276" w:type="dxa"/>
            <w:vMerge w:val="restart"/>
            <w:noWrap/>
            <w:vAlign w:val="center"/>
          </w:tcPr>
          <w:p w14:paraId="6E0ACB80" w14:textId="322D75EC" w:rsidR="00520F27" w:rsidRPr="0050371D" w:rsidRDefault="00520F27" w:rsidP="00580CF6">
            <w:pPr>
              <w:spacing w:after="0" w:line="240" w:lineRule="auto"/>
              <w:jc w:val="center"/>
              <w:rPr>
                <w:rFonts w:eastAsia="Times New Roman" w:cs="Times New Roman"/>
                <w:color w:val="747474" w:themeColor="background2" w:themeShade="80"/>
                <w:kern w:val="0"/>
                <w:sz w:val="18"/>
                <w:szCs w:val="18"/>
                <w:lang w:eastAsia="en-AU"/>
                <w14:ligatures w14:val="none"/>
              </w:rPr>
            </w:pPr>
            <w:r w:rsidRPr="0050371D">
              <w:rPr>
                <w:rFonts w:eastAsia="Times New Roman" w:cs="Times New Roman"/>
                <w:color w:val="747474" w:themeColor="background2" w:themeShade="80"/>
                <w:kern w:val="0"/>
                <w:sz w:val="18"/>
                <w:szCs w:val="18"/>
                <w:lang w:eastAsia="en-AU"/>
                <w14:ligatures w14:val="none"/>
              </w:rPr>
              <w:t>1,300</w:t>
            </w:r>
          </w:p>
        </w:tc>
        <w:tc>
          <w:tcPr>
            <w:tcW w:w="1276" w:type="dxa"/>
            <w:vMerge w:val="restart"/>
            <w:vAlign w:val="center"/>
          </w:tcPr>
          <w:p w14:paraId="2F2DD294" w14:textId="47D6FAED"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1,000</w:t>
            </w:r>
          </w:p>
        </w:tc>
        <w:tc>
          <w:tcPr>
            <w:tcW w:w="1377" w:type="dxa"/>
            <w:vMerge/>
            <w:noWrap/>
            <w:vAlign w:val="center"/>
          </w:tcPr>
          <w:p w14:paraId="0BF452F5"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670" w:type="dxa"/>
            <w:vMerge w:val="restart"/>
            <w:vAlign w:val="center"/>
          </w:tcPr>
          <w:p w14:paraId="371F36A7" w14:textId="27307688"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500</w:t>
            </w:r>
          </w:p>
        </w:tc>
      </w:tr>
      <w:tr w:rsidR="00520F27" w:rsidRPr="00194EF5" w14:paraId="0B2A7179" w14:textId="77777777" w:rsidTr="00194EF5">
        <w:trPr>
          <w:cantSplit/>
          <w:trHeight w:val="300"/>
        </w:trPr>
        <w:tc>
          <w:tcPr>
            <w:tcW w:w="1413" w:type="dxa"/>
            <w:noWrap/>
            <w:vAlign w:val="center"/>
          </w:tcPr>
          <w:p w14:paraId="26856565" w14:textId="3902A81B"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5 yr</w:t>
            </w:r>
          </w:p>
        </w:tc>
        <w:tc>
          <w:tcPr>
            <w:tcW w:w="1063" w:type="dxa"/>
            <w:vMerge/>
            <w:vAlign w:val="center"/>
          </w:tcPr>
          <w:p w14:paraId="668F8A16"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2BB16940"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501F8E5F" w14:textId="77777777" w:rsidR="00520F27" w:rsidRPr="00194EF5" w:rsidRDefault="00520F27" w:rsidP="00580CF6">
            <w:pPr>
              <w:spacing w:after="0" w:line="240" w:lineRule="auto"/>
              <w:jc w:val="center"/>
              <w:rPr>
                <w:rFonts w:eastAsia="Times New Roman" w:cs="Times New Roman"/>
                <w:color w:val="ADADAD" w:themeColor="background2" w:themeShade="BF"/>
                <w:kern w:val="0"/>
                <w:sz w:val="18"/>
                <w:szCs w:val="18"/>
                <w:lang w:eastAsia="en-AU"/>
                <w14:ligatures w14:val="none"/>
              </w:rPr>
            </w:pPr>
          </w:p>
        </w:tc>
        <w:tc>
          <w:tcPr>
            <w:tcW w:w="1276" w:type="dxa"/>
            <w:vMerge/>
            <w:vAlign w:val="center"/>
          </w:tcPr>
          <w:p w14:paraId="65A5AF59"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377" w:type="dxa"/>
            <w:vMerge/>
            <w:noWrap/>
            <w:vAlign w:val="center"/>
          </w:tcPr>
          <w:p w14:paraId="2044C532"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670" w:type="dxa"/>
            <w:vMerge/>
            <w:vAlign w:val="center"/>
          </w:tcPr>
          <w:p w14:paraId="094DDD2B"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r>
      <w:tr w:rsidR="00520F27" w:rsidRPr="00194EF5" w14:paraId="5DF3EBDE" w14:textId="77777777" w:rsidTr="00194EF5">
        <w:trPr>
          <w:cantSplit/>
          <w:trHeight w:val="300"/>
        </w:trPr>
        <w:tc>
          <w:tcPr>
            <w:tcW w:w="1413" w:type="dxa"/>
            <w:noWrap/>
            <w:vAlign w:val="center"/>
          </w:tcPr>
          <w:p w14:paraId="56CA08FA" w14:textId="35F7D78B"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6 yr</w:t>
            </w:r>
          </w:p>
        </w:tc>
        <w:tc>
          <w:tcPr>
            <w:tcW w:w="1063" w:type="dxa"/>
            <w:vMerge/>
            <w:vAlign w:val="center"/>
          </w:tcPr>
          <w:p w14:paraId="1FC73E0E"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39A473C1"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74F996B1" w14:textId="77777777" w:rsidR="00520F27" w:rsidRPr="00194EF5" w:rsidRDefault="00520F27" w:rsidP="00580CF6">
            <w:pPr>
              <w:spacing w:after="0" w:line="240" w:lineRule="auto"/>
              <w:jc w:val="center"/>
              <w:rPr>
                <w:rFonts w:eastAsia="Times New Roman" w:cs="Times New Roman"/>
                <w:color w:val="ADADAD" w:themeColor="background2" w:themeShade="BF"/>
                <w:kern w:val="0"/>
                <w:sz w:val="18"/>
                <w:szCs w:val="18"/>
                <w:lang w:eastAsia="en-AU"/>
                <w14:ligatures w14:val="none"/>
              </w:rPr>
            </w:pPr>
          </w:p>
        </w:tc>
        <w:tc>
          <w:tcPr>
            <w:tcW w:w="1276" w:type="dxa"/>
            <w:vMerge/>
            <w:vAlign w:val="center"/>
          </w:tcPr>
          <w:p w14:paraId="2616ED81"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377" w:type="dxa"/>
            <w:vMerge/>
            <w:noWrap/>
            <w:vAlign w:val="center"/>
          </w:tcPr>
          <w:p w14:paraId="58A2223D"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670" w:type="dxa"/>
            <w:vMerge/>
            <w:vAlign w:val="center"/>
          </w:tcPr>
          <w:p w14:paraId="5F0856B9"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r>
      <w:tr w:rsidR="00520F27" w:rsidRPr="00194EF5" w14:paraId="068EE568" w14:textId="77777777" w:rsidTr="00194EF5">
        <w:trPr>
          <w:cantSplit/>
          <w:trHeight w:val="300"/>
        </w:trPr>
        <w:tc>
          <w:tcPr>
            <w:tcW w:w="1413" w:type="dxa"/>
            <w:noWrap/>
            <w:vAlign w:val="center"/>
          </w:tcPr>
          <w:p w14:paraId="36C1E52F" w14:textId="0014D122"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7 yr</w:t>
            </w:r>
          </w:p>
        </w:tc>
        <w:tc>
          <w:tcPr>
            <w:tcW w:w="1063" w:type="dxa"/>
            <w:vMerge/>
            <w:vAlign w:val="center"/>
          </w:tcPr>
          <w:p w14:paraId="4782031B"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61BE0424"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val="restart"/>
            <w:noWrap/>
            <w:vAlign w:val="center"/>
          </w:tcPr>
          <w:p w14:paraId="51B1B10B" w14:textId="3CC121DF" w:rsidR="00520F27" w:rsidRPr="0050371D" w:rsidRDefault="00520F27" w:rsidP="00580CF6">
            <w:pPr>
              <w:spacing w:after="0" w:line="240" w:lineRule="auto"/>
              <w:jc w:val="center"/>
              <w:rPr>
                <w:rFonts w:eastAsia="Times New Roman" w:cs="Times New Roman"/>
                <w:color w:val="747474" w:themeColor="background2" w:themeShade="80"/>
                <w:kern w:val="0"/>
                <w:sz w:val="18"/>
                <w:szCs w:val="18"/>
                <w:lang w:eastAsia="en-AU"/>
                <w14:ligatures w14:val="none"/>
              </w:rPr>
            </w:pPr>
            <w:r w:rsidRPr="0050371D">
              <w:rPr>
                <w:rFonts w:eastAsia="Times New Roman" w:cs="Times New Roman"/>
                <w:color w:val="747474" w:themeColor="background2" w:themeShade="80"/>
                <w:kern w:val="0"/>
                <w:sz w:val="18"/>
                <w:szCs w:val="18"/>
                <w:lang w:eastAsia="en-AU"/>
                <w14:ligatures w14:val="none"/>
              </w:rPr>
              <w:t>1,700</w:t>
            </w:r>
          </w:p>
        </w:tc>
        <w:tc>
          <w:tcPr>
            <w:tcW w:w="1276" w:type="dxa"/>
            <w:vMerge/>
            <w:vAlign w:val="center"/>
          </w:tcPr>
          <w:p w14:paraId="28E1D647"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377" w:type="dxa"/>
            <w:vMerge/>
            <w:noWrap/>
            <w:vAlign w:val="center"/>
          </w:tcPr>
          <w:p w14:paraId="7AE62F1E"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670" w:type="dxa"/>
            <w:vMerge w:val="restart"/>
            <w:vAlign w:val="center"/>
          </w:tcPr>
          <w:p w14:paraId="6BAA7D1E" w14:textId="36AC8913"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750</w:t>
            </w:r>
          </w:p>
        </w:tc>
      </w:tr>
      <w:tr w:rsidR="00520F27" w:rsidRPr="00194EF5" w14:paraId="3D95274E" w14:textId="77777777" w:rsidTr="00194EF5">
        <w:trPr>
          <w:cantSplit/>
          <w:trHeight w:val="300"/>
        </w:trPr>
        <w:tc>
          <w:tcPr>
            <w:tcW w:w="1413" w:type="dxa"/>
            <w:noWrap/>
            <w:vAlign w:val="center"/>
          </w:tcPr>
          <w:p w14:paraId="29137A36" w14:textId="39A7AC77"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8 yr</w:t>
            </w:r>
          </w:p>
        </w:tc>
        <w:tc>
          <w:tcPr>
            <w:tcW w:w="1063" w:type="dxa"/>
            <w:vMerge/>
            <w:vAlign w:val="center"/>
          </w:tcPr>
          <w:p w14:paraId="6B44348B"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32A0AAEA"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58C99492" w14:textId="77777777" w:rsidR="00520F27" w:rsidRPr="00194EF5" w:rsidRDefault="00520F27" w:rsidP="00580CF6">
            <w:pPr>
              <w:spacing w:after="0" w:line="240" w:lineRule="auto"/>
              <w:jc w:val="center"/>
              <w:rPr>
                <w:rFonts w:eastAsia="Times New Roman" w:cs="Times New Roman"/>
                <w:color w:val="ADADAD" w:themeColor="background2" w:themeShade="BF"/>
                <w:kern w:val="0"/>
                <w:sz w:val="18"/>
                <w:szCs w:val="18"/>
                <w:lang w:eastAsia="en-AU"/>
                <w14:ligatures w14:val="none"/>
              </w:rPr>
            </w:pPr>
          </w:p>
        </w:tc>
        <w:tc>
          <w:tcPr>
            <w:tcW w:w="1276" w:type="dxa"/>
            <w:vMerge/>
            <w:vAlign w:val="center"/>
          </w:tcPr>
          <w:p w14:paraId="48557C68"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377" w:type="dxa"/>
            <w:vMerge/>
            <w:noWrap/>
            <w:vAlign w:val="center"/>
          </w:tcPr>
          <w:p w14:paraId="129273AE"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670" w:type="dxa"/>
            <w:vMerge/>
            <w:vAlign w:val="center"/>
          </w:tcPr>
          <w:p w14:paraId="176CA225"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r>
      <w:tr w:rsidR="00520F27" w:rsidRPr="00194EF5" w14:paraId="28C5FCDA" w14:textId="77777777" w:rsidTr="00194EF5">
        <w:trPr>
          <w:cantSplit/>
          <w:trHeight w:val="300"/>
        </w:trPr>
        <w:tc>
          <w:tcPr>
            <w:tcW w:w="1413" w:type="dxa"/>
            <w:noWrap/>
            <w:vAlign w:val="center"/>
          </w:tcPr>
          <w:p w14:paraId="6506D752" w14:textId="70902406"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9 yr</w:t>
            </w:r>
          </w:p>
        </w:tc>
        <w:tc>
          <w:tcPr>
            <w:tcW w:w="1063" w:type="dxa"/>
            <w:vMerge w:val="restart"/>
            <w:vAlign w:val="center"/>
          </w:tcPr>
          <w:p w14:paraId="527F5927" w14:textId="129B084A"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800</w:t>
            </w:r>
          </w:p>
        </w:tc>
        <w:tc>
          <w:tcPr>
            <w:tcW w:w="1276" w:type="dxa"/>
            <w:vMerge w:val="restart"/>
            <w:noWrap/>
            <w:vAlign w:val="center"/>
          </w:tcPr>
          <w:p w14:paraId="7A8C0A60" w14:textId="3944CEC3"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400-800</w:t>
            </w:r>
          </w:p>
        </w:tc>
        <w:tc>
          <w:tcPr>
            <w:tcW w:w="1276" w:type="dxa"/>
            <w:vMerge/>
            <w:noWrap/>
            <w:vAlign w:val="center"/>
          </w:tcPr>
          <w:p w14:paraId="69770394" w14:textId="77777777" w:rsidR="00520F27" w:rsidRPr="00194EF5" w:rsidRDefault="00520F27" w:rsidP="00580CF6">
            <w:pPr>
              <w:spacing w:after="0" w:line="240" w:lineRule="auto"/>
              <w:jc w:val="center"/>
              <w:rPr>
                <w:rFonts w:eastAsia="Times New Roman" w:cs="Times New Roman"/>
                <w:color w:val="ADADAD" w:themeColor="background2" w:themeShade="BF"/>
                <w:kern w:val="0"/>
                <w:sz w:val="18"/>
                <w:szCs w:val="18"/>
                <w:lang w:eastAsia="en-AU"/>
                <w14:ligatures w14:val="none"/>
              </w:rPr>
            </w:pPr>
          </w:p>
        </w:tc>
        <w:tc>
          <w:tcPr>
            <w:tcW w:w="1276" w:type="dxa"/>
            <w:vMerge w:val="restart"/>
            <w:vAlign w:val="center"/>
          </w:tcPr>
          <w:p w14:paraId="15D1249A" w14:textId="7BA6C4C0"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1,200</w:t>
            </w:r>
          </w:p>
        </w:tc>
        <w:tc>
          <w:tcPr>
            <w:tcW w:w="1377" w:type="dxa"/>
            <w:vMerge/>
            <w:noWrap/>
            <w:vAlign w:val="center"/>
          </w:tcPr>
          <w:p w14:paraId="1375E7A3"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670" w:type="dxa"/>
            <w:vMerge/>
            <w:vAlign w:val="center"/>
          </w:tcPr>
          <w:p w14:paraId="2D441AD4"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r>
      <w:tr w:rsidR="00520F27" w:rsidRPr="00194EF5" w14:paraId="1B725736" w14:textId="77777777" w:rsidTr="00194EF5">
        <w:trPr>
          <w:cantSplit/>
          <w:trHeight w:val="300"/>
        </w:trPr>
        <w:tc>
          <w:tcPr>
            <w:tcW w:w="1413" w:type="dxa"/>
            <w:noWrap/>
            <w:vAlign w:val="center"/>
          </w:tcPr>
          <w:p w14:paraId="170CB0FE" w14:textId="64C2FD01"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10 yr</w:t>
            </w:r>
          </w:p>
        </w:tc>
        <w:tc>
          <w:tcPr>
            <w:tcW w:w="1063" w:type="dxa"/>
            <w:vMerge/>
            <w:vAlign w:val="center"/>
          </w:tcPr>
          <w:p w14:paraId="5CEEBF10"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4E24AAE5"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6FBCE41D" w14:textId="77777777" w:rsidR="00520F27" w:rsidRPr="00194EF5" w:rsidRDefault="00520F27" w:rsidP="00580CF6">
            <w:pPr>
              <w:spacing w:after="0" w:line="240" w:lineRule="auto"/>
              <w:jc w:val="center"/>
              <w:rPr>
                <w:rFonts w:eastAsia="Times New Roman" w:cs="Times New Roman"/>
                <w:color w:val="ADADAD" w:themeColor="background2" w:themeShade="BF"/>
                <w:kern w:val="0"/>
                <w:sz w:val="18"/>
                <w:szCs w:val="18"/>
                <w:lang w:eastAsia="en-AU"/>
                <w14:ligatures w14:val="none"/>
              </w:rPr>
            </w:pPr>
          </w:p>
        </w:tc>
        <w:tc>
          <w:tcPr>
            <w:tcW w:w="1276" w:type="dxa"/>
            <w:vMerge/>
            <w:vAlign w:val="center"/>
          </w:tcPr>
          <w:p w14:paraId="3C880CF8"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377" w:type="dxa"/>
            <w:vMerge/>
            <w:noWrap/>
            <w:vAlign w:val="center"/>
          </w:tcPr>
          <w:p w14:paraId="4A66573E"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670" w:type="dxa"/>
            <w:vMerge w:val="restart"/>
            <w:vAlign w:val="center"/>
          </w:tcPr>
          <w:p w14:paraId="532DB47F" w14:textId="421EE619"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1,100</w:t>
            </w:r>
          </w:p>
        </w:tc>
      </w:tr>
      <w:tr w:rsidR="00520F27" w:rsidRPr="00194EF5" w14:paraId="00E6AA94" w14:textId="77777777" w:rsidTr="00194EF5">
        <w:trPr>
          <w:cantSplit/>
          <w:trHeight w:val="300"/>
        </w:trPr>
        <w:tc>
          <w:tcPr>
            <w:tcW w:w="1413" w:type="dxa"/>
            <w:noWrap/>
            <w:vAlign w:val="center"/>
          </w:tcPr>
          <w:p w14:paraId="7F564A53" w14:textId="2770EEE6"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11 yr</w:t>
            </w:r>
          </w:p>
        </w:tc>
        <w:tc>
          <w:tcPr>
            <w:tcW w:w="1063" w:type="dxa"/>
            <w:vMerge/>
            <w:vAlign w:val="center"/>
          </w:tcPr>
          <w:p w14:paraId="2C6E4671"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1D91334C"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val="restart"/>
            <w:noWrap/>
            <w:vAlign w:val="center"/>
          </w:tcPr>
          <w:p w14:paraId="6669A0B5" w14:textId="2D8EF135" w:rsidR="00520F27" w:rsidRPr="0050371D" w:rsidRDefault="00520F27" w:rsidP="00580CF6">
            <w:pPr>
              <w:spacing w:after="0" w:line="240" w:lineRule="auto"/>
              <w:jc w:val="center"/>
              <w:rPr>
                <w:rFonts w:eastAsia="Times New Roman" w:cs="Times New Roman"/>
                <w:color w:val="747474" w:themeColor="background2" w:themeShade="80"/>
                <w:kern w:val="0"/>
                <w:sz w:val="18"/>
                <w:szCs w:val="18"/>
                <w:lang w:eastAsia="en-AU"/>
                <w14:ligatures w14:val="none"/>
              </w:rPr>
            </w:pPr>
            <w:r w:rsidRPr="0050371D">
              <w:rPr>
                <w:rFonts w:eastAsia="Times New Roman" w:cs="Times New Roman"/>
                <w:color w:val="747474" w:themeColor="background2" w:themeShade="80"/>
                <w:kern w:val="0"/>
                <w:sz w:val="18"/>
                <w:szCs w:val="18"/>
                <w:lang w:eastAsia="en-AU"/>
                <w14:ligatures w14:val="none"/>
              </w:rPr>
              <w:t>2,000</w:t>
            </w:r>
          </w:p>
        </w:tc>
        <w:tc>
          <w:tcPr>
            <w:tcW w:w="1276" w:type="dxa"/>
            <w:vMerge/>
            <w:vAlign w:val="center"/>
          </w:tcPr>
          <w:p w14:paraId="7D471F22"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377" w:type="dxa"/>
            <w:vMerge/>
            <w:noWrap/>
            <w:vAlign w:val="center"/>
          </w:tcPr>
          <w:p w14:paraId="2C826452"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670" w:type="dxa"/>
            <w:vMerge/>
            <w:vAlign w:val="center"/>
          </w:tcPr>
          <w:p w14:paraId="214F7921"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r>
      <w:tr w:rsidR="00520F27" w:rsidRPr="00194EF5" w14:paraId="620F3F16" w14:textId="77777777" w:rsidTr="00194EF5">
        <w:trPr>
          <w:cantSplit/>
          <w:trHeight w:val="300"/>
        </w:trPr>
        <w:tc>
          <w:tcPr>
            <w:tcW w:w="1413" w:type="dxa"/>
            <w:noWrap/>
            <w:vAlign w:val="center"/>
          </w:tcPr>
          <w:p w14:paraId="013A0463" w14:textId="3289B7BC"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12 yr</w:t>
            </w:r>
          </w:p>
        </w:tc>
        <w:tc>
          <w:tcPr>
            <w:tcW w:w="1063" w:type="dxa"/>
            <w:vMerge/>
            <w:vAlign w:val="center"/>
          </w:tcPr>
          <w:p w14:paraId="29C6F3A0"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507D1AAA"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6A74D36B" w14:textId="77777777" w:rsidR="00520F27" w:rsidRPr="00194EF5" w:rsidRDefault="00520F27" w:rsidP="00580CF6">
            <w:pPr>
              <w:spacing w:after="0" w:line="240" w:lineRule="auto"/>
              <w:jc w:val="center"/>
              <w:rPr>
                <w:rFonts w:eastAsia="Times New Roman" w:cs="Times New Roman"/>
                <w:color w:val="ADADAD" w:themeColor="background2" w:themeShade="BF"/>
                <w:kern w:val="0"/>
                <w:sz w:val="18"/>
                <w:szCs w:val="18"/>
                <w:lang w:eastAsia="en-AU"/>
                <w14:ligatures w14:val="none"/>
              </w:rPr>
            </w:pPr>
          </w:p>
        </w:tc>
        <w:tc>
          <w:tcPr>
            <w:tcW w:w="1276" w:type="dxa"/>
            <w:vMerge/>
            <w:vAlign w:val="center"/>
          </w:tcPr>
          <w:p w14:paraId="1EDFA85C"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377" w:type="dxa"/>
            <w:vMerge/>
            <w:noWrap/>
            <w:vAlign w:val="center"/>
          </w:tcPr>
          <w:p w14:paraId="054A87E6"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670" w:type="dxa"/>
            <w:vMerge/>
            <w:vAlign w:val="center"/>
          </w:tcPr>
          <w:p w14:paraId="174C380E"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r>
      <w:tr w:rsidR="00520F27" w:rsidRPr="00194EF5" w14:paraId="38846A4C" w14:textId="77777777" w:rsidTr="00194EF5">
        <w:trPr>
          <w:cantSplit/>
          <w:trHeight w:val="300"/>
        </w:trPr>
        <w:tc>
          <w:tcPr>
            <w:tcW w:w="1413" w:type="dxa"/>
            <w:noWrap/>
            <w:vAlign w:val="center"/>
          </w:tcPr>
          <w:p w14:paraId="28A9C5E1" w14:textId="685A7A64"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13 yr</w:t>
            </w:r>
          </w:p>
        </w:tc>
        <w:tc>
          <w:tcPr>
            <w:tcW w:w="1063" w:type="dxa"/>
            <w:vMerge/>
            <w:vAlign w:val="center"/>
          </w:tcPr>
          <w:p w14:paraId="1419044F"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1EC70DB0"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5564DB40" w14:textId="77777777" w:rsidR="00520F27" w:rsidRPr="00194EF5" w:rsidRDefault="00520F27" w:rsidP="00580CF6">
            <w:pPr>
              <w:spacing w:after="0" w:line="240" w:lineRule="auto"/>
              <w:jc w:val="center"/>
              <w:rPr>
                <w:rFonts w:eastAsia="Times New Roman" w:cs="Times New Roman"/>
                <w:color w:val="ADADAD" w:themeColor="background2" w:themeShade="BF"/>
                <w:kern w:val="0"/>
                <w:sz w:val="18"/>
                <w:szCs w:val="18"/>
                <w:lang w:eastAsia="en-AU"/>
                <w14:ligatures w14:val="none"/>
              </w:rPr>
            </w:pPr>
          </w:p>
        </w:tc>
        <w:tc>
          <w:tcPr>
            <w:tcW w:w="1276" w:type="dxa"/>
            <w:vMerge/>
            <w:vAlign w:val="center"/>
          </w:tcPr>
          <w:p w14:paraId="193BF693"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377" w:type="dxa"/>
            <w:vMerge/>
            <w:noWrap/>
            <w:vAlign w:val="center"/>
          </w:tcPr>
          <w:p w14:paraId="2C6F3474"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670" w:type="dxa"/>
            <w:vMerge w:val="restart"/>
            <w:vAlign w:val="center"/>
          </w:tcPr>
          <w:p w14:paraId="413C11D2" w14:textId="3CEE7819"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1,400</w:t>
            </w:r>
          </w:p>
        </w:tc>
      </w:tr>
      <w:tr w:rsidR="00520F27" w:rsidRPr="00194EF5" w14:paraId="48A7F9E4" w14:textId="77777777" w:rsidTr="00194EF5">
        <w:trPr>
          <w:cantSplit/>
          <w:trHeight w:val="300"/>
        </w:trPr>
        <w:tc>
          <w:tcPr>
            <w:tcW w:w="1413" w:type="dxa"/>
            <w:noWrap/>
            <w:vAlign w:val="center"/>
          </w:tcPr>
          <w:p w14:paraId="400739E8" w14:textId="72163906"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14 yr</w:t>
            </w:r>
          </w:p>
        </w:tc>
        <w:tc>
          <w:tcPr>
            <w:tcW w:w="1063" w:type="dxa"/>
            <w:vMerge w:val="restart"/>
            <w:vAlign w:val="center"/>
          </w:tcPr>
          <w:p w14:paraId="70454DB9" w14:textId="50D024AF"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920</w:t>
            </w:r>
          </w:p>
        </w:tc>
        <w:tc>
          <w:tcPr>
            <w:tcW w:w="1276" w:type="dxa"/>
            <w:vMerge w:val="restart"/>
            <w:noWrap/>
            <w:vAlign w:val="center"/>
          </w:tcPr>
          <w:p w14:paraId="2DC3A73F" w14:textId="2A03685E"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460-920</w:t>
            </w:r>
          </w:p>
        </w:tc>
        <w:tc>
          <w:tcPr>
            <w:tcW w:w="1276" w:type="dxa"/>
            <w:vMerge/>
            <w:noWrap/>
            <w:vAlign w:val="center"/>
          </w:tcPr>
          <w:p w14:paraId="45F3EB3C" w14:textId="77777777" w:rsidR="00520F27" w:rsidRPr="00194EF5" w:rsidRDefault="00520F27" w:rsidP="00580CF6">
            <w:pPr>
              <w:spacing w:after="0" w:line="240" w:lineRule="auto"/>
              <w:jc w:val="center"/>
              <w:rPr>
                <w:rFonts w:eastAsia="Times New Roman" w:cs="Times New Roman"/>
                <w:color w:val="ADADAD" w:themeColor="background2" w:themeShade="BF"/>
                <w:kern w:val="0"/>
                <w:sz w:val="18"/>
                <w:szCs w:val="18"/>
                <w:lang w:eastAsia="en-AU"/>
                <w14:ligatures w14:val="none"/>
              </w:rPr>
            </w:pPr>
          </w:p>
        </w:tc>
        <w:tc>
          <w:tcPr>
            <w:tcW w:w="1276" w:type="dxa"/>
            <w:vMerge w:val="restart"/>
            <w:vAlign w:val="center"/>
          </w:tcPr>
          <w:p w14:paraId="39944459" w14:textId="6AC0A5D5"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1,500</w:t>
            </w:r>
          </w:p>
        </w:tc>
        <w:tc>
          <w:tcPr>
            <w:tcW w:w="1377" w:type="dxa"/>
            <w:vMerge/>
            <w:noWrap/>
            <w:vAlign w:val="center"/>
          </w:tcPr>
          <w:p w14:paraId="080EE539"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670" w:type="dxa"/>
            <w:vMerge/>
            <w:vAlign w:val="center"/>
          </w:tcPr>
          <w:p w14:paraId="3E7C7BD9"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r>
      <w:tr w:rsidR="00520F27" w:rsidRPr="00194EF5" w14:paraId="45DBF662" w14:textId="77777777" w:rsidTr="00194EF5">
        <w:trPr>
          <w:cantSplit/>
          <w:trHeight w:val="300"/>
        </w:trPr>
        <w:tc>
          <w:tcPr>
            <w:tcW w:w="1413" w:type="dxa"/>
            <w:noWrap/>
            <w:vAlign w:val="center"/>
          </w:tcPr>
          <w:p w14:paraId="304B792E" w14:textId="59968E32"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15 yr</w:t>
            </w:r>
          </w:p>
        </w:tc>
        <w:tc>
          <w:tcPr>
            <w:tcW w:w="1063" w:type="dxa"/>
            <w:vMerge/>
            <w:vAlign w:val="center"/>
          </w:tcPr>
          <w:p w14:paraId="5A74AE74"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495582B0"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70837F03" w14:textId="77777777" w:rsidR="00520F27" w:rsidRPr="00194EF5" w:rsidRDefault="00520F27" w:rsidP="00580CF6">
            <w:pPr>
              <w:spacing w:after="0" w:line="240" w:lineRule="auto"/>
              <w:jc w:val="center"/>
              <w:rPr>
                <w:rFonts w:eastAsia="Times New Roman" w:cs="Times New Roman"/>
                <w:color w:val="ADADAD" w:themeColor="background2" w:themeShade="BF"/>
                <w:kern w:val="0"/>
                <w:sz w:val="18"/>
                <w:szCs w:val="18"/>
                <w:lang w:eastAsia="en-AU"/>
                <w14:ligatures w14:val="none"/>
              </w:rPr>
            </w:pPr>
          </w:p>
        </w:tc>
        <w:tc>
          <w:tcPr>
            <w:tcW w:w="1276" w:type="dxa"/>
            <w:vMerge/>
            <w:vAlign w:val="center"/>
          </w:tcPr>
          <w:p w14:paraId="7FAC9790"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377" w:type="dxa"/>
            <w:vMerge/>
            <w:noWrap/>
            <w:vAlign w:val="center"/>
          </w:tcPr>
          <w:p w14:paraId="1B3F6AB9"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670" w:type="dxa"/>
            <w:vMerge w:val="restart"/>
            <w:vAlign w:val="center"/>
          </w:tcPr>
          <w:p w14:paraId="6AEDF4F9" w14:textId="411ED6C6"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r w:rsidRPr="00194EF5">
              <w:rPr>
                <w:rFonts w:eastAsia="Times New Roman" w:cs="Times New Roman"/>
                <w:color w:val="000000"/>
                <w:kern w:val="0"/>
                <w:sz w:val="18"/>
                <w:szCs w:val="18"/>
                <w:lang w:eastAsia="en-AU"/>
                <w14:ligatures w14:val="none"/>
              </w:rPr>
              <w:t>1,500</w:t>
            </w:r>
          </w:p>
        </w:tc>
      </w:tr>
      <w:tr w:rsidR="00520F27" w:rsidRPr="00194EF5" w14:paraId="49B63088" w14:textId="77777777" w:rsidTr="00194EF5">
        <w:trPr>
          <w:cantSplit/>
          <w:trHeight w:val="300"/>
        </w:trPr>
        <w:tc>
          <w:tcPr>
            <w:tcW w:w="1413" w:type="dxa"/>
            <w:noWrap/>
            <w:vAlign w:val="center"/>
          </w:tcPr>
          <w:p w14:paraId="438F2AD9" w14:textId="7FD9E71B"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16 yr</w:t>
            </w:r>
          </w:p>
        </w:tc>
        <w:tc>
          <w:tcPr>
            <w:tcW w:w="1063" w:type="dxa"/>
            <w:vMerge/>
            <w:vAlign w:val="center"/>
          </w:tcPr>
          <w:p w14:paraId="666B9BD6"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49465089"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298C71E9" w14:textId="77777777" w:rsidR="00520F27" w:rsidRPr="00194EF5" w:rsidRDefault="00520F27" w:rsidP="00580CF6">
            <w:pPr>
              <w:spacing w:after="0" w:line="240" w:lineRule="auto"/>
              <w:jc w:val="center"/>
              <w:rPr>
                <w:rFonts w:eastAsia="Times New Roman" w:cs="Times New Roman"/>
                <w:color w:val="ADADAD" w:themeColor="background2" w:themeShade="BF"/>
                <w:kern w:val="0"/>
                <w:sz w:val="18"/>
                <w:szCs w:val="18"/>
                <w:lang w:eastAsia="en-AU"/>
                <w14:ligatures w14:val="none"/>
              </w:rPr>
            </w:pPr>
          </w:p>
        </w:tc>
        <w:tc>
          <w:tcPr>
            <w:tcW w:w="1276" w:type="dxa"/>
            <w:vMerge/>
            <w:vAlign w:val="center"/>
          </w:tcPr>
          <w:p w14:paraId="0BFABED4"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377" w:type="dxa"/>
            <w:vMerge/>
            <w:noWrap/>
            <w:vAlign w:val="center"/>
          </w:tcPr>
          <w:p w14:paraId="2D7793EC"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670" w:type="dxa"/>
            <w:vMerge/>
            <w:vAlign w:val="center"/>
          </w:tcPr>
          <w:p w14:paraId="5F729475"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r>
      <w:tr w:rsidR="00520F27" w:rsidRPr="00194EF5" w14:paraId="1B0B0375" w14:textId="77777777" w:rsidTr="00194EF5">
        <w:trPr>
          <w:cantSplit/>
          <w:trHeight w:val="300"/>
        </w:trPr>
        <w:tc>
          <w:tcPr>
            <w:tcW w:w="1413" w:type="dxa"/>
            <w:noWrap/>
            <w:vAlign w:val="center"/>
          </w:tcPr>
          <w:p w14:paraId="09520EEC" w14:textId="6583F9EE" w:rsidR="00520F27" w:rsidRPr="00194EF5" w:rsidRDefault="00520F27" w:rsidP="00580CF6">
            <w:pPr>
              <w:spacing w:after="0" w:line="240" w:lineRule="auto"/>
              <w:rPr>
                <w:rFonts w:eastAsia="Times New Roman" w:cs="Times New Roman"/>
                <w:color w:val="000000"/>
                <w:kern w:val="0"/>
                <w:sz w:val="18"/>
                <w:szCs w:val="18"/>
                <w:lang w:eastAsia="en-AU"/>
                <w14:ligatures w14:val="none"/>
              </w:rPr>
            </w:pPr>
            <w:r w:rsidRPr="00194EF5">
              <w:rPr>
                <w:sz w:val="18"/>
                <w:szCs w:val="18"/>
              </w:rPr>
              <w:t>17 yr</w:t>
            </w:r>
          </w:p>
        </w:tc>
        <w:tc>
          <w:tcPr>
            <w:tcW w:w="1063" w:type="dxa"/>
            <w:vMerge/>
            <w:vAlign w:val="center"/>
          </w:tcPr>
          <w:p w14:paraId="2C1322B7"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75279C0C"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0B9A62D6" w14:textId="77777777" w:rsidR="00520F27" w:rsidRPr="00194EF5" w:rsidRDefault="00520F27" w:rsidP="00580CF6">
            <w:pPr>
              <w:spacing w:after="0" w:line="240" w:lineRule="auto"/>
              <w:jc w:val="center"/>
              <w:rPr>
                <w:rFonts w:eastAsia="Times New Roman" w:cs="Times New Roman"/>
                <w:color w:val="ADADAD" w:themeColor="background2" w:themeShade="BF"/>
                <w:kern w:val="0"/>
                <w:sz w:val="18"/>
                <w:szCs w:val="18"/>
                <w:lang w:eastAsia="en-AU"/>
                <w14:ligatures w14:val="none"/>
              </w:rPr>
            </w:pPr>
          </w:p>
        </w:tc>
        <w:tc>
          <w:tcPr>
            <w:tcW w:w="1276" w:type="dxa"/>
            <w:vMerge/>
            <w:vAlign w:val="center"/>
          </w:tcPr>
          <w:p w14:paraId="3CCE6390"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377" w:type="dxa"/>
            <w:vMerge/>
            <w:noWrap/>
            <w:vAlign w:val="center"/>
          </w:tcPr>
          <w:p w14:paraId="54CE7184"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c>
          <w:tcPr>
            <w:tcW w:w="1670" w:type="dxa"/>
            <w:vMerge/>
            <w:vAlign w:val="center"/>
          </w:tcPr>
          <w:p w14:paraId="0EE5A581" w14:textId="77777777" w:rsidR="00520F27" w:rsidRPr="00194EF5" w:rsidRDefault="00520F27" w:rsidP="00580CF6">
            <w:pPr>
              <w:spacing w:after="0" w:line="240" w:lineRule="auto"/>
              <w:jc w:val="center"/>
              <w:rPr>
                <w:rFonts w:eastAsia="Times New Roman" w:cs="Times New Roman"/>
                <w:color w:val="000000"/>
                <w:kern w:val="0"/>
                <w:sz w:val="18"/>
                <w:szCs w:val="18"/>
                <w:lang w:eastAsia="en-AU"/>
                <w14:ligatures w14:val="none"/>
              </w:rPr>
            </w:pPr>
          </w:p>
        </w:tc>
      </w:tr>
    </w:tbl>
    <w:p w14:paraId="3ED4C199" w14:textId="31698A11" w:rsidR="00580CF6" w:rsidRPr="007C4737" w:rsidRDefault="007C4737" w:rsidP="007C4737">
      <w:pPr>
        <w:spacing w:line="276" w:lineRule="auto"/>
        <w:rPr>
          <w:color w:val="000000" w:themeColor="text1"/>
        </w:rPr>
      </w:pPr>
      <w:r w:rsidRPr="007C4737">
        <w:rPr>
          <w:color w:val="000000" w:themeColor="text1"/>
        </w:rPr>
        <w:t>*EFSA derived a ‘safe and adequate’ value that is not directly comparable to an AI value</w:t>
      </w:r>
    </w:p>
    <w:p w14:paraId="2E0F0AD2" w14:textId="77777777" w:rsidR="00580CF6" w:rsidRDefault="00580CF6">
      <w:pPr>
        <w:rPr>
          <w:rFonts w:eastAsiaTheme="majorEastAsia" w:cstheme="majorBidi"/>
          <w:color w:val="0F4761" w:themeColor="accent1" w:themeShade="BF"/>
          <w:sz w:val="24"/>
          <w:szCs w:val="28"/>
        </w:rPr>
      </w:pPr>
      <w:r>
        <w:br w:type="page"/>
      </w:r>
    </w:p>
    <w:p w14:paraId="554039FF" w14:textId="65547102" w:rsidR="00623C6B" w:rsidRDefault="00623C6B" w:rsidP="00623C6B">
      <w:pPr>
        <w:pStyle w:val="Heading3"/>
      </w:pPr>
      <w:bookmarkStart w:id="91" w:name="_Toc234960871"/>
      <w:r>
        <w:lastRenderedPageBreak/>
        <w:t>Chronic disease risk reduction</w:t>
      </w:r>
      <w:bookmarkEnd w:id="91"/>
    </w:p>
    <w:p w14:paraId="6B4FF243" w14:textId="6C777FAD" w:rsidR="008348E2" w:rsidRPr="008348E2" w:rsidRDefault="008348E2" w:rsidP="008348E2">
      <w:r>
        <w:t>The</w:t>
      </w:r>
      <w:r w:rsidR="00816BA5">
        <w:t xml:space="preserve"> proposed CDRR values for Australia and New Zealand are well-aligned with international values from comparable jurisdictions, as shown in </w:t>
      </w:r>
      <w:r w:rsidR="00816BA5">
        <w:fldChar w:fldCharType="begin"/>
      </w:r>
      <w:r w:rsidR="00816BA5">
        <w:instrText xml:space="preserve"> REF _Ref233730171 \h </w:instrText>
      </w:r>
      <w:r w:rsidR="00816BA5">
        <w:fldChar w:fldCharType="separate"/>
      </w:r>
      <w:r w:rsidR="00074E84">
        <w:t xml:space="preserve">Table </w:t>
      </w:r>
      <w:r w:rsidR="00074E84">
        <w:rPr>
          <w:noProof/>
        </w:rPr>
        <w:t>18</w:t>
      </w:r>
      <w:r w:rsidR="00816BA5">
        <w:fldChar w:fldCharType="end"/>
      </w:r>
      <w:r w:rsidR="00816BA5">
        <w:t>.</w:t>
      </w:r>
    </w:p>
    <w:p w14:paraId="046FC227" w14:textId="5375EA6D" w:rsidR="00816BA5" w:rsidRDefault="00816BA5" w:rsidP="00816BA5">
      <w:pPr>
        <w:pStyle w:val="Caption"/>
        <w:keepNext/>
      </w:pPr>
      <w:bookmarkStart w:id="92" w:name="_Ref233730171"/>
      <w:r>
        <w:t xml:space="preserve">Table </w:t>
      </w:r>
      <w:r>
        <w:fldChar w:fldCharType="begin"/>
      </w:r>
      <w:r>
        <w:instrText>SEQ Table \* ARABIC</w:instrText>
      </w:r>
      <w:r>
        <w:fldChar w:fldCharType="separate"/>
      </w:r>
      <w:r w:rsidR="00B90577">
        <w:rPr>
          <w:noProof/>
        </w:rPr>
        <w:t>15</w:t>
      </w:r>
      <w:r>
        <w:fldChar w:fldCharType="end"/>
      </w:r>
      <w:bookmarkEnd w:id="92"/>
      <w:r>
        <w:t xml:space="preserve"> - Comparison of proposed CDRR values alongside recommendations from comparable international jurisdictions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417"/>
        <w:gridCol w:w="1276"/>
        <w:gridCol w:w="1134"/>
        <w:gridCol w:w="1134"/>
        <w:gridCol w:w="1418"/>
        <w:gridCol w:w="1559"/>
      </w:tblGrid>
      <w:tr w:rsidR="00770EA9" w:rsidRPr="00F7416B" w14:paraId="396CC693" w14:textId="77777777" w:rsidTr="00770EA9">
        <w:trPr>
          <w:trHeight w:val="1175"/>
        </w:trPr>
        <w:tc>
          <w:tcPr>
            <w:tcW w:w="846" w:type="dxa"/>
            <w:shd w:val="clear" w:color="auto" w:fill="005F85"/>
            <w:vAlign w:val="bottom"/>
            <w:hideMark/>
          </w:tcPr>
          <w:p w14:paraId="55763535" w14:textId="77777777" w:rsidR="00770EA9" w:rsidRPr="00F7416B" w:rsidRDefault="00770EA9">
            <w:pPr>
              <w:spacing w:after="0" w:line="240" w:lineRule="auto"/>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Age (years)</w:t>
            </w:r>
          </w:p>
        </w:tc>
        <w:tc>
          <w:tcPr>
            <w:tcW w:w="1417" w:type="dxa"/>
            <w:shd w:val="clear" w:color="auto" w:fill="005F85"/>
            <w:vAlign w:val="center"/>
          </w:tcPr>
          <w:p w14:paraId="32E41589" w14:textId="63D707E6"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 xml:space="preserve">Aust/NZ – Proposed </w:t>
            </w:r>
          </w:p>
          <w:p w14:paraId="731AF618" w14:textId="4B56E2FD"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CDRR</w:t>
            </w:r>
            <w:r>
              <w:rPr>
                <w:rFonts w:eastAsia="Times New Roman" w:cs="Times New Roman"/>
                <w:b/>
                <w:bCs/>
                <w:color w:val="FFFFFF"/>
                <w:kern w:val="0"/>
                <w:sz w:val="18"/>
                <w:szCs w:val="18"/>
                <w:lang w:eastAsia="en-AU"/>
                <w14:ligatures w14:val="none"/>
              </w:rPr>
              <w:t xml:space="preserve"> </w:t>
            </w:r>
          </w:p>
          <w:p w14:paraId="6C5FE1F0"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w:t>
            </w:r>
            <w:r w:rsidRPr="00F7416B">
              <w:rPr>
                <w:rFonts w:eastAsia="Times New Roman" w:cs="Times New Roman"/>
                <w:b/>
                <w:bCs/>
                <w:color w:val="FFFFFF"/>
                <w:sz w:val="18"/>
                <w:szCs w:val="18"/>
              </w:rPr>
              <w:t>mg/day)</w:t>
            </w:r>
          </w:p>
        </w:tc>
        <w:tc>
          <w:tcPr>
            <w:tcW w:w="1276" w:type="dxa"/>
            <w:shd w:val="clear" w:color="auto" w:fill="005F85"/>
            <w:vAlign w:val="center"/>
            <w:hideMark/>
          </w:tcPr>
          <w:p w14:paraId="460A9700"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 xml:space="preserve">European Union </w:t>
            </w:r>
          </w:p>
          <w:p w14:paraId="1F4FA81B"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(EFSA 2019)</w:t>
            </w:r>
          </w:p>
          <w:p w14:paraId="4DF0C3C3"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CDRR</w:t>
            </w:r>
          </w:p>
          <w:p w14:paraId="2892F345"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w:t>
            </w:r>
            <w:r w:rsidRPr="00F7416B">
              <w:rPr>
                <w:rFonts w:eastAsia="Times New Roman" w:cs="Times New Roman"/>
                <w:b/>
                <w:bCs/>
                <w:color w:val="FFFFFF"/>
                <w:sz w:val="18"/>
                <w:szCs w:val="18"/>
              </w:rPr>
              <w:t>mg/day)*</w:t>
            </w:r>
          </w:p>
        </w:tc>
        <w:tc>
          <w:tcPr>
            <w:tcW w:w="1134" w:type="dxa"/>
            <w:shd w:val="clear" w:color="auto" w:fill="005F85"/>
            <w:vAlign w:val="center"/>
          </w:tcPr>
          <w:p w14:paraId="288B7955"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 xml:space="preserve">United States </w:t>
            </w:r>
          </w:p>
          <w:p w14:paraId="09BA6E80"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(NASEM 2018)</w:t>
            </w:r>
          </w:p>
          <w:p w14:paraId="502DD5F4"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CDRR</w:t>
            </w:r>
          </w:p>
          <w:p w14:paraId="0975C6FD"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w:t>
            </w:r>
            <w:r w:rsidRPr="00F7416B">
              <w:rPr>
                <w:rFonts w:eastAsia="Times New Roman" w:cs="Times New Roman"/>
                <w:b/>
                <w:bCs/>
                <w:color w:val="FFFFFF"/>
                <w:sz w:val="18"/>
                <w:szCs w:val="18"/>
              </w:rPr>
              <w:t>mg/day)</w:t>
            </w:r>
          </w:p>
        </w:tc>
        <w:tc>
          <w:tcPr>
            <w:tcW w:w="1134" w:type="dxa"/>
            <w:shd w:val="clear" w:color="auto" w:fill="005F85"/>
            <w:vAlign w:val="center"/>
            <w:hideMark/>
          </w:tcPr>
          <w:p w14:paraId="065F871E"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Nordic and Baltic</w:t>
            </w:r>
          </w:p>
          <w:p w14:paraId="19CF4E03"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(NNR 2023)</w:t>
            </w:r>
          </w:p>
          <w:p w14:paraId="40F080D6"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CDRR</w:t>
            </w:r>
          </w:p>
          <w:p w14:paraId="658B70F9"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w:t>
            </w:r>
            <w:r w:rsidRPr="00F7416B">
              <w:rPr>
                <w:rFonts w:eastAsia="Times New Roman" w:cs="Times New Roman"/>
                <w:b/>
                <w:bCs/>
                <w:color w:val="FFFFFF"/>
                <w:sz w:val="18"/>
                <w:szCs w:val="18"/>
              </w:rPr>
              <w:t>mg/day)</w:t>
            </w:r>
          </w:p>
        </w:tc>
        <w:tc>
          <w:tcPr>
            <w:tcW w:w="1418" w:type="dxa"/>
            <w:shd w:val="clear" w:color="auto" w:fill="005F85"/>
            <w:vAlign w:val="center"/>
          </w:tcPr>
          <w:p w14:paraId="3179FB7E"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Germany, Austria, Switzerland (DACH 2013)</w:t>
            </w:r>
          </w:p>
          <w:p w14:paraId="2FB1CDFE"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CDRR</w:t>
            </w:r>
          </w:p>
          <w:p w14:paraId="53384C1C"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w:t>
            </w:r>
            <w:r w:rsidRPr="00F7416B">
              <w:rPr>
                <w:rFonts w:eastAsia="Times New Roman" w:cs="Times New Roman"/>
                <w:b/>
                <w:bCs/>
                <w:color w:val="FFFFFF"/>
                <w:sz w:val="18"/>
                <w:szCs w:val="18"/>
              </w:rPr>
              <w:t>mg/day)</w:t>
            </w:r>
          </w:p>
        </w:tc>
        <w:tc>
          <w:tcPr>
            <w:tcW w:w="1559" w:type="dxa"/>
            <w:shd w:val="clear" w:color="auto" w:fill="005F85"/>
          </w:tcPr>
          <w:p w14:paraId="31CCA8E9" w14:textId="77777777" w:rsidR="00770EA9" w:rsidRDefault="00770EA9">
            <w:pPr>
              <w:spacing w:after="0" w:line="240" w:lineRule="auto"/>
              <w:jc w:val="center"/>
              <w:rPr>
                <w:rFonts w:eastAsia="Times New Roman" w:cs="Times New Roman"/>
                <w:b/>
                <w:bCs/>
                <w:color w:val="FFFFFF"/>
                <w:kern w:val="0"/>
                <w:sz w:val="18"/>
                <w:szCs w:val="18"/>
                <w:lang w:eastAsia="en-AU"/>
                <w14:ligatures w14:val="none"/>
              </w:rPr>
            </w:pPr>
            <w:r>
              <w:rPr>
                <w:rFonts w:eastAsia="Times New Roman" w:cs="Times New Roman"/>
                <w:b/>
                <w:bCs/>
                <w:color w:val="FFFFFF"/>
                <w:kern w:val="0"/>
                <w:sz w:val="18"/>
                <w:szCs w:val="18"/>
                <w:lang w:eastAsia="en-AU"/>
                <w14:ligatures w14:val="none"/>
              </w:rPr>
              <w:t>WHO Guidelines</w:t>
            </w:r>
          </w:p>
          <w:p w14:paraId="1378CB36" w14:textId="77777777" w:rsidR="00770EA9" w:rsidRDefault="00770EA9">
            <w:pPr>
              <w:spacing w:after="0" w:line="240" w:lineRule="auto"/>
              <w:jc w:val="center"/>
              <w:rPr>
                <w:rFonts w:eastAsia="Times New Roman" w:cs="Times New Roman"/>
                <w:b/>
                <w:bCs/>
                <w:color w:val="FFFFFF"/>
                <w:kern w:val="0"/>
                <w:sz w:val="18"/>
                <w:szCs w:val="18"/>
                <w:lang w:eastAsia="en-AU"/>
                <w14:ligatures w14:val="none"/>
              </w:rPr>
            </w:pPr>
            <w:r>
              <w:rPr>
                <w:rFonts w:eastAsia="Times New Roman" w:cs="Times New Roman"/>
                <w:b/>
                <w:bCs/>
                <w:color w:val="FFFFFF"/>
                <w:kern w:val="0"/>
                <w:sz w:val="18"/>
                <w:szCs w:val="18"/>
                <w:lang w:eastAsia="en-AU"/>
                <w14:ligatures w14:val="none"/>
              </w:rPr>
              <w:t>(WHO 2012)</w:t>
            </w:r>
          </w:p>
          <w:p w14:paraId="1C18A4EB" w14:textId="77777777" w:rsidR="00770EA9" w:rsidRDefault="00770EA9">
            <w:pPr>
              <w:spacing w:after="0" w:line="240" w:lineRule="auto"/>
              <w:jc w:val="center"/>
              <w:rPr>
                <w:rFonts w:eastAsia="Times New Roman" w:cs="Times New Roman"/>
                <w:b/>
                <w:bCs/>
                <w:color w:val="FFFFFF"/>
                <w:kern w:val="0"/>
                <w:sz w:val="18"/>
                <w:szCs w:val="18"/>
                <w:lang w:eastAsia="en-AU"/>
                <w14:ligatures w14:val="none"/>
              </w:rPr>
            </w:pPr>
            <w:r>
              <w:rPr>
                <w:rFonts w:eastAsia="Times New Roman" w:cs="Times New Roman"/>
                <w:b/>
                <w:bCs/>
                <w:color w:val="FFFFFF"/>
                <w:kern w:val="0"/>
                <w:sz w:val="18"/>
                <w:szCs w:val="18"/>
                <w:lang w:eastAsia="en-AU"/>
                <w14:ligatures w14:val="none"/>
              </w:rPr>
              <w:t>CDRR</w:t>
            </w:r>
          </w:p>
          <w:p w14:paraId="787B9E17" w14:textId="77777777" w:rsidR="00770EA9" w:rsidRPr="00F7416B" w:rsidRDefault="00770EA9">
            <w:pPr>
              <w:spacing w:after="0" w:line="240" w:lineRule="auto"/>
              <w:jc w:val="center"/>
              <w:rPr>
                <w:rFonts w:eastAsia="Times New Roman" w:cs="Times New Roman"/>
                <w:b/>
                <w:bCs/>
                <w:color w:val="FFFFFF"/>
                <w:kern w:val="0"/>
                <w:sz w:val="18"/>
                <w:szCs w:val="18"/>
                <w:lang w:eastAsia="en-AU"/>
                <w14:ligatures w14:val="none"/>
              </w:rPr>
            </w:pPr>
            <w:r>
              <w:rPr>
                <w:rFonts w:eastAsia="Times New Roman" w:cs="Times New Roman"/>
                <w:b/>
                <w:bCs/>
                <w:color w:val="FFFFFF"/>
                <w:kern w:val="0"/>
                <w:sz w:val="18"/>
                <w:szCs w:val="18"/>
                <w:lang w:eastAsia="en-AU"/>
                <w14:ligatures w14:val="none"/>
              </w:rPr>
              <w:t>(mg/day)</w:t>
            </w:r>
          </w:p>
        </w:tc>
      </w:tr>
      <w:tr w:rsidR="00770EA9" w:rsidRPr="00F7416B" w14:paraId="3C9330C1" w14:textId="77777777">
        <w:trPr>
          <w:trHeight w:val="255"/>
        </w:trPr>
        <w:tc>
          <w:tcPr>
            <w:tcW w:w="8784" w:type="dxa"/>
            <w:gridSpan w:val="7"/>
            <w:noWrap/>
          </w:tcPr>
          <w:p w14:paraId="44DF10C5" w14:textId="6C3FB37F" w:rsidR="00770EA9" w:rsidRDefault="00770EA9" w:rsidP="00770EA9">
            <w:pPr>
              <w:spacing w:after="0" w:line="240" w:lineRule="auto"/>
              <w:rPr>
                <w:rFonts w:eastAsia="Times New Roman" w:cs="Times New Roman"/>
                <w:color w:val="000000"/>
                <w:kern w:val="0"/>
                <w:sz w:val="18"/>
                <w:szCs w:val="18"/>
                <w:lang w:eastAsia="en-AU"/>
                <w14:ligatures w14:val="none"/>
              </w:rPr>
            </w:pPr>
            <w:r>
              <w:rPr>
                <w:rFonts w:eastAsia="Times New Roman" w:cs="Times New Roman"/>
                <w:color w:val="000000"/>
                <w:kern w:val="0"/>
                <w:sz w:val="18"/>
                <w:szCs w:val="18"/>
                <w:lang w:eastAsia="en-AU"/>
                <w14:ligatures w14:val="none"/>
              </w:rPr>
              <w:t>Adults</w:t>
            </w:r>
          </w:p>
        </w:tc>
      </w:tr>
      <w:tr w:rsidR="00770EA9" w:rsidRPr="00F7416B" w14:paraId="7544B040" w14:textId="77777777" w:rsidTr="00770EA9">
        <w:trPr>
          <w:trHeight w:val="255"/>
        </w:trPr>
        <w:tc>
          <w:tcPr>
            <w:tcW w:w="846" w:type="dxa"/>
            <w:noWrap/>
          </w:tcPr>
          <w:p w14:paraId="5BAE3D3F" w14:textId="228EFF46" w:rsidR="00770EA9" w:rsidRPr="00F7416B" w:rsidRDefault="00770EA9">
            <w:pPr>
              <w:spacing w:after="0" w:line="240" w:lineRule="auto"/>
              <w:rPr>
                <w:sz w:val="18"/>
                <w:szCs w:val="18"/>
              </w:rPr>
            </w:pPr>
            <w:r>
              <w:rPr>
                <w:sz w:val="18"/>
                <w:szCs w:val="18"/>
              </w:rPr>
              <w:t>18+ yr</w:t>
            </w:r>
          </w:p>
        </w:tc>
        <w:tc>
          <w:tcPr>
            <w:tcW w:w="1417" w:type="dxa"/>
            <w:vAlign w:val="center"/>
          </w:tcPr>
          <w:p w14:paraId="46709033" w14:textId="1AB66F42" w:rsidR="00770EA9" w:rsidRPr="00F7416B" w:rsidRDefault="00770EA9">
            <w:pPr>
              <w:spacing w:after="0" w:line="240" w:lineRule="auto"/>
              <w:jc w:val="center"/>
              <w:rPr>
                <w:sz w:val="18"/>
                <w:szCs w:val="18"/>
              </w:rPr>
            </w:pPr>
            <w:r>
              <w:rPr>
                <w:sz w:val="18"/>
                <w:szCs w:val="18"/>
              </w:rPr>
              <w:t>2,000</w:t>
            </w:r>
          </w:p>
        </w:tc>
        <w:tc>
          <w:tcPr>
            <w:tcW w:w="1276" w:type="dxa"/>
            <w:noWrap/>
            <w:vAlign w:val="center"/>
          </w:tcPr>
          <w:p w14:paraId="6758C719" w14:textId="62E00A5A" w:rsidR="00770EA9" w:rsidRPr="00F7416B" w:rsidRDefault="00C91B62">
            <w:pPr>
              <w:spacing w:after="0" w:line="240" w:lineRule="auto"/>
              <w:jc w:val="center"/>
              <w:rPr>
                <w:sz w:val="18"/>
                <w:szCs w:val="18"/>
              </w:rPr>
            </w:pPr>
            <w:r>
              <w:rPr>
                <w:sz w:val="18"/>
                <w:szCs w:val="18"/>
              </w:rPr>
              <w:t>2,000</w:t>
            </w:r>
          </w:p>
        </w:tc>
        <w:tc>
          <w:tcPr>
            <w:tcW w:w="1134" w:type="dxa"/>
            <w:vAlign w:val="center"/>
          </w:tcPr>
          <w:p w14:paraId="53DAEA5D" w14:textId="16C5A6CF" w:rsidR="00770EA9" w:rsidRPr="00F7416B" w:rsidRDefault="00C91B62">
            <w:pPr>
              <w:spacing w:after="0" w:line="240" w:lineRule="auto"/>
              <w:jc w:val="center"/>
              <w:rPr>
                <w:sz w:val="18"/>
                <w:szCs w:val="18"/>
              </w:rPr>
            </w:pPr>
            <w:r>
              <w:rPr>
                <w:sz w:val="18"/>
                <w:szCs w:val="18"/>
              </w:rPr>
              <w:t>2,300</w:t>
            </w:r>
          </w:p>
        </w:tc>
        <w:tc>
          <w:tcPr>
            <w:tcW w:w="1134" w:type="dxa"/>
            <w:noWrap/>
            <w:vAlign w:val="center"/>
          </w:tcPr>
          <w:p w14:paraId="105DDB4A" w14:textId="0CA96E9F" w:rsidR="00770EA9" w:rsidRPr="00F7416B" w:rsidRDefault="00C91B62">
            <w:pPr>
              <w:spacing w:after="0" w:line="240" w:lineRule="auto"/>
              <w:jc w:val="center"/>
              <w:rPr>
                <w:sz w:val="18"/>
                <w:szCs w:val="18"/>
              </w:rPr>
            </w:pPr>
            <w:r>
              <w:rPr>
                <w:sz w:val="18"/>
                <w:szCs w:val="18"/>
              </w:rPr>
              <w:t>2,300</w:t>
            </w:r>
          </w:p>
        </w:tc>
        <w:tc>
          <w:tcPr>
            <w:tcW w:w="1418" w:type="dxa"/>
            <w:vAlign w:val="center"/>
          </w:tcPr>
          <w:p w14:paraId="7BB24FC4" w14:textId="7940D459" w:rsidR="00770EA9" w:rsidRPr="00F7416B" w:rsidRDefault="00694E75">
            <w:pPr>
              <w:spacing w:after="0" w:line="240" w:lineRule="auto"/>
              <w:jc w:val="center"/>
              <w:rPr>
                <w:rFonts w:eastAsia="Times New Roman" w:cs="Times New Roman"/>
                <w:color w:val="000000"/>
                <w:kern w:val="0"/>
                <w:sz w:val="18"/>
                <w:szCs w:val="18"/>
                <w:lang w:eastAsia="en-AU"/>
                <w14:ligatures w14:val="none"/>
              </w:rPr>
            </w:pPr>
            <w:r>
              <w:rPr>
                <w:rFonts w:eastAsia="Times New Roman" w:cs="Times New Roman"/>
                <w:color w:val="000000"/>
                <w:kern w:val="0"/>
                <w:sz w:val="18"/>
                <w:szCs w:val="18"/>
                <w:lang w:eastAsia="en-AU"/>
                <w14:ligatures w14:val="none"/>
              </w:rPr>
              <w:t>2,400</w:t>
            </w:r>
          </w:p>
        </w:tc>
        <w:tc>
          <w:tcPr>
            <w:tcW w:w="1559" w:type="dxa"/>
          </w:tcPr>
          <w:p w14:paraId="02AB00A7" w14:textId="4DA8E4B8" w:rsidR="00770EA9" w:rsidRDefault="00694E75">
            <w:pPr>
              <w:spacing w:after="0" w:line="240" w:lineRule="auto"/>
              <w:jc w:val="center"/>
              <w:rPr>
                <w:rFonts w:eastAsia="Times New Roman" w:cs="Times New Roman"/>
                <w:color w:val="000000"/>
                <w:kern w:val="0"/>
                <w:sz w:val="18"/>
                <w:szCs w:val="18"/>
                <w:lang w:eastAsia="en-AU"/>
                <w14:ligatures w14:val="none"/>
              </w:rPr>
            </w:pPr>
            <w:r>
              <w:rPr>
                <w:rFonts w:eastAsia="Times New Roman" w:cs="Times New Roman"/>
                <w:color w:val="000000"/>
                <w:kern w:val="0"/>
                <w:sz w:val="18"/>
                <w:szCs w:val="18"/>
                <w:lang w:eastAsia="en-AU"/>
                <w14:ligatures w14:val="none"/>
              </w:rPr>
              <w:t>2,000</w:t>
            </w:r>
          </w:p>
        </w:tc>
      </w:tr>
      <w:tr w:rsidR="00770EA9" w:rsidRPr="00F7416B" w14:paraId="11968851" w14:textId="77777777">
        <w:trPr>
          <w:trHeight w:val="255"/>
        </w:trPr>
        <w:tc>
          <w:tcPr>
            <w:tcW w:w="8784" w:type="dxa"/>
            <w:gridSpan w:val="7"/>
            <w:noWrap/>
          </w:tcPr>
          <w:p w14:paraId="280CE414" w14:textId="36AAF419" w:rsidR="00770EA9" w:rsidRDefault="00770EA9" w:rsidP="00770EA9">
            <w:pPr>
              <w:spacing w:after="0" w:line="240" w:lineRule="auto"/>
              <w:rPr>
                <w:rFonts w:eastAsia="Times New Roman" w:cs="Times New Roman"/>
                <w:color w:val="000000"/>
                <w:kern w:val="0"/>
                <w:sz w:val="18"/>
                <w:szCs w:val="18"/>
                <w:lang w:eastAsia="en-AU"/>
                <w14:ligatures w14:val="none"/>
              </w:rPr>
            </w:pPr>
            <w:r>
              <w:rPr>
                <w:sz w:val="18"/>
                <w:szCs w:val="18"/>
              </w:rPr>
              <w:t>Children and adolescents</w:t>
            </w:r>
          </w:p>
        </w:tc>
      </w:tr>
      <w:tr w:rsidR="00770EA9" w:rsidRPr="00F7416B" w14:paraId="638B2E33" w14:textId="77777777" w:rsidTr="00770EA9">
        <w:trPr>
          <w:trHeight w:val="255"/>
        </w:trPr>
        <w:tc>
          <w:tcPr>
            <w:tcW w:w="846" w:type="dxa"/>
            <w:noWrap/>
          </w:tcPr>
          <w:p w14:paraId="1D0AD6BD" w14:textId="77777777" w:rsidR="00770EA9" w:rsidRPr="00F7416B" w:rsidRDefault="00770EA9">
            <w:pPr>
              <w:spacing w:after="0" w:line="240" w:lineRule="auto"/>
              <w:rPr>
                <w:rFonts w:eastAsia="Times New Roman" w:cs="Times New Roman"/>
                <w:color w:val="000000"/>
                <w:kern w:val="0"/>
                <w:sz w:val="18"/>
                <w:szCs w:val="18"/>
                <w:lang w:eastAsia="en-AU"/>
                <w14:ligatures w14:val="none"/>
              </w:rPr>
            </w:pPr>
            <w:r w:rsidRPr="00F7416B">
              <w:rPr>
                <w:sz w:val="18"/>
                <w:szCs w:val="18"/>
              </w:rPr>
              <w:t>1 yr</w:t>
            </w:r>
          </w:p>
        </w:tc>
        <w:tc>
          <w:tcPr>
            <w:tcW w:w="1417" w:type="dxa"/>
            <w:vMerge w:val="restart"/>
            <w:vAlign w:val="center"/>
          </w:tcPr>
          <w:p w14:paraId="43DCC243"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950</w:t>
            </w:r>
          </w:p>
        </w:tc>
        <w:tc>
          <w:tcPr>
            <w:tcW w:w="1276" w:type="dxa"/>
            <w:vMerge w:val="restart"/>
            <w:noWrap/>
            <w:vAlign w:val="center"/>
          </w:tcPr>
          <w:p w14:paraId="5B350C16"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1,100*</w:t>
            </w:r>
          </w:p>
        </w:tc>
        <w:tc>
          <w:tcPr>
            <w:tcW w:w="1134" w:type="dxa"/>
            <w:vMerge w:val="restart"/>
            <w:vAlign w:val="center"/>
          </w:tcPr>
          <w:p w14:paraId="1D1D9338"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1,200</w:t>
            </w:r>
          </w:p>
        </w:tc>
        <w:tc>
          <w:tcPr>
            <w:tcW w:w="1134" w:type="dxa"/>
            <w:vMerge w:val="restart"/>
            <w:noWrap/>
            <w:vAlign w:val="center"/>
          </w:tcPr>
          <w:p w14:paraId="12A57C0D"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1,100</w:t>
            </w:r>
          </w:p>
        </w:tc>
        <w:tc>
          <w:tcPr>
            <w:tcW w:w="1418" w:type="dxa"/>
            <w:vMerge w:val="restart"/>
            <w:vAlign w:val="center"/>
          </w:tcPr>
          <w:p w14:paraId="7194B4BE"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rFonts w:eastAsia="Times New Roman" w:cs="Times New Roman"/>
                <w:color w:val="000000"/>
                <w:kern w:val="0"/>
                <w:sz w:val="18"/>
                <w:szCs w:val="18"/>
                <w:lang w:eastAsia="en-AU"/>
                <w14:ligatures w14:val="none"/>
              </w:rPr>
              <w:t>Not specified</w:t>
            </w:r>
          </w:p>
        </w:tc>
        <w:tc>
          <w:tcPr>
            <w:tcW w:w="1559" w:type="dxa"/>
          </w:tcPr>
          <w:p w14:paraId="70E6DBCD"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Pr>
                <w:rFonts w:eastAsia="Times New Roman" w:cs="Times New Roman"/>
                <w:color w:val="000000"/>
                <w:kern w:val="0"/>
                <w:sz w:val="18"/>
                <w:szCs w:val="18"/>
                <w:lang w:eastAsia="en-AU"/>
                <w14:ligatures w14:val="none"/>
              </w:rPr>
              <w:t>Not specified</w:t>
            </w:r>
          </w:p>
        </w:tc>
      </w:tr>
      <w:tr w:rsidR="00770EA9" w:rsidRPr="00F7416B" w14:paraId="4DB76B07" w14:textId="77777777" w:rsidTr="00770EA9">
        <w:trPr>
          <w:trHeight w:val="255"/>
        </w:trPr>
        <w:tc>
          <w:tcPr>
            <w:tcW w:w="846" w:type="dxa"/>
            <w:noWrap/>
          </w:tcPr>
          <w:p w14:paraId="6D783590" w14:textId="77777777" w:rsidR="00770EA9" w:rsidRPr="00F7416B" w:rsidRDefault="00770EA9">
            <w:pPr>
              <w:spacing w:after="0" w:line="240" w:lineRule="auto"/>
              <w:rPr>
                <w:rFonts w:eastAsia="Times New Roman" w:cs="Times New Roman"/>
                <w:color w:val="000000"/>
                <w:kern w:val="0"/>
                <w:sz w:val="18"/>
                <w:szCs w:val="18"/>
                <w:lang w:eastAsia="en-AU"/>
                <w14:ligatures w14:val="none"/>
              </w:rPr>
            </w:pPr>
            <w:r w:rsidRPr="00F7416B">
              <w:rPr>
                <w:sz w:val="18"/>
                <w:szCs w:val="18"/>
              </w:rPr>
              <w:t>2 yr</w:t>
            </w:r>
          </w:p>
        </w:tc>
        <w:tc>
          <w:tcPr>
            <w:tcW w:w="1417" w:type="dxa"/>
            <w:vMerge/>
            <w:vAlign w:val="center"/>
          </w:tcPr>
          <w:p w14:paraId="37ABC9C0"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28B4746C"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vAlign w:val="center"/>
          </w:tcPr>
          <w:p w14:paraId="2DE32B20"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noWrap/>
            <w:vAlign w:val="center"/>
          </w:tcPr>
          <w:p w14:paraId="7EFA46EF"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418" w:type="dxa"/>
            <w:vMerge/>
            <w:vAlign w:val="center"/>
          </w:tcPr>
          <w:p w14:paraId="628036A2"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559" w:type="dxa"/>
            <w:vMerge w:val="restart"/>
            <w:vAlign w:val="center"/>
          </w:tcPr>
          <w:p w14:paraId="6BBCCFC6" w14:textId="77777777" w:rsidR="00770EA9" w:rsidRDefault="00770EA9">
            <w:pPr>
              <w:spacing w:after="0" w:line="240" w:lineRule="auto"/>
              <w:jc w:val="center"/>
              <w:rPr>
                <w:rFonts w:eastAsia="Times New Roman" w:cs="Times New Roman"/>
                <w:color w:val="000000"/>
                <w:kern w:val="0"/>
                <w:sz w:val="18"/>
                <w:szCs w:val="18"/>
                <w:lang w:eastAsia="en-AU"/>
                <w14:ligatures w14:val="none"/>
              </w:rPr>
            </w:pPr>
            <w:r>
              <w:rPr>
                <w:rFonts w:eastAsia="Times New Roman" w:cs="Times New Roman"/>
                <w:color w:val="000000"/>
                <w:kern w:val="0"/>
                <w:sz w:val="18"/>
                <w:szCs w:val="18"/>
                <w:lang w:eastAsia="en-AU"/>
                <w14:ligatures w14:val="none"/>
              </w:rPr>
              <w:t>No specific value provided</w:t>
            </w:r>
          </w:p>
          <w:p w14:paraId="457BC07D" w14:textId="77777777" w:rsidR="00770EA9" w:rsidRDefault="00770EA9">
            <w:pPr>
              <w:spacing w:after="0" w:line="240" w:lineRule="auto"/>
              <w:jc w:val="center"/>
              <w:rPr>
                <w:rFonts w:eastAsia="Times New Roman" w:cs="Times New Roman"/>
                <w:color w:val="000000"/>
                <w:kern w:val="0"/>
                <w:sz w:val="18"/>
                <w:szCs w:val="18"/>
                <w:lang w:eastAsia="en-AU"/>
                <w14:ligatures w14:val="none"/>
              </w:rPr>
            </w:pPr>
          </w:p>
          <w:p w14:paraId="37944212"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E369AF">
              <w:rPr>
                <w:rFonts w:eastAsia="Times New Roman" w:cs="Times New Roman"/>
                <w:color w:val="000000"/>
                <w:kern w:val="0"/>
                <w:sz w:val="18"/>
                <w:szCs w:val="18"/>
                <w:lang w:eastAsia="en-AU"/>
                <w14:ligatures w14:val="none"/>
              </w:rPr>
              <w:t xml:space="preserve">For children aged 2–15 years, WHO recommends adjusting the adult dose </w:t>
            </w:r>
            <w:r>
              <w:rPr>
                <w:rFonts w:eastAsia="Times New Roman" w:cs="Times New Roman"/>
                <w:color w:val="000000"/>
                <w:kern w:val="0"/>
                <w:sz w:val="18"/>
                <w:szCs w:val="18"/>
                <w:lang w:eastAsia="en-AU"/>
                <w14:ligatures w14:val="none"/>
              </w:rPr>
              <w:t xml:space="preserve">(2,000 mg/day) </w:t>
            </w:r>
            <w:r w:rsidRPr="00E369AF">
              <w:rPr>
                <w:rFonts w:eastAsia="Times New Roman" w:cs="Times New Roman"/>
                <w:color w:val="000000"/>
                <w:kern w:val="0"/>
                <w:sz w:val="18"/>
                <w:szCs w:val="18"/>
                <w:lang w:eastAsia="en-AU"/>
                <w14:ligatures w14:val="none"/>
              </w:rPr>
              <w:t>downward based on energy requirements.</w:t>
            </w:r>
          </w:p>
        </w:tc>
      </w:tr>
      <w:tr w:rsidR="00770EA9" w:rsidRPr="00F7416B" w14:paraId="200FE063" w14:textId="77777777" w:rsidTr="00770EA9">
        <w:trPr>
          <w:trHeight w:val="255"/>
        </w:trPr>
        <w:tc>
          <w:tcPr>
            <w:tcW w:w="846" w:type="dxa"/>
            <w:noWrap/>
          </w:tcPr>
          <w:p w14:paraId="1091D81E" w14:textId="77777777" w:rsidR="00770EA9" w:rsidRPr="00F7416B" w:rsidRDefault="00770EA9">
            <w:pPr>
              <w:spacing w:after="0" w:line="240" w:lineRule="auto"/>
              <w:rPr>
                <w:rFonts w:eastAsia="Times New Roman" w:cs="Times New Roman"/>
                <w:color w:val="000000"/>
                <w:kern w:val="0"/>
                <w:sz w:val="18"/>
                <w:szCs w:val="18"/>
                <w:lang w:eastAsia="en-AU"/>
                <w14:ligatures w14:val="none"/>
              </w:rPr>
            </w:pPr>
            <w:r w:rsidRPr="00F7416B">
              <w:rPr>
                <w:sz w:val="18"/>
                <w:szCs w:val="18"/>
              </w:rPr>
              <w:t>3 yr</w:t>
            </w:r>
          </w:p>
        </w:tc>
        <w:tc>
          <w:tcPr>
            <w:tcW w:w="1417" w:type="dxa"/>
            <w:vMerge/>
            <w:vAlign w:val="center"/>
          </w:tcPr>
          <w:p w14:paraId="461CB1F1"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0B86F936"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vAlign w:val="center"/>
          </w:tcPr>
          <w:p w14:paraId="541333F4"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noWrap/>
            <w:vAlign w:val="center"/>
          </w:tcPr>
          <w:p w14:paraId="7FBCFF56"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418" w:type="dxa"/>
            <w:vMerge/>
            <w:vAlign w:val="center"/>
          </w:tcPr>
          <w:p w14:paraId="109C956F"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559" w:type="dxa"/>
            <w:vMerge/>
          </w:tcPr>
          <w:p w14:paraId="621D7B4B"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r>
      <w:tr w:rsidR="00770EA9" w:rsidRPr="00F7416B" w14:paraId="573E7849" w14:textId="77777777" w:rsidTr="00770EA9">
        <w:trPr>
          <w:trHeight w:val="255"/>
        </w:trPr>
        <w:tc>
          <w:tcPr>
            <w:tcW w:w="846" w:type="dxa"/>
            <w:noWrap/>
          </w:tcPr>
          <w:p w14:paraId="1C1FFE46" w14:textId="77777777" w:rsidR="00770EA9" w:rsidRPr="00F7416B" w:rsidRDefault="00770EA9">
            <w:pPr>
              <w:spacing w:after="0" w:line="240" w:lineRule="auto"/>
              <w:rPr>
                <w:rFonts w:eastAsia="Times New Roman" w:cs="Times New Roman"/>
                <w:color w:val="000000"/>
                <w:kern w:val="0"/>
                <w:sz w:val="18"/>
                <w:szCs w:val="18"/>
                <w:lang w:eastAsia="en-AU"/>
                <w14:ligatures w14:val="none"/>
              </w:rPr>
            </w:pPr>
            <w:r w:rsidRPr="00F7416B">
              <w:rPr>
                <w:sz w:val="18"/>
                <w:szCs w:val="18"/>
              </w:rPr>
              <w:t>4 yr</w:t>
            </w:r>
          </w:p>
        </w:tc>
        <w:tc>
          <w:tcPr>
            <w:tcW w:w="1417" w:type="dxa"/>
            <w:vMerge w:val="restart"/>
            <w:vAlign w:val="center"/>
          </w:tcPr>
          <w:p w14:paraId="126A81C6" w14:textId="6E4D8F8D"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1,250</w:t>
            </w:r>
          </w:p>
        </w:tc>
        <w:tc>
          <w:tcPr>
            <w:tcW w:w="1276" w:type="dxa"/>
            <w:vMerge w:val="restart"/>
            <w:noWrap/>
            <w:vAlign w:val="center"/>
          </w:tcPr>
          <w:p w14:paraId="1A2F2B2E"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1,300*</w:t>
            </w:r>
          </w:p>
        </w:tc>
        <w:tc>
          <w:tcPr>
            <w:tcW w:w="1134" w:type="dxa"/>
            <w:vMerge w:val="restart"/>
            <w:vAlign w:val="center"/>
          </w:tcPr>
          <w:p w14:paraId="1E983B89"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1,500</w:t>
            </w:r>
          </w:p>
        </w:tc>
        <w:tc>
          <w:tcPr>
            <w:tcW w:w="1134" w:type="dxa"/>
            <w:vMerge w:val="restart"/>
            <w:noWrap/>
            <w:vAlign w:val="center"/>
          </w:tcPr>
          <w:p w14:paraId="5130B69C"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1,400</w:t>
            </w:r>
          </w:p>
        </w:tc>
        <w:tc>
          <w:tcPr>
            <w:tcW w:w="1418" w:type="dxa"/>
            <w:vMerge/>
            <w:vAlign w:val="center"/>
          </w:tcPr>
          <w:p w14:paraId="54DA4F38"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559" w:type="dxa"/>
            <w:vMerge/>
          </w:tcPr>
          <w:p w14:paraId="561DFB4C"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r>
      <w:tr w:rsidR="00770EA9" w:rsidRPr="00F7416B" w14:paraId="13D6C3F2" w14:textId="77777777" w:rsidTr="00770EA9">
        <w:trPr>
          <w:trHeight w:val="255"/>
        </w:trPr>
        <w:tc>
          <w:tcPr>
            <w:tcW w:w="846" w:type="dxa"/>
            <w:noWrap/>
          </w:tcPr>
          <w:p w14:paraId="12997505" w14:textId="77777777" w:rsidR="00770EA9" w:rsidRPr="00F7416B" w:rsidRDefault="00770EA9">
            <w:pPr>
              <w:spacing w:after="0" w:line="240" w:lineRule="auto"/>
              <w:rPr>
                <w:rFonts w:eastAsia="Times New Roman" w:cs="Times New Roman"/>
                <w:color w:val="000000"/>
                <w:kern w:val="0"/>
                <w:sz w:val="18"/>
                <w:szCs w:val="18"/>
                <w:lang w:eastAsia="en-AU"/>
                <w14:ligatures w14:val="none"/>
              </w:rPr>
            </w:pPr>
            <w:r w:rsidRPr="00F7416B">
              <w:rPr>
                <w:sz w:val="18"/>
                <w:szCs w:val="18"/>
              </w:rPr>
              <w:t>5 yr</w:t>
            </w:r>
          </w:p>
        </w:tc>
        <w:tc>
          <w:tcPr>
            <w:tcW w:w="1417" w:type="dxa"/>
            <w:vMerge/>
            <w:vAlign w:val="center"/>
          </w:tcPr>
          <w:p w14:paraId="242AF4E5"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1F1209E3"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vAlign w:val="center"/>
          </w:tcPr>
          <w:p w14:paraId="12121AB1"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noWrap/>
            <w:vAlign w:val="center"/>
          </w:tcPr>
          <w:p w14:paraId="5B96A7E1"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418" w:type="dxa"/>
            <w:vMerge/>
            <w:vAlign w:val="center"/>
          </w:tcPr>
          <w:p w14:paraId="3DB349B1"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559" w:type="dxa"/>
            <w:vMerge/>
          </w:tcPr>
          <w:p w14:paraId="221ED4CF"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r>
      <w:tr w:rsidR="00770EA9" w:rsidRPr="00F7416B" w14:paraId="1676A744" w14:textId="77777777" w:rsidTr="00770EA9">
        <w:trPr>
          <w:trHeight w:val="255"/>
        </w:trPr>
        <w:tc>
          <w:tcPr>
            <w:tcW w:w="846" w:type="dxa"/>
            <w:noWrap/>
          </w:tcPr>
          <w:p w14:paraId="3127DDFA" w14:textId="77777777" w:rsidR="00770EA9" w:rsidRPr="00F7416B" w:rsidRDefault="00770EA9">
            <w:pPr>
              <w:spacing w:after="0" w:line="240" w:lineRule="auto"/>
              <w:rPr>
                <w:rFonts w:eastAsia="Times New Roman" w:cs="Times New Roman"/>
                <w:color w:val="000000"/>
                <w:kern w:val="0"/>
                <w:sz w:val="18"/>
                <w:szCs w:val="18"/>
                <w:lang w:eastAsia="en-AU"/>
                <w14:ligatures w14:val="none"/>
              </w:rPr>
            </w:pPr>
            <w:r w:rsidRPr="00F7416B">
              <w:rPr>
                <w:sz w:val="18"/>
                <w:szCs w:val="18"/>
              </w:rPr>
              <w:t>6 yr</w:t>
            </w:r>
          </w:p>
        </w:tc>
        <w:tc>
          <w:tcPr>
            <w:tcW w:w="1417" w:type="dxa"/>
            <w:vMerge/>
            <w:vAlign w:val="center"/>
          </w:tcPr>
          <w:p w14:paraId="617B8919"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5F9F8DBA"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vAlign w:val="center"/>
          </w:tcPr>
          <w:p w14:paraId="070D0718"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noWrap/>
            <w:vAlign w:val="center"/>
          </w:tcPr>
          <w:p w14:paraId="19D5D420"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418" w:type="dxa"/>
            <w:vMerge/>
            <w:vAlign w:val="center"/>
          </w:tcPr>
          <w:p w14:paraId="3B379024"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559" w:type="dxa"/>
            <w:vMerge/>
          </w:tcPr>
          <w:p w14:paraId="5DA1779D"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r>
      <w:tr w:rsidR="00770EA9" w:rsidRPr="00F7416B" w14:paraId="57B6D950" w14:textId="77777777" w:rsidTr="00770EA9">
        <w:trPr>
          <w:trHeight w:val="255"/>
        </w:trPr>
        <w:tc>
          <w:tcPr>
            <w:tcW w:w="846" w:type="dxa"/>
            <w:noWrap/>
          </w:tcPr>
          <w:p w14:paraId="60FB9E63" w14:textId="77777777" w:rsidR="00770EA9" w:rsidRPr="00F7416B" w:rsidRDefault="00770EA9">
            <w:pPr>
              <w:spacing w:after="0" w:line="240" w:lineRule="auto"/>
              <w:rPr>
                <w:rFonts w:eastAsia="Times New Roman" w:cs="Times New Roman"/>
                <w:color w:val="000000"/>
                <w:kern w:val="0"/>
                <w:sz w:val="18"/>
                <w:szCs w:val="18"/>
                <w:lang w:eastAsia="en-AU"/>
                <w14:ligatures w14:val="none"/>
              </w:rPr>
            </w:pPr>
            <w:r w:rsidRPr="00F7416B">
              <w:rPr>
                <w:sz w:val="18"/>
                <w:szCs w:val="18"/>
              </w:rPr>
              <w:t>7 yr</w:t>
            </w:r>
          </w:p>
        </w:tc>
        <w:tc>
          <w:tcPr>
            <w:tcW w:w="1417" w:type="dxa"/>
            <w:vMerge/>
            <w:vAlign w:val="center"/>
          </w:tcPr>
          <w:p w14:paraId="2FF82F22"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276" w:type="dxa"/>
            <w:vMerge w:val="restart"/>
            <w:noWrap/>
            <w:vAlign w:val="center"/>
          </w:tcPr>
          <w:p w14:paraId="0B6090AA"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1,700*</w:t>
            </w:r>
          </w:p>
        </w:tc>
        <w:tc>
          <w:tcPr>
            <w:tcW w:w="1134" w:type="dxa"/>
            <w:vMerge/>
            <w:vAlign w:val="center"/>
          </w:tcPr>
          <w:p w14:paraId="129A7D29"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val="restart"/>
            <w:noWrap/>
            <w:vAlign w:val="center"/>
          </w:tcPr>
          <w:p w14:paraId="4BC05899"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1,700</w:t>
            </w:r>
          </w:p>
        </w:tc>
        <w:tc>
          <w:tcPr>
            <w:tcW w:w="1418" w:type="dxa"/>
            <w:vMerge/>
            <w:vAlign w:val="center"/>
          </w:tcPr>
          <w:p w14:paraId="2D13C318"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559" w:type="dxa"/>
            <w:vMerge/>
          </w:tcPr>
          <w:p w14:paraId="6A303D91"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r>
      <w:tr w:rsidR="00770EA9" w:rsidRPr="00F7416B" w14:paraId="3356413F" w14:textId="77777777" w:rsidTr="00770EA9">
        <w:trPr>
          <w:trHeight w:val="255"/>
        </w:trPr>
        <w:tc>
          <w:tcPr>
            <w:tcW w:w="846" w:type="dxa"/>
            <w:noWrap/>
          </w:tcPr>
          <w:p w14:paraId="1CBBB2A6" w14:textId="77777777" w:rsidR="00770EA9" w:rsidRPr="00F7416B" w:rsidRDefault="00770EA9">
            <w:pPr>
              <w:spacing w:after="0" w:line="240" w:lineRule="auto"/>
              <w:rPr>
                <w:rFonts w:eastAsia="Times New Roman" w:cs="Times New Roman"/>
                <w:color w:val="000000"/>
                <w:kern w:val="0"/>
                <w:sz w:val="18"/>
                <w:szCs w:val="18"/>
                <w:lang w:eastAsia="en-AU"/>
                <w14:ligatures w14:val="none"/>
              </w:rPr>
            </w:pPr>
            <w:r w:rsidRPr="00F7416B">
              <w:rPr>
                <w:sz w:val="18"/>
                <w:szCs w:val="18"/>
              </w:rPr>
              <w:t>8 yr</w:t>
            </w:r>
          </w:p>
        </w:tc>
        <w:tc>
          <w:tcPr>
            <w:tcW w:w="1417" w:type="dxa"/>
            <w:vMerge/>
            <w:vAlign w:val="center"/>
          </w:tcPr>
          <w:p w14:paraId="67C142F3"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305D415D"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vAlign w:val="center"/>
          </w:tcPr>
          <w:p w14:paraId="04A14EA7"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noWrap/>
            <w:vAlign w:val="center"/>
          </w:tcPr>
          <w:p w14:paraId="3B53032F"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418" w:type="dxa"/>
            <w:vMerge/>
            <w:vAlign w:val="center"/>
          </w:tcPr>
          <w:p w14:paraId="7AADE37C"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559" w:type="dxa"/>
            <w:vMerge/>
          </w:tcPr>
          <w:p w14:paraId="7BFCFBD6"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r>
      <w:tr w:rsidR="00770EA9" w:rsidRPr="00F7416B" w14:paraId="5C0AA652" w14:textId="77777777" w:rsidTr="00770EA9">
        <w:trPr>
          <w:trHeight w:val="255"/>
        </w:trPr>
        <w:tc>
          <w:tcPr>
            <w:tcW w:w="846" w:type="dxa"/>
            <w:noWrap/>
          </w:tcPr>
          <w:p w14:paraId="0F11D526" w14:textId="77777777" w:rsidR="00770EA9" w:rsidRPr="00F7416B" w:rsidRDefault="00770EA9">
            <w:pPr>
              <w:spacing w:after="0" w:line="240" w:lineRule="auto"/>
              <w:rPr>
                <w:rFonts w:eastAsia="Times New Roman" w:cs="Times New Roman"/>
                <w:color w:val="000000"/>
                <w:kern w:val="0"/>
                <w:sz w:val="18"/>
                <w:szCs w:val="18"/>
                <w:lang w:eastAsia="en-AU"/>
                <w14:ligatures w14:val="none"/>
              </w:rPr>
            </w:pPr>
            <w:r w:rsidRPr="00F7416B">
              <w:rPr>
                <w:sz w:val="18"/>
                <w:szCs w:val="18"/>
              </w:rPr>
              <w:t>9 yr</w:t>
            </w:r>
          </w:p>
        </w:tc>
        <w:tc>
          <w:tcPr>
            <w:tcW w:w="1417" w:type="dxa"/>
            <w:vMerge w:val="restart"/>
            <w:vAlign w:val="center"/>
          </w:tcPr>
          <w:p w14:paraId="3A2ABC51" w14:textId="1354E8A1"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rFonts w:eastAsia="Times New Roman" w:cs="Times New Roman"/>
                <w:color w:val="000000"/>
                <w:kern w:val="0"/>
                <w:sz w:val="18"/>
                <w:szCs w:val="18"/>
                <w:lang w:eastAsia="en-AU"/>
                <w14:ligatures w14:val="none"/>
              </w:rPr>
              <w:t>1,750</w:t>
            </w:r>
          </w:p>
        </w:tc>
        <w:tc>
          <w:tcPr>
            <w:tcW w:w="1276" w:type="dxa"/>
            <w:vMerge/>
            <w:noWrap/>
            <w:vAlign w:val="center"/>
          </w:tcPr>
          <w:p w14:paraId="22F05FF3"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val="restart"/>
            <w:vAlign w:val="center"/>
          </w:tcPr>
          <w:p w14:paraId="7A9DB009"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1,800</w:t>
            </w:r>
          </w:p>
        </w:tc>
        <w:tc>
          <w:tcPr>
            <w:tcW w:w="1134" w:type="dxa"/>
            <w:vMerge/>
            <w:noWrap/>
            <w:vAlign w:val="center"/>
          </w:tcPr>
          <w:p w14:paraId="0E774368"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418" w:type="dxa"/>
            <w:vMerge/>
            <w:vAlign w:val="center"/>
          </w:tcPr>
          <w:p w14:paraId="1061A342"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559" w:type="dxa"/>
            <w:vMerge/>
          </w:tcPr>
          <w:p w14:paraId="0CC0D07B"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r>
      <w:tr w:rsidR="00770EA9" w:rsidRPr="00F7416B" w14:paraId="3EFA7795" w14:textId="77777777" w:rsidTr="00770EA9">
        <w:trPr>
          <w:trHeight w:val="255"/>
        </w:trPr>
        <w:tc>
          <w:tcPr>
            <w:tcW w:w="846" w:type="dxa"/>
            <w:noWrap/>
          </w:tcPr>
          <w:p w14:paraId="1F9B7501" w14:textId="77777777" w:rsidR="00770EA9" w:rsidRPr="00F7416B" w:rsidRDefault="00770EA9">
            <w:pPr>
              <w:spacing w:after="0" w:line="240" w:lineRule="auto"/>
              <w:rPr>
                <w:rFonts w:eastAsia="Times New Roman" w:cs="Times New Roman"/>
                <w:color w:val="000000"/>
                <w:kern w:val="0"/>
                <w:sz w:val="18"/>
                <w:szCs w:val="18"/>
                <w:lang w:eastAsia="en-AU"/>
                <w14:ligatures w14:val="none"/>
              </w:rPr>
            </w:pPr>
            <w:r w:rsidRPr="00F7416B">
              <w:rPr>
                <w:sz w:val="18"/>
                <w:szCs w:val="18"/>
              </w:rPr>
              <w:t>10 yr</w:t>
            </w:r>
          </w:p>
        </w:tc>
        <w:tc>
          <w:tcPr>
            <w:tcW w:w="1417" w:type="dxa"/>
            <w:vMerge/>
            <w:vAlign w:val="center"/>
          </w:tcPr>
          <w:p w14:paraId="29E45958"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2D1954DF"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vAlign w:val="center"/>
          </w:tcPr>
          <w:p w14:paraId="3FD9B5BF"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noWrap/>
            <w:vAlign w:val="center"/>
          </w:tcPr>
          <w:p w14:paraId="1E1E25D9"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418" w:type="dxa"/>
            <w:vMerge/>
            <w:vAlign w:val="center"/>
          </w:tcPr>
          <w:p w14:paraId="059EB7EC"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559" w:type="dxa"/>
            <w:vMerge/>
          </w:tcPr>
          <w:p w14:paraId="35029427"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r>
      <w:tr w:rsidR="00770EA9" w:rsidRPr="00F7416B" w14:paraId="1B18E9A3" w14:textId="77777777" w:rsidTr="00770EA9">
        <w:trPr>
          <w:trHeight w:val="255"/>
        </w:trPr>
        <w:tc>
          <w:tcPr>
            <w:tcW w:w="846" w:type="dxa"/>
            <w:noWrap/>
          </w:tcPr>
          <w:p w14:paraId="29CA59AF" w14:textId="77777777" w:rsidR="00770EA9" w:rsidRPr="00F7416B" w:rsidRDefault="00770EA9">
            <w:pPr>
              <w:spacing w:after="0" w:line="240" w:lineRule="auto"/>
              <w:rPr>
                <w:rFonts w:eastAsia="Times New Roman" w:cs="Times New Roman"/>
                <w:color w:val="000000"/>
                <w:kern w:val="0"/>
                <w:sz w:val="18"/>
                <w:szCs w:val="18"/>
                <w:lang w:eastAsia="en-AU"/>
                <w14:ligatures w14:val="none"/>
              </w:rPr>
            </w:pPr>
            <w:r w:rsidRPr="00F7416B">
              <w:rPr>
                <w:sz w:val="18"/>
                <w:szCs w:val="18"/>
              </w:rPr>
              <w:t>11 yr</w:t>
            </w:r>
          </w:p>
        </w:tc>
        <w:tc>
          <w:tcPr>
            <w:tcW w:w="1417" w:type="dxa"/>
            <w:vMerge/>
            <w:vAlign w:val="center"/>
          </w:tcPr>
          <w:p w14:paraId="52DF5E26"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276" w:type="dxa"/>
            <w:vMerge w:val="restart"/>
            <w:noWrap/>
            <w:vAlign w:val="center"/>
          </w:tcPr>
          <w:p w14:paraId="4CBB1F14"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2,000*</w:t>
            </w:r>
          </w:p>
        </w:tc>
        <w:tc>
          <w:tcPr>
            <w:tcW w:w="1134" w:type="dxa"/>
            <w:vMerge/>
            <w:vAlign w:val="center"/>
          </w:tcPr>
          <w:p w14:paraId="41A429E4"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val="restart"/>
            <w:noWrap/>
            <w:vAlign w:val="center"/>
          </w:tcPr>
          <w:p w14:paraId="51E7F1AF"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2,300</w:t>
            </w:r>
          </w:p>
        </w:tc>
        <w:tc>
          <w:tcPr>
            <w:tcW w:w="1418" w:type="dxa"/>
            <w:vMerge/>
            <w:vAlign w:val="center"/>
          </w:tcPr>
          <w:p w14:paraId="4A2FA8F4"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559" w:type="dxa"/>
            <w:vMerge/>
          </w:tcPr>
          <w:p w14:paraId="21718570"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r>
      <w:tr w:rsidR="00770EA9" w:rsidRPr="00F7416B" w14:paraId="1F67F1E2" w14:textId="77777777" w:rsidTr="00770EA9">
        <w:trPr>
          <w:trHeight w:val="255"/>
        </w:trPr>
        <w:tc>
          <w:tcPr>
            <w:tcW w:w="846" w:type="dxa"/>
            <w:noWrap/>
          </w:tcPr>
          <w:p w14:paraId="25C7E4CA" w14:textId="77777777" w:rsidR="00770EA9" w:rsidRPr="00F7416B" w:rsidRDefault="00770EA9">
            <w:pPr>
              <w:spacing w:after="0" w:line="240" w:lineRule="auto"/>
              <w:rPr>
                <w:rFonts w:eastAsia="Times New Roman" w:cs="Times New Roman"/>
                <w:color w:val="000000"/>
                <w:kern w:val="0"/>
                <w:sz w:val="18"/>
                <w:szCs w:val="18"/>
                <w:lang w:eastAsia="en-AU"/>
                <w14:ligatures w14:val="none"/>
              </w:rPr>
            </w:pPr>
            <w:r w:rsidRPr="00F7416B">
              <w:rPr>
                <w:sz w:val="18"/>
                <w:szCs w:val="18"/>
              </w:rPr>
              <w:t>12 yr</w:t>
            </w:r>
          </w:p>
        </w:tc>
        <w:tc>
          <w:tcPr>
            <w:tcW w:w="1417" w:type="dxa"/>
            <w:vMerge/>
            <w:vAlign w:val="center"/>
          </w:tcPr>
          <w:p w14:paraId="00A0D34E"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3B1F6435"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vAlign w:val="center"/>
          </w:tcPr>
          <w:p w14:paraId="3E5418D6"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noWrap/>
            <w:vAlign w:val="center"/>
          </w:tcPr>
          <w:p w14:paraId="3B49A827"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418" w:type="dxa"/>
            <w:vMerge/>
            <w:vAlign w:val="center"/>
          </w:tcPr>
          <w:p w14:paraId="13C4B4EA"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559" w:type="dxa"/>
            <w:vMerge/>
          </w:tcPr>
          <w:p w14:paraId="7C5D3930"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r>
      <w:tr w:rsidR="00770EA9" w:rsidRPr="00F7416B" w14:paraId="3B4A5811" w14:textId="77777777" w:rsidTr="00770EA9">
        <w:trPr>
          <w:trHeight w:val="255"/>
        </w:trPr>
        <w:tc>
          <w:tcPr>
            <w:tcW w:w="846" w:type="dxa"/>
            <w:noWrap/>
          </w:tcPr>
          <w:p w14:paraId="71B71FEC" w14:textId="77777777" w:rsidR="00770EA9" w:rsidRPr="00F7416B" w:rsidRDefault="00770EA9">
            <w:pPr>
              <w:spacing w:after="0" w:line="240" w:lineRule="auto"/>
              <w:rPr>
                <w:rFonts w:eastAsia="Times New Roman" w:cs="Times New Roman"/>
                <w:color w:val="000000"/>
                <w:kern w:val="0"/>
                <w:sz w:val="18"/>
                <w:szCs w:val="18"/>
                <w:lang w:eastAsia="en-AU"/>
                <w14:ligatures w14:val="none"/>
              </w:rPr>
            </w:pPr>
            <w:r w:rsidRPr="00F7416B">
              <w:rPr>
                <w:sz w:val="18"/>
                <w:szCs w:val="18"/>
              </w:rPr>
              <w:t>13 yr</w:t>
            </w:r>
          </w:p>
        </w:tc>
        <w:tc>
          <w:tcPr>
            <w:tcW w:w="1417" w:type="dxa"/>
            <w:vMerge/>
            <w:vAlign w:val="center"/>
          </w:tcPr>
          <w:p w14:paraId="1950A31D"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7DFE1823"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vAlign w:val="center"/>
          </w:tcPr>
          <w:p w14:paraId="17F0F62C"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noWrap/>
            <w:vAlign w:val="center"/>
          </w:tcPr>
          <w:p w14:paraId="1220A86A"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418" w:type="dxa"/>
            <w:vMerge/>
            <w:vAlign w:val="center"/>
          </w:tcPr>
          <w:p w14:paraId="09E9A75A"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559" w:type="dxa"/>
            <w:vMerge/>
          </w:tcPr>
          <w:p w14:paraId="63C5EE0D"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r>
      <w:tr w:rsidR="00770EA9" w:rsidRPr="00F7416B" w14:paraId="47CCE1A2" w14:textId="77777777" w:rsidTr="00770EA9">
        <w:trPr>
          <w:trHeight w:val="255"/>
        </w:trPr>
        <w:tc>
          <w:tcPr>
            <w:tcW w:w="846" w:type="dxa"/>
            <w:noWrap/>
          </w:tcPr>
          <w:p w14:paraId="2E215ADF" w14:textId="77777777" w:rsidR="00770EA9" w:rsidRPr="00F7416B" w:rsidRDefault="00770EA9">
            <w:pPr>
              <w:spacing w:after="0" w:line="240" w:lineRule="auto"/>
              <w:rPr>
                <w:rFonts w:eastAsia="Times New Roman" w:cs="Times New Roman"/>
                <w:color w:val="000000"/>
                <w:kern w:val="0"/>
                <w:sz w:val="18"/>
                <w:szCs w:val="18"/>
                <w:lang w:eastAsia="en-AU"/>
                <w14:ligatures w14:val="none"/>
              </w:rPr>
            </w:pPr>
            <w:r w:rsidRPr="00F7416B">
              <w:rPr>
                <w:sz w:val="18"/>
                <w:szCs w:val="18"/>
              </w:rPr>
              <w:t>14 yr</w:t>
            </w:r>
          </w:p>
        </w:tc>
        <w:tc>
          <w:tcPr>
            <w:tcW w:w="1417" w:type="dxa"/>
            <w:vMerge w:val="restart"/>
            <w:vAlign w:val="center"/>
          </w:tcPr>
          <w:p w14:paraId="50A7D68E" w14:textId="65FBABB3"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rFonts w:eastAsia="Times New Roman" w:cs="Times New Roman"/>
                <w:color w:val="000000"/>
                <w:kern w:val="0"/>
                <w:sz w:val="18"/>
                <w:szCs w:val="18"/>
                <w:lang w:eastAsia="en-AU"/>
                <w14:ligatures w14:val="none"/>
              </w:rPr>
              <w:t>2,000</w:t>
            </w:r>
          </w:p>
        </w:tc>
        <w:tc>
          <w:tcPr>
            <w:tcW w:w="1276" w:type="dxa"/>
            <w:vMerge/>
            <w:noWrap/>
            <w:vAlign w:val="center"/>
          </w:tcPr>
          <w:p w14:paraId="710E0929"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val="restart"/>
            <w:vAlign w:val="center"/>
          </w:tcPr>
          <w:p w14:paraId="42825677"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2,300</w:t>
            </w:r>
          </w:p>
        </w:tc>
        <w:tc>
          <w:tcPr>
            <w:tcW w:w="1134" w:type="dxa"/>
            <w:vMerge/>
            <w:noWrap/>
            <w:vAlign w:val="center"/>
          </w:tcPr>
          <w:p w14:paraId="1D3BF4B7"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418" w:type="dxa"/>
            <w:vMerge/>
            <w:vAlign w:val="center"/>
          </w:tcPr>
          <w:p w14:paraId="2027D006"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559" w:type="dxa"/>
            <w:vMerge/>
          </w:tcPr>
          <w:p w14:paraId="32642ADB"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r>
      <w:tr w:rsidR="00770EA9" w:rsidRPr="00F7416B" w14:paraId="2A9EABD3" w14:textId="77777777" w:rsidTr="00770EA9">
        <w:trPr>
          <w:trHeight w:val="255"/>
        </w:trPr>
        <w:tc>
          <w:tcPr>
            <w:tcW w:w="846" w:type="dxa"/>
            <w:noWrap/>
          </w:tcPr>
          <w:p w14:paraId="19F8E809" w14:textId="77777777" w:rsidR="00770EA9" w:rsidRPr="00F7416B" w:rsidRDefault="00770EA9">
            <w:pPr>
              <w:spacing w:after="0" w:line="240" w:lineRule="auto"/>
              <w:rPr>
                <w:rFonts w:eastAsia="Times New Roman" w:cs="Times New Roman"/>
                <w:color w:val="000000"/>
                <w:kern w:val="0"/>
                <w:sz w:val="18"/>
                <w:szCs w:val="18"/>
                <w:lang w:eastAsia="en-AU"/>
                <w14:ligatures w14:val="none"/>
              </w:rPr>
            </w:pPr>
            <w:r w:rsidRPr="00F7416B">
              <w:rPr>
                <w:sz w:val="18"/>
                <w:szCs w:val="18"/>
              </w:rPr>
              <w:t>15 yr</w:t>
            </w:r>
          </w:p>
        </w:tc>
        <w:tc>
          <w:tcPr>
            <w:tcW w:w="1417" w:type="dxa"/>
            <w:vMerge/>
            <w:vAlign w:val="center"/>
          </w:tcPr>
          <w:p w14:paraId="7CEA4F1F"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1142141E"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vAlign w:val="center"/>
          </w:tcPr>
          <w:p w14:paraId="2F0A7BFF"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val="restart"/>
            <w:noWrap/>
            <w:vAlign w:val="center"/>
          </w:tcPr>
          <w:p w14:paraId="4043A8D9"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2,300</w:t>
            </w:r>
          </w:p>
        </w:tc>
        <w:tc>
          <w:tcPr>
            <w:tcW w:w="1418" w:type="dxa"/>
            <w:vMerge/>
            <w:vAlign w:val="center"/>
          </w:tcPr>
          <w:p w14:paraId="7EB1640C"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559" w:type="dxa"/>
            <w:vMerge/>
          </w:tcPr>
          <w:p w14:paraId="76580AAE"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r>
      <w:tr w:rsidR="00770EA9" w:rsidRPr="00F7416B" w14:paraId="35655650" w14:textId="77777777" w:rsidTr="00770EA9">
        <w:trPr>
          <w:trHeight w:val="255"/>
        </w:trPr>
        <w:tc>
          <w:tcPr>
            <w:tcW w:w="846" w:type="dxa"/>
            <w:noWrap/>
            <w:vAlign w:val="center"/>
          </w:tcPr>
          <w:p w14:paraId="243285CF" w14:textId="77777777" w:rsidR="00770EA9" w:rsidRPr="00F7416B" w:rsidRDefault="00770EA9">
            <w:pPr>
              <w:spacing w:after="0" w:line="240" w:lineRule="auto"/>
              <w:rPr>
                <w:sz w:val="18"/>
                <w:szCs w:val="18"/>
              </w:rPr>
            </w:pPr>
            <w:r w:rsidRPr="00F7416B">
              <w:rPr>
                <w:sz w:val="18"/>
                <w:szCs w:val="18"/>
              </w:rPr>
              <w:t>16 yr</w:t>
            </w:r>
          </w:p>
        </w:tc>
        <w:tc>
          <w:tcPr>
            <w:tcW w:w="1417" w:type="dxa"/>
            <w:vMerge/>
            <w:vAlign w:val="center"/>
          </w:tcPr>
          <w:p w14:paraId="41442CF7"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4C04B135"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vAlign w:val="center"/>
          </w:tcPr>
          <w:p w14:paraId="6B0F237B"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noWrap/>
            <w:vAlign w:val="center"/>
          </w:tcPr>
          <w:p w14:paraId="3ED10EBC"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418" w:type="dxa"/>
            <w:vMerge/>
          </w:tcPr>
          <w:p w14:paraId="752F0F3F"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559" w:type="dxa"/>
            <w:vMerge w:val="restart"/>
            <w:vAlign w:val="center"/>
          </w:tcPr>
          <w:p w14:paraId="2968D2A2"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r>
              <w:rPr>
                <w:rFonts w:eastAsia="Times New Roman" w:cs="Times New Roman"/>
                <w:color w:val="000000"/>
                <w:kern w:val="0"/>
                <w:sz w:val="18"/>
                <w:szCs w:val="18"/>
                <w:lang w:eastAsia="en-AU"/>
                <w14:ligatures w14:val="none"/>
              </w:rPr>
              <w:t>2,000</w:t>
            </w:r>
          </w:p>
        </w:tc>
      </w:tr>
      <w:tr w:rsidR="00770EA9" w:rsidRPr="00F7416B" w14:paraId="61CE43DD" w14:textId="77777777" w:rsidTr="00770EA9">
        <w:trPr>
          <w:trHeight w:val="255"/>
        </w:trPr>
        <w:tc>
          <w:tcPr>
            <w:tcW w:w="846" w:type="dxa"/>
            <w:noWrap/>
            <w:vAlign w:val="center"/>
          </w:tcPr>
          <w:p w14:paraId="0BACFD27" w14:textId="77777777" w:rsidR="00770EA9" w:rsidRPr="00F7416B" w:rsidRDefault="00770EA9">
            <w:pPr>
              <w:spacing w:after="0" w:line="240" w:lineRule="auto"/>
              <w:rPr>
                <w:sz w:val="18"/>
                <w:szCs w:val="18"/>
              </w:rPr>
            </w:pPr>
            <w:r w:rsidRPr="00F7416B">
              <w:rPr>
                <w:sz w:val="18"/>
                <w:szCs w:val="18"/>
              </w:rPr>
              <w:t>17 yr</w:t>
            </w:r>
          </w:p>
        </w:tc>
        <w:tc>
          <w:tcPr>
            <w:tcW w:w="1417" w:type="dxa"/>
            <w:vMerge/>
            <w:vAlign w:val="center"/>
          </w:tcPr>
          <w:p w14:paraId="06787C97"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276" w:type="dxa"/>
            <w:vMerge/>
            <w:noWrap/>
            <w:vAlign w:val="center"/>
          </w:tcPr>
          <w:p w14:paraId="41C8CBD6"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vAlign w:val="center"/>
          </w:tcPr>
          <w:p w14:paraId="4F40A051"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134" w:type="dxa"/>
            <w:vMerge/>
            <w:noWrap/>
            <w:vAlign w:val="center"/>
          </w:tcPr>
          <w:p w14:paraId="7D531984"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418" w:type="dxa"/>
            <w:vMerge/>
          </w:tcPr>
          <w:p w14:paraId="7806D1D7"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c>
          <w:tcPr>
            <w:tcW w:w="1559" w:type="dxa"/>
            <w:vMerge/>
          </w:tcPr>
          <w:p w14:paraId="38AD0CBB" w14:textId="77777777" w:rsidR="00770EA9" w:rsidRPr="00F7416B" w:rsidRDefault="00770EA9">
            <w:pPr>
              <w:spacing w:after="0" w:line="240" w:lineRule="auto"/>
              <w:jc w:val="center"/>
              <w:rPr>
                <w:rFonts w:eastAsia="Times New Roman" w:cs="Times New Roman"/>
                <w:color w:val="000000"/>
                <w:kern w:val="0"/>
                <w:sz w:val="18"/>
                <w:szCs w:val="18"/>
                <w:lang w:eastAsia="en-AU"/>
                <w14:ligatures w14:val="none"/>
              </w:rPr>
            </w:pPr>
          </w:p>
        </w:tc>
      </w:tr>
    </w:tbl>
    <w:p w14:paraId="0F771495" w14:textId="6A33BB7F" w:rsidR="007C4737" w:rsidRPr="007C4737" w:rsidRDefault="007C4737" w:rsidP="007C4737">
      <w:pPr>
        <w:spacing w:line="276" w:lineRule="auto"/>
        <w:rPr>
          <w:color w:val="000000" w:themeColor="text1"/>
        </w:rPr>
      </w:pPr>
      <w:r w:rsidRPr="007C4737">
        <w:rPr>
          <w:color w:val="000000" w:themeColor="text1"/>
        </w:rPr>
        <w:t xml:space="preserve">*EFSA derived a ‘safe and adequate’ value that </w:t>
      </w:r>
      <w:r>
        <w:rPr>
          <w:color w:val="000000" w:themeColor="text1"/>
        </w:rPr>
        <w:t xml:space="preserve">– whilst not strictly a CDRR recommendation, is </w:t>
      </w:r>
      <w:r w:rsidRPr="007C4737">
        <w:rPr>
          <w:color w:val="000000" w:themeColor="text1"/>
        </w:rPr>
        <w:t>comparable to a</w:t>
      </w:r>
      <w:r>
        <w:rPr>
          <w:color w:val="000000" w:themeColor="text1"/>
        </w:rPr>
        <w:t xml:space="preserve"> CDRR</w:t>
      </w:r>
    </w:p>
    <w:p w14:paraId="3B8C6A56" w14:textId="46499887" w:rsidR="009C51E8" w:rsidRDefault="009C51E8" w:rsidP="008954EC">
      <w:pPr>
        <w:spacing w:line="276" w:lineRule="auto"/>
        <w:sectPr w:rsidR="009C51E8" w:rsidSect="005D41BE">
          <w:footnotePr>
            <w:pos w:val="beneathText"/>
          </w:footnotePr>
          <w:pgSz w:w="11906" w:h="16838"/>
          <w:pgMar w:top="1135" w:right="1440" w:bottom="1134" w:left="1440" w:header="708" w:footer="708" w:gutter="0"/>
          <w:cols w:space="708"/>
          <w:docGrid w:linePitch="360"/>
        </w:sectPr>
      </w:pPr>
    </w:p>
    <w:p w14:paraId="19AEC861" w14:textId="392A429A" w:rsidR="0056711E" w:rsidRDefault="0056711E" w:rsidP="00C44EA6">
      <w:pPr>
        <w:pStyle w:val="Heading2"/>
        <w:tabs>
          <w:tab w:val="left" w:pos="5546"/>
        </w:tabs>
      </w:pPr>
      <w:bookmarkStart w:id="93" w:name="_Toc234960872"/>
      <w:r w:rsidRPr="00C44EA6">
        <w:rPr>
          <w:b/>
          <w:bCs/>
        </w:rPr>
        <w:lastRenderedPageBreak/>
        <w:t>Food</w:t>
      </w:r>
      <w:r w:rsidR="003837D2" w:rsidRPr="00C44EA6">
        <w:rPr>
          <w:b/>
          <w:bCs/>
        </w:rPr>
        <w:t xml:space="preserve"> and diet</w:t>
      </w:r>
      <w:r w:rsidRPr="00C44EA6">
        <w:rPr>
          <w:b/>
          <w:bCs/>
        </w:rPr>
        <w:t xml:space="preserve"> modelling</w:t>
      </w:r>
      <w:bookmarkEnd w:id="93"/>
    </w:p>
    <w:p w14:paraId="0630B4BF" w14:textId="04AC58DF" w:rsidR="00425FE9" w:rsidRDefault="00EA757B" w:rsidP="008954EC">
      <w:pPr>
        <w:spacing w:line="276" w:lineRule="auto"/>
        <w:rPr>
          <w:szCs w:val="20"/>
        </w:rPr>
      </w:pPr>
      <w:r>
        <w:rPr>
          <w:szCs w:val="20"/>
        </w:rPr>
        <w:t>Food modelling d</w:t>
      </w:r>
      <w:r w:rsidR="00F307E5" w:rsidRPr="008B7141">
        <w:rPr>
          <w:szCs w:val="20"/>
        </w:rPr>
        <w:t xml:space="preserve">ata </w:t>
      </w:r>
      <w:r>
        <w:rPr>
          <w:szCs w:val="20"/>
        </w:rPr>
        <w:fldChar w:fldCharType="begin"/>
      </w:r>
      <w:r>
        <w:rPr>
          <w:szCs w:val="20"/>
        </w:rPr>
        <w:instrText xml:space="preserve"> ADDIN EN.CITE &lt;EndNote&gt;&lt;Cite ExcludeAuth="1"&gt;&lt;Author&gt;National Health and Medical Research Council&lt;/Author&gt;&lt;Year&gt;2011&lt;/Year&gt;&lt;RecNum&gt;4683&lt;/RecNum&gt;&lt;Prefix&gt;NHMRC`, &lt;/Prefix&gt;&lt;DisplayText&gt;(NHMRC, 2011)&lt;/DisplayText&gt;&lt;record&gt;&lt;rec-number&gt;4683&lt;/rec-number&gt;&lt;foreign-keys&gt;&lt;key app="EN" db-id="wwsdv2wwp29fenerv0kx5tw9zxtx2fdrprx2" timestamp="1776057437"&gt;4683&lt;/key&gt;&lt;/foreign-keys&gt;&lt;ref-type name="Generic"&gt;13&lt;/ref-type&gt;&lt;contributors&gt;&lt;authors&gt;&lt;author&gt;National Health and Medical Research Council, NHMRC&lt;/author&gt;&lt;/authors&gt;&lt;secondary-authors&gt;&lt;author&gt;National Health and Medical Research Council, NHMRC&lt;/author&gt;&lt;/secondary-authors&gt;&lt;/contributors&gt;&lt;titles&gt;&lt;title&gt;A Modelling System to Inform the Revision of the Australian Guide to Healthy Eating&lt;/title&gt;&lt;/titles&gt;&lt;dates&gt;&lt;year&gt;2011&lt;/year&gt;&lt;/dates&gt;&lt;pub-location&gt;Canberra, ACT&lt;/pub-location&gt;&lt;urls&gt;&lt;/urls&gt;&lt;/record&gt;&lt;/Cite&gt;&lt;/EndNote&gt;</w:instrText>
      </w:r>
      <w:r>
        <w:rPr>
          <w:szCs w:val="20"/>
        </w:rPr>
        <w:fldChar w:fldCharType="separate"/>
      </w:r>
      <w:r>
        <w:rPr>
          <w:noProof/>
          <w:szCs w:val="20"/>
        </w:rPr>
        <w:t>(NHMRC, 2011)</w:t>
      </w:r>
      <w:r>
        <w:rPr>
          <w:szCs w:val="20"/>
        </w:rPr>
        <w:fldChar w:fldCharType="end"/>
      </w:r>
      <w:r>
        <w:rPr>
          <w:szCs w:val="20"/>
        </w:rPr>
        <w:t xml:space="preserve"> </w:t>
      </w:r>
      <w:r w:rsidR="00F307E5" w:rsidRPr="008B7141">
        <w:rPr>
          <w:szCs w:val="20"/>
        </w:rPr>
        <w:t xml:space="preserve">developed to inform </w:t>
      </w:r>
      <w:r w:rsidR="00F307E5">
        <w:rPr>
          <w:szCs w:val="20"/>
        </w:rPr>
        <w:t xml:space="preserve">the </w:t>
      </w:r>
      <w:r w:rsidR="00E655A1">
        <w:rPr>
          <w:szCs w:val="20"/>
        </w:rPr>
        <w:t xml:space="preserve">2013 </w:t>
      </w:r>
      <w:r w:rsidR="00F307E5" w:rsidRPr="008B7141">
        <w:rPr>
          <w:szCs w:val="20"/>
        </w:rPr>
        <w:t xml:space="preserve">revision to the Australian </w:t>
      </w:r>
      <w:r w:rsidR="00F307E5">
        <w:rPr>
          <w:szCs w:val="20"/>
        </w:rPr>
        <w:t xml:space="preserve">Guide to Healthy Eating </w:t>
      </w:r>
      <w:r w:rsidR="00F307E5" w:rsidRPr="008B7141">
        <w:rPr>
          <w:szCs w:val="20"/>
        </w:rPr>
        <w:t xml:space="preserve"> were extracted for comparison with NRV recommendations. </w:t>
      </w:r>
      <w:r w:rsidR="002E64EC">
        <w:rPr>
          <w:szCs w:val="20"/>
        </w:rPr>
        <w:t xml:space="preserve">This modelling </w:t>
      </w:r>
      <w:r w:rsidR="002E64EC" w:rsidRPr="002E64EC">
        <w:rPr>
          <w:szCs w:val="20"/>
        </w:rPr>
        <w:t xml:space="preserve">drew on several complementary approaches, including analysis of </w:t>
      </w:r>
      <w:r w:rsidR="002E64EC">
        <w:rPr>
          <w:szCs w:val="20"/>
        </w:rPr>
        <w:t>c</w:t>
      </w:r>
      <w:r w:rsidR="002E64EC" w:rsidRPr="002E64EC">
        <w:rPr>
          <w:szCs w:val="20"/>
        </w:rPr>
        <w:t xml:space="preserve">ore </w:t>
      </w:r>
      <w:r w:rsidR="002E64EC">
        <w:rPr>
          <w:szCs w:val="20"/>
        </w:rPr>
        <w:t>f</w:t>
      </w:r>
      <w:r w:rsidR="002E64EC" w:rsidRPr="002E64EC">
        <w:rPr>
          <w:szCs w:val="20"/>
        </w:rPr>
        <w:t xml:space="preserve">ood </w:t>
      </w:r>
      <w:r w:rsidR="002E64EC">
        <w:rPr>
          <w:szCs w:val="20"/>
        </w:rPr>
        <w:t>g</w:t>
      </w:r>
      <w:r w:rsidR="002E64EC" w:rsidRPr="002E64EC">
        <w:rPr>
          <w:szCs w:val="20"/>
        </w:rPr>
        <w:t>roups, assessment of dietary patterns consistent with the 1998 Australian Dietary Guidelines</w:t>
      </w:r>
      <w:r w:rsidR="002E64EC">
        <w:rPr>
          <w:szCs w:val="20"/>
        </w:rPr>
        <w:t xml:space="preserve"> (current at that time)</w:t>
      </w:r>
      <w:r w:rsidR="002E64EC" w:rsidRPr="002E64EC">
        <w:rPr>
          <w:szCs w:val="20"/>
        </w:rPr>
        <w:t>, and quantitative modelling of Foundation and Total Diets. Together, these approaches were used to identify food group combinations capable of meeting nutrient requirements across age and sex groups while accommodating varying energy needs and dietary patterns.</w:t>
      </w:r>
      <w:r w:rsidR="002E64EC">
        <w:rPr>
          <w:szCs w:val="20"/>
        </w:rPr>
        <w:t xml:space="preserve"> </w:t>
      </w:r>
      <w:r w:rsidR="00F307E5" w:rsidRPr="008B7141">
        <w:rPr>
          <w:szCs w:val="20"/>
        </w:rPr>
        <w:t>Extracted data are presented in</w:t>
      </w:r>
      <w:r w:rsidR="00F307E5">
        <w:rPr>
          <w:szCs w:val="20"/>
        </w:rPr>
        <w:t xml:space="preserve"> </w:t>
      </w:r>
      <w:r w:rsidR="009C51E8">
        <w:rPr>
          <w:szCs w:val="20"/>
        </w:rPr>
        <w:fldChar w:fldCharType="begin"/>
      </w:r>
      <w:r w:rsidR="009C51E8">
        <w:rPr>
          <w:szCs w:val="20"/>
        </w:rPr>
        <w:instrText xml:space="preserve"> REF _Ref226986731 \h </w:instrText>
      </w:r>
      <w:r w:rsidR="009C51E8">
        <w:rPr>
          <w:szCs w:val="20"/>
        </w:rPr>
      </w:r>
      <w:r w:rsidR="009C51E8">
        <w:rPr>
          <w:szCs w:val="20"/>
        </w:rPr>
        <w:fldChar w:fldCharType="separate"/>
      </w:r>
      <w:r w:rsidR="00074E84">
        <w:t xml:space="preserve">Table </w:t>
      </w:r>
      <w:r w:rsidR="00074E84">
        <w:rPr>
          <w:noProof/>
        </w:rPr>
        <w:t>19</w:t>
      </w:r>
      <w:r w:rsidR="009C51E8">
        <w:rPr>
          <w:szCs w:val="20"/>
        </w:rPr>
        <w:fldChar w:fldCharType="end"/>
      </w:r>
      <w:r w:rsidR="009C51E8">
        <w:rPr>
          <w:szCs w:val="20"/>
        </w:rPr>
        <w:t xml:space="preserve"> </w:t>
      </w:r>
      <w:r w:rsidR="0049234D">
        <w:rPr>
          <w:szCs w:val="20"/>
        </w:rPr>
        <w:t xml:space="preserve">(adults), </w:t>
      </w:r>
      <w:r w:rsidR="00425FE9">
        <w:rPr>
          <w:szCs w:val="20"/>
        </w:rPr>
        <w:fldChar w:fldCharType="begin"/>
      </w:r>
      <w:r w:rsidR="00425FE9">
        <w:rPr>
          <w:szCs w:val="20"/>
        </w:rPr>
        <w:instrText xml:space="preserve"> REF _Ref231317379 \h </w:instrText>
      </w:r>
      <w:r w:rsidR="00425FE9">
        <w:rPr>
          <w:szCs w:val="20"/>
        </w:rPr>
      </w:r>
      <w:r w:rsidR="00425FE9">
        <w:rPr>
          <w:szCs w:val="20"/>
        </w:rPr>
        <w:fldChar w:fldCharType="separate"/>
      </w:r>
      <w:r w:rsidR="00074E84">
        <w:t xml:space="preserve">Table </w:t>
      </w:r>
      <w:r w:rsidR="00074E84">
        <w:rPr>
          <w:noProof/>
        </w:rPr>
        <w:t>20</w:t>
      </w:r>
      <w:r w:rsidR="00425FE9">
        <w:rPr>
          <w:szCs w:val="20"/>
        </w:rPr>
        <w:fldChar w:fldCharType="end"/>
      </w:r>
      <w:r w:rsidR="0049234D">
        <w:rPr>
          <w:szCs w:val="20"/>
        </w:rPr>
        <w:t xml:space="preserve"> (during pregnancy), </w:t>
      </w:r>
      <w:r w:rsidR="00425FE9">
        <w:rPr>
          <w:szCs w:val="20"/>
        </w:rPr>
        <w:fldChar w:fldCharType="begin"/>
      </w:r>
      <w:r w:rsidR="00425FE9">
        <w:rPr>
          <w:szCs w:val="20"/>
        </w:rPr>
        <w:instrText xml:space="preserve"> REF _Ref231317388 \h </w:instrText>
      </w:r>
      <w:r w:rsidR="00425FE9">
        <w:rPr>
          <w:szCs w:val="20"/>
        </w:rPr>
      </w:r>
      <w:r w:rsidR="00425FE9">
        <w:rPr>
          <w:szCs w:val="20"/>
        </w:rPr>
        <w:fldChar w:fldCharType="separate"/>
      </w:r>
      <w:r w:rsidR="00074E84">
        <w:t xml:space="preserve">Table </w:t>
      </w:r>
      <w:r w:rsidR="00074E84">
        <w:rPr>
          <w:noProof/>
        </w:rPr>
        <w:t>21</w:t>
      </w:r>
      <w:r w:rsidR="00425FE9">
        <w:rPr>
          <w:szCs w:val="20"/>
        </w:rPr>
        <w:fldChar w:fldCharType="end"/>
      </w:r>
      <w:r w:rsidR="0049234D">
        <w:rPr>
          <w:szCs w:val="20"/>
        </w:rPr>
        <w:t xml:space="preserve"> (during lactation) and </w:t>
      </w:r>
      <w:r w:rsidR="00425FE9" w:rsidRPr="00425FE9">
        <w:rPr>
          <w:szCs w:val="20"/>
        </w:rPr>
        <w:fldChar w:fldCharType="begin"/>
      </w:r>
      <w:r w:rsidR="00425FE9" w:rsidRPr="00425FE9">
        <w:rPr>
          <w:szCs w:val="20"/>
        </w:rPr>
        <w:instrText xml:space="preserve"> REF _Ref231317442 \h </w:instrText>
      </w:r>
      <w:r w:rsidR="00425FE9">
        <w:rPr>
          <w:szCs w:val="20"/>
        </w:rPr>
        <w:instrText xml:space="preserve"> \* MERGEFORMAT </w:instrText>
      </w:r>
      <w:r w:rsidR="00425FE9" w:rsidRPr="00425FE9">
        <w:rPr>
          <w:szCs w:val="20"/>
        </w:rPr>
      </w:r>
      <w:r w:rsidR="00425FE9" w:rsidRPr="00425FE9">
        <w:rPr>
          <w:szCs w:val="20"/>
        </w:rPr>
        <w:fldChar w:fldCharType="separate"/>
      </w:r>
      <w:r w:rsidR="00074E84">
        <w:t xml:space="preserve">Table </w:t>
      </w:r>
      <w:r w:rsidR="00074E84">
        <w:rPr>
          <w:noProof/>
        </w:rPr>
        <w:t>22</w:t>
      </w:r>
      <w:r w:rsidR="00425FE9" w:rsidRPr="00425FE9">
        <w:rPr>
          <w:szCs w:val="20"/>
        </w:rPr>
        <w:fldChar w:fldCharType="end"/>
      </w:r>
      <w:r w:rsidR="0049234D" w:rsidRPr="00425FE9">
        <w:rPr>
          <w:szCs w:val="20"/>
        </w:rPr>
        <w:t xml:space="preserve"> (children</w:t>
      </w:r>
      <w:r w:rsidR="0049234D">
        <w:rPr>
          <w:szCs w:val="20"/>
        </w:rPr>
        <w:t xml:space="preserve"> and adolescents). </w:t>
      </w:r>
    </w:p>
    <w:p w14:paraId="03B101C1" w14:textId="08FEF1D6" w:rsidR="00DA27A2" w:rsidRDefault="00425FE9" w:rsidP="00DA27A2">
      <w:pPr>
        <w:spacing w:line="276" w:lineRule="auto"/>
      </w:pPr>
      <w:r>
        <w:rPr>
          <w:szCs w:val="20"/>
        </w:rPr>
        <w:t xml:space="preserve">Several factors and limitations should be considered when interpreting these modelling data. Firstly, </w:t>
      </w:r>
      <w:r w:rsidR="00FB0B9B" w:rsidRPr="00FB0B9B">
        <w:rPr>
          <w:szCs w:val="20"/>
        </w:rPr>
        <w:t xml:space="preserve">modelling did not take account </w:t>
      </w:r>
      <w:r w:rsidR="00FB0B9B">
        <w:rPr>
          <w:szCs w:val="20"/>
        </w:rPr>
        <w:t xml:space="preserve">for </w:t>
      </w:r>
      <w:r w:rsidR="00FB0B9B" w:rsidRPr="00FB0B9B">
        <w:rPr>
          <w:szCs w:val="20"/>
        </w:rPr>
        <w:t>discretionary use of salt.</w:t>
      </w:r>
      <w:r w:rsidR="002270BC">
        <w:rPr>
          <w:szCs w:val="20"/>
        </w:rPr>
        <w:t xml:space="preserve"> </w:t>
      </w:r>
      <w:r w:rsidR="00C53D21">
        <w:rPr>
          <w:szCs w:val="20"/>
        </w:rPr>
        <w:t>F</w:t>
      </w:r>
      <w:r w:rsidR="002270BC">
        <w:rPr>
          <w:szCs w:val="20"/>
        </w:rPr>
        <w:t xml:space="preserve">oundation diet models </w:t>
      </w:r>
      <w:r w:rsidR="00CF451E">
        <w:rPr>
          <w:szCs w:val="20"/>
        </w:rPr>
        <w:t xml:space="preserve">also </w:t>
      </w:r>
      <w:r w:rsidR="00D75B66">
        <w:rPr>
          <w:szCs w:val="20"/>
        </w:rPr>
        <w:t>did not include any discretionary food</w:t>
      </w:r>
      <w:r w:rsidR="00806747">
        <w:rPr>
          <w:rStyle w:val="FootnoteReference"/>
          <w:szCs w:val="20"/>
        </w:rPr>
        <w:footnoteReference w:id="5"/>
      </w:r>
      <w:r w:rsidR="00D75B66">
        <w:rPr>
          <w:szCs w:val="20"/>
        </w:rPr>
        <w:t xml:space="preserve"> choices</w:t>
      </w:r>
      <w:r w:rsidR="00AC6E72">
        <w:rPr>
          <w:szCs w:val="20"/>
        </w:rPr>
        <w:t xml:space="preserve">, </w:t>
      </w:r>
      <w:r w:rsidR="00600569">
        <w:rPr>
          <w:szCs w:val="20"/>
        </w:rPr>
        <w:t xml:space="preserve">which present significant sources of dietary sodium with around </w:t>
      </w:r>
      <w:r w:rsidR="002E6B2B">
        <w:rPr>
          <w:szCs w:val="20"/>
        </w:rPr>
        <w:t xml:space="preserve">35 to 45% of sodium coming from discretionary foods </w:t>
      </w:r>
      <w:r w:rsidR="000A23F6">
        <w:fldChar w:fldCharType="begin">
          <w:fldData xml:space="preserve">PEVuZE5vdGU+PENpdGU+PEF1dGhvcj5Cb2x0b248L0F1dGhvcj48WWVhcj4yMDIwPC9ZZWFyPjxS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==
</w:fldData>
        </w:fldChar>
      </w:r>
      <w:r w:rsidR="00F61D64">
        <w:instrText xml:space="preserve"> ADDIN EN.CITE </w:instrText>
      </w:r>
      <w:r w:rsidR="00F61D64">
        <w:fldChar w:fldCharType="begin">
          <w:fldData xml:space="preserve">PEVuZE5vdGU+PENpdGU+PEF1dGhvcj5Cb2x0b248L0F1dGhvcj48WWVhcj4yMDIwPC9ZZWFyPjxS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==
</w:fldData>
        </w:fldChar>
      </w:r>
      <w:r w:rsidR="00F61D64">
        <w:instrText xml:space="preserve"> ADDIN EN.CITE.DATA </w:instrText>
      </w:r>
      <w:r w:rsidR="00F61D64">
        <w:fldChar w:fldCharType="end"/>
      </w:r>
      <w:r w:rsidR="000A23F6">
        <w:fldChar w:fldCharType="separate"/>
      </w:r>
      <w:r w:rsidR="00F61D64">
        <w:rPr>
          <w:noProof/>
        </w:rPr>
        <w:t>(Bolton et al., 2020; Grimes, Riddell, et al., 2017; O'Halloran et al., 2016)</w:t>
      </w:r>
      <w:r w:rsidR="000A23F6">
        <w:fldChar w:fldCharType="end"/>
      </w:r>
      <w:r w:rsidR="000A23F6">
        <w:t>.</w:t>
      </w:r>
      <w:r w:rsidR="00CF451E">
        <w:t xml:space="preserve"> </w:t>
      </w:r>
      <w:r w:rsidR="00CF451E">
        <w:rPr>
          <w:szCs w:val="20"/>
        </w:rPr>
        <w:t>L</w:t>
      </w:r>
      <w:r w:rsidR="00AC6E72">
        <w:rPr>
          <w:szCs w:val="20"/>
        </w:rPr>
        <w:t xml:space="preserve">imited discretionary foods </w:t>
      </w:r>
      <w:r w:rsidR="008860F2">
        <w:rPr>
          <w:szCs w:val="20"/>
        </w:rPr>
        <w:t xml:space="preserve">(in relation to overall energy targets) </w:t>
      </w:r>
      <w:r w:rsidR="00C53D21">
        <w:rPr>
          <w:szCs w:val="20"/>
        </w:rPr>
        <w:t xml:space="preserve">were </w:t>
      </w:r>
      <w:r w:rsidR="00D75B66">
        <w:rPr>
          <w:szCs w:val="20"/>
        </w:rPr>
        <w:t xml:space="preserve">included within the </w:t>
      </w:r>
      <w:r w:rsidR="00CF451E">
        <w:rPr>
          <w:szCs w:val="20"/>
        </w:rPr>
        <w:t>T</w:t>
      </w:r>
      <w:r w:rsidR="00D75B66">
        <w:rPr>
          <w:szCs w:val="20"/>
        </w:rPr>
        <w:t xml:space="preserve">otal </w:t>
      </w:r>
      <w:r w:rsidR="00CF451E">
        <w:rPr>
          <w:szCs w:val="20"/>
        </w:rPr>
        <w:t>D</w:t>
      </w:r>
      <w:r w:rsidR="00D75B66">
        <w:rPr>
          <w:szCs w:val="20"/>
        </w:rPr>
        <w:t>iets</w:t>
      </w:r>
      <w:r w:rsidR="00C53D21">
        <w:rPr>
          <w:szCs w:val="20"/>
        </w:rPr>
        <w:t xml:space="preserve"> modelled</w:t>
      </w:r>
      <w:r w:rsidR="00D75B66">
        <w:rPr>
          <w:szCs w:val="20"/>
        </w:rPr>
        <w:t>.</w:t>
      </w:r>
      <w:r w:rsidR="00D9763A">
        <w:rPr>
          <w:szCs w:val="20"/>
        </w:rPr>
        <w:t xml:space="preserve"> </w:t>
      </w:r>
      <w:r w:rsidR="00DA27A2">
        <w:t>Patterns of eating have also likely changed substantially since these models were created.</w:t>
      </w:r>
    </w:p>
    <w:p w14:paraId="50F283B9" w14:textId="311EBFCE" w:rsidR="00071932" w:rsidRDefault="00D9763A" w:rsidP="008954EC">
      <w:pPr>
        <w:spacing w:line="276" w:lineRule="auto"/>
      </w:pPr>
      <w:r>
        <w:t>M</w:t>
      </w:r>
      <w:r w:rsidR="00853653">
        <w:t xml:space="preserve">odelling was </w:t>
      </w:r>
      <w:r>
        <w:t xml:space="preserve">also </w:t>
      </w:r>
      <w:r w:rsidR="00853653">
        <w:t>undertaken prior to implementation of the Healthy Food Partnerships</w:t>
      </w:r>
      <w:r w:rsidR="009C3DF1">
        <w:t xml:space="preserve"> </w:t>
      </w:r>
      <w:r w:rsidR="00AB4E49">
        <w:t xml:space="preserve">(HFP) </w:t>
      </w:r>
      <w:r w:rsidR="009C3DF1">
        <w:t>program</w:t>
      </w:r>
      <w:r w:rsidR="00A12CA1">
        <w:t>,</w:t>
      </w:r>
      <w:r w:rsidR="00853653">
        <w:t xml:space="preserve"> </w:t>
      </w:r>
      <w:r>
        <w:t xml:space="preserve">and estimates </w:t>
      </w:r>
      <w:r w:rsidR="000B0D7C">
        <w:t xml:space="preserve">do not </w:t>
      </w:r>
      <w:r>
        <w:t xml:space="preserve">account for </w:t>
      </w:r>
      <w:r w:rsidR="00AB4E49">
        <w:t xml:space="preserve">any associated </w:t>
      </w:r>
      <w:r>
        <w:t>reduction</w:t>
      </w:r>
      <w:r w:rsidR="00AB4E49">
        <w:t xml:space="preserve"> in the sodium content of food, with</w:t>
      </w:r>
      <w:r w:rsidR="00071932">
        <w:t xml:space="preserve"> an </w:t>
      </w:r>
      <w:r w:rsidR="008F0F86">
        <w:t xml:space="preserve">evaluation </w:t>
      </w:r>
      <w:r w:rsidR="00071932">
        <w:t xml:space="preserve">estimating a </w:t>
      </w:r>
      <w:r w:rsidR="00A12CA1" w:rsidRPr="004519CF">
        <w:t xml:space="preserve">4.3% </w:t>
      </w:r>
      <w:r w:rsidR="008F0F86">
        <w:t xml:space="preserve">reduction in the sodium content of participating products </w:t>
      </w:r>
      <w:r w:rsidR="00A12CA1">
        <w:fldChar w:fldCharType="begin"/>
      </w:r>
      <w:r w:rsidR="00A12CA1">
        <w:instrText xml:space="preserve"> ADDIN EN.CITE &lt;EndNote&gt;&lt;Cite ExcludeAuth="1"&gt;&lt;Author&gt;Australian Bureau of Statistics&lt;/Author&gt;&lt;Year&gt;2025&lt;/Year&gt;&lt;RecNum&gt;4626&lt;/RecNum&gt;&lt;Prefix&gt;ABS`, &lt;/Prefix&gt;&lt;DisplayText&gt;(ABS, 2025)&lt;/DisplayText&gt;&lt;record&gt;&lt;rec-number&gt;4626&lt;/rec-number&gt;&lt;foreign-keys&gt;&lt;key app="EN" db-id="wwsdv2wwp29fenerv0kx5tw9zxtx2fdrprx2" timestamp="1774923184"&gt;4626&lt;/key&gt;&lt;/foreign-keys&gt;&lt;ref-type name="Government Document"&gt;46&lt;/ref-type&gt;&lt;contributors&gt;&lt;authors&gt;&lt;author&gt;Australian Bureau of Statistics, ABS&lt;/author&gt;&lt;/authors&gt;&lt;secondary-authors&gt;&lt;author&gt;ABS&lt;/author&gt;&lt;/secondary-authors&gt;&lt;/contributors&gt;&lt;titles&gt;&lt;title&gt;Healthy Food Partnership Reformulation Program: Wave 1, four-year progress&lt;/title&gt;&lt;/titles&gt;&lt;dates&gt;&lt;year&gt;2025&lt;/year&gt;&lt;/dates&gt;&lt;publisher&gt;ABS&lt;/publisher&gt;&lt;urls&gt;&lt;related-urls&gt;&lt;url&gt;https://www.abs.gov.au/articles/healthy-food-partnership-reformulation-program-wave-1-four-year-progress&lt;/url&gt;&lt;/related-urls&gt;&lt;/urls&gt;&lt;access-date&gt;31/03/2026&lt;/access-date&gt;&lt;/record&gt;&lt;/Cite&gt;&lt;/EndNote&gt;</w:instrText>
      </w:r>
      <w:r w:rsidR="00A12CA1">
        <w:fldChar w:fldCharType="separate"/>
      </w:r>
      <w:r w:rsidR="00A12CA1">
        <w:rPr>
          <w:noProof/>
        </w:rPr>
        <w:t>(ABS, 2025)</w:t>
      </w:r>
      <w:r w:rsidR="00A12CA1">
        <w:fldChar w:fldCharType="end"/>
      </w:r>
      <w:r w:rsidR="00A12CA1" w:rsidRPr="004519CF">
        <w:t>.</w:t>
      </w:r>
      <w:r w:rsidR="008F0F86">
        <w:t xml:space="preserve"> </w:t>
      </w:r>
      <w:r w:rsidR="000B0D7C">
        <w:t xml:space="preserve">Furthermore, these estimates may not </w:t>
      </w:r>
      <w:r w:rsidR="00E51A2E">
        <w:t>capture the broader food environment, including availability of lower sodium products</w:t>
      </w:r>
      <w:r w:rsidR="00425FE9">
        <w:t>.</w:t>
      </w:r>
      <w:r w:rsidR="001C5DE1">
        <w:t xml:space="preserve"> </w:t>
      </w:r>
    </w:p>
    <w:p w14:paraId="2C62B8D5" w14:textId="7A57889C" w:rsidR="00827D33" w:rsidRDefault="00DE2DC8" w:rsidP="008954EC">
      <w:pPr>
        <w:spacing w:line="276" w:lineRule="auto"/>
        <w:rPr>
          <w:rFonts w:eastAsiaTheme="majorEastAsia" w:cstheme="majorBidi"/>
          <w:color w:val="0F4761" w:themeColor="accent1" w:themeShade="BF"/>
          <w:sz w:val="24"/>
          <w:szCs w:val="28"/>
        </w:rPr>
      </w:pPr>
      <w:r>
        <w:rPr>
          <w:szCs w:val="20"/>
        </w:rPr>
        <w:t>In the tables that follow, e</w:t>
      </w:r>
      <w:r w:rsidR="00071932">
        <w:rPr>
          <w:szCs w:val="20"/>
        </w:rPr>
        <w:t>stimate</w:t>
      </w:r>
      <w:r>
        <w:rPr>
          <w:szCs w:val="20"/>
        </w:rPr>
        <w:t>d</w:t>
      </w:r>
      <w:r w:rsidR="00071932">
        <w:rPr>
          <w:szCs w:val="20"/>
        </w:rPr>
        <w:t xml:space="preserve"> dietary sodium intake</w:t>
      </w:r>
      <w:r>
        <w:rPr>
          <w:szCs w:val="20"/>
        </w:rPr>
        <w:t>s</w:t>
      </w:r>
      <w:r w:rsidR="00071932">
        <w:rPr>
          <w:szCs w:val="20"/>
        </w:rPr>
        <w:t xml:space="preserve"> below </w:t>
      </w:r>
      <w:r w:rsidR="00CC1C5E">
        <w:rPr>
          <w:szCs w:val="20"/>
        </w:rPr>
        <w:t xml:space="preserve">the current or proposed adequate intake </w:t>
      </w:r>
      <w:r w:rsidR="00071932">
        <w:rPr>
          <w:szCs w:val="20"/>
        </w:rPr>
        <w:t xml:space="preserve">for a given population are highlighted </w:t>
      </w:r>
      <w:r w:rsidR="00CC1C5E">
        <w:rPr>
          <w:szCs w:val="20"/>
        </w:rPr>
        <w:t xml:space="preserve">purple and those above the current </w:t>
      </w:r>
      <w:r w:rsidR="001154C0">
        <w:rPr>
          <w:szCs w:val="20"/>
        </w:rPr>
        <w:t xml:space="preserve">SDT </w:t>
      </w:r>
      <w:r w:rsidR="00CC1C5E">
        <w:rPr>
          <w:szCs w:val="20"/>
        </w:rPr>
        <w:t xml:space="preserve">or proposed CDRR are highlighted </w:t>
      </w:r>
      <w:r w:rsidR="00071932">
        <w:rPr>
          <w:szCs w:val="20"/>
        </w:rPr>
        <w:t xml:space="preserve">orange. </w:t>
      </w:r>
      <w:r w:rsidR="009D6308">
        <w:rPr>
          <w:szCs w:val="20"/>
        </w:rPr>
        <w:t>M</w:t>
      </w:r>
      <w:r w:rsidR="00692009">
        <w:rPr>
          <w:szCs w:val="20"/>
        </w:rPr>
        <w:t>odelled intakes from 7-day Total Diet were higher than the age-relevant SDT</w:t>
      </w:r>
      <w:r w:rsidR="00827D33">
        <w:rPr>
          <w:szCs w:val="20"/>
        </w:rPr>
        <w:t xml:space="preserve"> or UL</w:t>
      </w:r>
      <w:r w:rsidR="009D6308">
        <w:rPr>
          <w:szCs w:val="20"/>
        </w:rPr>
        <w:t xml:space="preserve"> for many age groups – </w:t>
      </w:r>
      <w:proofErr w:type="gramStart"/>
      <w:r w:rsidR="009D6308">
        <w:rPr>
          <w:szCs w:val="20"/>
        </w:rPr>
        <w:t>in particular for</w:t>
      </w:r>
      <w:proofErr w:type="gramEnd"/>
      <w:r w:rsidR="009D6308">
        <w:rPr>
          <w:szCs w:val="20"/>
        </w:rPr>
        <w:t xml:space="preserve"> those with high energy requirement levels</w:t>
      </w:r>
      <w:r w:rsidR="00071932">
        <w:rPr>
          <w:szCs w:val="20"/>
        </w:rPr>
        <w:t>.</w:t>
      </w:r>
      <w:r w:rsidR="00692009">
        <w:rPr>
          <w:szCs w:val="20"/>
        </w:rPr>
        <w:t xml:space="preserve"> </w:t>
      </w:r>
      <w:r w:rsidR="009D6308">
        <w:rPr>
          <w:szCs w:val="20"/>
        </w:rPr>
        <w:t xml:space="preserve">Where </w:t>
      </w:r>
      <w:r w:rsidR="00332199">
        <w:rPr>
          <w:szCs w:val="20"/>
        </w:rPr>
        <w:t>modelled intakes exceed recommendations, it is typically by a considerable margin</w:t>
      </w:r>
      <w:r w:rsidR="00E82292">
        <w:rPr>
          <w:szCs w:val="20"/>
        </w:rPr>
        <w:t xml:space="preserve">, and </w:t>
      </w:r>
      <w:r w:rsidR="00E83599">
        <w:rPr>
          <w:szCs w:val="20"/>
        </w:rPr>
        <w:t xml:space="preserve">the </w:t>
      </w:r>
      <w:r w:rsidR="00445D67">
        <w:rPr>
          <w:szCs w:val="20"/>
        </w:rPr>
        <w:t xml:space="preserve">estimated </w:t>
      </w:r>
      <w:r w:rsidR="00E82292">
        <w:rPr>
          <w:szCs w:val="20"/>
        </w:rPr>
        <w:t xml:space="preserve">impact of the HFP on </w:t>
      </w:r>
      <w:r w:rsidR="00E83599">
        <w:rPr>
          <w:szCs w:val="20"/>
        </w:rPr>
        <w:t xml:space="preserve">sodium food content </w:t>
      </w:r>
      <w:r w:rsidR="00445D67">
        <w:rPr>
          <w:szCs w:val="20"/>
        </w:rPr>
        <w:t xml:space="preserve">(4.3%) </w:t>
      </w:r>
      <w:r w:rsidR="00E83599">
        <w:rPr>
          <w:szCs w:val="20"/>
        </w:rPr>
        <w:t xml:space="preserve">and individual intakes </w:t>
      </w:r>
      <w:r w:rsidR="00445D67">
        <w:rPr>
          <w:szCs w:val="20"/>
        </w:rPr>
        <w:t xml:space="preserve">(14.8 mg/day) </w:t>
      </w:r>
      <w:r w:rsidR="00445D67">
        <w:fldChar w:fldCharType="begin"/>
      </w:r>
      <w:r w:rsidR="00445D67">
        <w:instrText xml:space="preserve"> ADDIN EN.CITE &lt;EndNote&gt;&lt;Cite ExcludeAuth="1"&gt;&lt;Author&gt;Australian Bureau of Statistics&lt;/Author&gt;&lt;Year&gt;2025&lt;/Year&gt;&lt;RecNum&gt;4626&lt;/RecNum&gt;&lt;Prefix&gt;ABS`, &lt;/Prefix&gt;&lt;DisplayText&gt;(ABS, 2025)&lt;/DisplayText&gt;&lt;record&gt;&lt;rec-number&gt;4626&lt;/rec-number&gt;&lt;foreign-keys&gt;&lt;key app="EN" db-id="wwsdv2wwp29fenerv0kx5tw9zxtx2fdrprx2" timestamp="1774923184"&gt;4626&lt;/key&gt;&lt;/foreign-keys&gt;&lt;ref-type name="Government Document"&gt;46&lt;/ref-type&gt;&lt;contributors&gt;&lt;authors&gt;&lt;author&gt;Australian Bureau of Statistics, ABS&lt;/author&gt;&lt;/authors&gt;&lt;secondary-authors&gt;&lt;author&gt;ABS&lt;/author&gt;&lt;/secondary-authors&gt;&lt;/contributors&gt;&lt;titles&gt;&lt;title&gt;Healthy Food Partnership Reformulation Program: Wave 1, four-year progress&lt;/title&gt;&lt;/titles&gt;&lt;dates&gt;&lt;year&gt;2025&lt;/year&gt;&lt;/dates&gt;&lt;publisher&gt;ABS&lt;/publisher&gt;&lt;urls&gt;&lt;related-urls&gt;&lt;url&gt;https://www.abs.gov.au/articles/healthy-food-partnership-reformulation-program-wave-1-four-year-progress&lt;/url&gt;&lt;/related-urls&gt;&lt;/urls&gt;&lt;access-date&gt;31/03/2026&lt;/access-date&gt;&lt;/record&gt;&lt;/Cite&gt;&lt;/EndNote&gt;</w:instrText>
      </w:r>
      <w:r w:rsidR="00445D67">
        <w:fldChar w:fldCharType="separate"/>
      </w:r>
      <w:r w:rsidR="00445D67">
        <w:rPr>
          <w:noProof/>
        </w:rPr>
        <w:t>(ABS, 2025)</w:t>
      </w:r>
      <w:r w:rsidR="00445D67">
        <w:fldChar w:fldCharType="end"/>
      </w:r>
      <w:r w:rsidR="00445D67">
        <w:rPr>
          <w:szCs w:val="20"/>
        </w:rPr>
        <w:t xml:space="preserve"> </w:t>
      </w:r>
      <w:r w:rsidR="00E82292">
        <w:rPr>
          <w:szCs w:val="20"/>
        </w:rPr>
        <w:t xml:space="preserve">is </w:t>
      </w:r>
      <w:r w:rsidR="00E83599">
        <w:rPr>
          <w:szCs w:val="20"/>
        </w:rPr>
        <w:t xml:space="preserve">likely </w:t>
      </w:r>
      <w:r w:rsidR="00E82292">
        <w:rPr>
          <w:szCs w:val="20"/>
        </w:rPr>
        <w:t>to be in</w:t>
      </w:r>
      <w:r w:rsidR="00E83599">
        <w:rPr>
          <w:szCs w:val="20"/>
        </w:rPr>
        <w:t xml:space="preserve">sufficient to bring intakes within the recommended levels. </w:t>
      </w:r>
      <w:r w:rsidR="00E82292">
        <w:rPr>
          <w:szCs w:val="20"/>
        </w:rPr>
        <w:t>C</w:t>
      </w:r>
      <w:r w:rsidR="00827D33">
        <w:t>urrent SDT</w:t>
      </w:r>
      <w:r>
        <w:t xml:space="preserve"> </w:t>
      </w:r>
      <w:r w:rsidR="00827D33">
        <w:t xml:space="preserve">(adults) and UL (children and adolescents) </w:t>
      </w:r>
      <w:r>
        <w:t xml:space="preserve">recommendations may therefore be </w:t>
      </w:r>
      <w:r w:rsidR="00E82292">
        <w:t>un</w:t>
      </w:r>
      <w:r>
        <w:t xml:space="preserve">achievable </w:t>
      </w:r>
      <w:r w:rsidR="00E82292">
        <w:t xml:space="preserve">for some population groups </w:t>
      </w:r>
      <w:r>
        <w:t xml:space="preserve">without ongoing efforts to reduce sodium within the food supply, or </w:t>
      </w:r>
      <w:r w:rsidR="00E82292">
        <w:t xml:space="preserve">via </w:t>
      </w:r>
      <w:r>
        <w:t>alternative interventions such as low-sodium salt substitution.</w:t>
      </w:r>
      <w:r w:rsidR="00827D33">
        <w:br w:type="page"/>
      </w:r>
    </w:p>
    <w:p w14:paraId="69CF9E0C" w14:textId="615F9EFA" w:rsidR="0056711E" w:rsidRDefault="0056711E" w:rsidP="0056711E">
      <w:pPr>
        <w:pStyle w:val="Heading3"/>
      </w:pPr>
      <w:bookmarkStart w:id="94" w:name="_Toc234960873"/>
      <w:r>
        <w:lastRenderedPageBreak/>
        <w:t>Adults</w:t>
      </w:r>
      <w:bookmarkEnd w:id="94"/>
    </w:p>
    <w:p w14:paraId="483512BF" w14:textId="5E675D10" w:rsidR="008860F2" w:rsidRDefault="00AB314E" w:rsidP="008954EC">
      <w:pPr>
        <w:spacing w:line="276" w:lineRule="auto"/>
      </w:pPr>
      <w:r>
        <w:rPr>
          <w:rFonts w:eastAsia="Arial" w:cs="Times New Roman"/>
          <w:iCs/>
        </w:rPr>
        <w:t xml:space="preserve">The 2011 </w:t>
      </w:r>
      <w:r w:rsidR="00900575">
        <w:rPr>
          <w:rFonts w:eastAsia="Arial" w:cs="Times New Roman"/>
          <w:iCs/>
        </w:rPr>
        <w:t xml:space="preserve">modelling data </w:t>
      </w:r>
      <w:proofErr w:type="gramStart"/>
      <w:r w:rsidR="00900575" w:rsidRPr="00505285">
        <w:rPr>
          <w:rFonts w:eastAsia="Times New Roman" w:cs="Arial"/>
          <w:iCs/>
          <w:szCs w:val="20"/>
        </w:rPr>
        <w:t>suggests</w:t>
      </w:r>
      <w:proofErr w:type="gramEnd"/>
      <w:r w:rsidR="00900575" w:rsidRPr="00505285">
        <w:rPr>
          <w:rFonts w:eastAsia="Times New Roman" w:cs="Arial"/>
          <w:iCs/>
          <w:szCs w:val="20"/>
        </w:rPr>
        <w:t xml:space="preserve"> that </w:t>
      </w:r>
      <w:r w:rsidR="00900575">
        <w:rPr>
          <w:rFonts w:eastAsia="Times New Roman" w:cs="Arial"/>
          <w:iCs/>
          <w:szCs w:val="20"/>
        </w:rPr>
        <w:t>the current adult AI (</w:t>
      </w:r>
      <w:r w:rsidR="00900575" w:rsidRPr="0019392A">
        <w:rPr>
          <w:rFonts w:eastAsia="Times New Roman" w:cs="Arial"/>
          <w:iCs/>
          <w:szCs w:val="20"/>
        </w:rPr>
        <w:t>460-920 mg/day</w:t>
      </w:r>
      <w:r w:rsidR="00900575">
        <w:rPr>
          <w:rFonts w:eastAsia="Times New Roman" w:cs="Arial"/>
          <w:iCs/>
          <w:szCs w:val="20"/>
        </w:rPr>
        <w:t>) is achievable within the range of diets modelled</w:t>
      </w:r>
      <w:r w:rsidR="000C6BE7">
        <w:rPr>
          <w:rFonts w:eastAsia="Times New Roman" w:cs="Arial"/>
          <w:iCs/>
          <w:szCs w:val="20"/>
        </w:rPr>
        <w:t xml:space="preserve">, and it is likely that an increased AI of 1,500 would also be achievable when comparing intakes from total </w:t>
      </w:r>
      <w:proofErr w:type="gramStart"/>
      <w:r w:rsidR="000C6BE7">
        <w:rPr>
          <w:rFonts w:eastAsia="Times New Roman" w:cs="Arial"/>
          <w:iCs/>
          <w:szCs w:val="20"/>
        </w:rPr>
        <w:t>diet, and</w:t>
      </w:r>
      <w:proofErr w:type="gramEnd"/>
      <w:r w:rsidR="000C6BE7">
        <w:rPr>
          <w:rFonts w:eastAsia="Times New Roman" w:cs="Arial"/>
          <w:iCs/>
          <w:szCs w:val="20"/>
        </w:rPr>
        <w:t xml:space="preserve"> also factoring in discretionary salt use. </w:t>
      </w:r>
      <w:r w:rsidR="00490668">
        <w:rPr>
          <w:rFonts w:eastAsia="Times New Roman" w:cs="Arial"/>
          <w:iCs/>
          <w:szCs w:val="20"/>
        </w:rPr>
        <w:t xml:space="preserve"> </w:t>
      </w:r>
      <w:r>
        <w:t>However, total diet</w:t>
      </w:r>
      <w:r w:rsidR="005320D6">
        <w:t xml:space="preserve"> modelling </w:t>
      </w:r>
      <w:r w:rsidR="00C962A1">
        <w:t xml:space="preserve">suggests that intakes may exceed the </w:t>
      </w:r>
      <w:r w:rsidR="008E38CE">
        <w:t>current</w:t>
      </w:r>
      <w:r w:rsidR="00C962A1">
        <w:t xml:space="preserve"> </w:t>
      </w:r>
      <w:r w:rsidR="005320D6">
        <w:t>SDT (2,000 mg/day)</w:t>
      </w:r>
      <w:r w:rsidR="00C962A1">
        <w:t xml:space="preserve"> for </w:t>
      </w:r>
      <w:r w:rsidR="00523C8A">
        <w:t xml:space="preserve">many of </w:t>
      </w:r>
      <w:r w:rsidR="00C962A1">
        <w:t xml:space="preserve">the total diets modelled, except for in females with mid-level energy requirements. </w:t>
      </w:r>
    </w:p>
    <w:p w14:paraId="44141D1D" w14:textId="113FFDF6" w:rsidR="001D2A67" w:rsidRDefault="001D2A67" w:rsidP="001D2A67">
      <w:pPr>
        <w:pStyle w:val="Caption"/>
        <w:keepNext/>
      </w:pPr>
      <w:bookmarkStart w:id="95" w:name="_Ref226986731"/>
      <w:r>
        <w:t xml:space="preserve">Table </w:t>
      </w:r>
      <w:r>
        <w:fldChar w:fldCharType="begin"/>
      </w:r>
      <w:r>
        <w:instrText>SEQ Table \* ARABIC</w:instrText>
      </w:r>
      <w:r>
        <w:fldChar w:fldCharType="separate"/>
      </w:r>
      <w:r w:rsidR="00B90577">
        <w:rPr>
          <w:noProof/>
        </w:rPr>
        <w:t>16</w:t>
      </w:r>
      <w:r>
        <w:fldChar w:fldCharType="end"/>
      </w:r>
      <w:bookmarkEnd w:id="95"/>
      <w:r>
        <w:t xml:space="preserve"> - Food Modelling Data – Adults (Source: </w:t>
      </w:r>
      <w:r>
        <w:fldChar w:fldCharType="begin"/>
      </w:r>
      <w:r>
        <w:instrText xml:space="preserve"> ADDIN EN.CITE &lt;EndNote&gt;&lt;Cite ExcludeAuth="1"&gt;&lt;Author&gt;National Health and Medical Research Council&lt;/Author&gt;&lt;Year&gt;2011&lt;/Year&gt;&lt;RecNum&gt;4683&lt;/RecNum&gt;&lt;Prefix&gt;NHMRC`, &lt;/Prefix&gt;&lt;DisplayText&gt;(NHMRC, 2011)&lt;/DisplayText&gt;&lt;record&gt;&lt;rec-number&gt;4683&lt;/rec-number&gt;&lt;foreign-keys&gt;&lt;key app="EN" db-id="wwsdv2wwp29fenerv0kx5tw9zxtx2fdrprx2" timestamp="1776057437"&gt;4683&lt;/key&gt;&lt;/foreign-keys&gt;&lt;ref-type name="Generic"&gt;13&lt;/ref-type&gt;&lt;contributors&gt;&lt;authors&gt;&lt;author&gt;National Health and Medical Research Council, NHMRC&lt;/author&gt;&lt;/authors&gt;&lt;secondary-authors&gt;&lt;author&gt;National Health and Medical Research Council, NHMRC&lt;/author&gt;&lt;/secondary-authors&gt;&lt;/contributors&gt;&lt;titles&gt;&lt;title&gt;A Modelling System to Inform the Revision of the Australian Guide to Healthy Eating&lt;/title&gt;&lt;/titles&gt;&lt;dates&gt;&lt;year&gt;2011&lt;/year&gt;&lt;/dates&gt;&lt;pub-location&gt;Canberra, ACT&lt;/pub-location&gt;&lt;urls&gt;&lt;/urls&gt;&lt;/record&gt;&lt;/Cite&gt;&lt;/EndNote&gt;</w:instrText>
      </w:r>
      <w:r>
        <w:fldChar w:fldCharType="separate"/>
      </w:r>
      <w:r>
        <w:rPr>
          <w:noProof/>
        </w:rPr>
        <w:t>(NHMRC, 2011)</w:t>
      </w:r>
      <w:r>
        <w:fldChar w:fldCharType="end"/>
      </w:r>
    </w:p>
    <w:tbl>
      <w:tblPr>
        <w:tblStyle w:val="TableGrid2"/>
        <w:tblW w:w="13679" w:type="dxa"/>
        <w:tblLook w:val="04A0" w:firstRow="1" w:lastRow="0" w:firstColumn="1" w:lastColumn="0" w:noHBand="0" w:noVBand="1"/>
      </w:tblPr>
      <w:tblGrid>
        <w:gridCol w:w="802"/>
        <w:gridCol w:w="1018"/>
        <w:gridCol w:w="1010"/>
        <w:gridCol w:w="1058"/>
        <w:gridCol w:w="699"/>
        <w:gridCol w:w="699"/>
        <w:gridCol w:w="699"/>
        <w:gridCol w:w="699"/>
        <w:gridCol w:w="699"/>
        <w:gridCol w:w="699"/>
        <w:gridCol w:w="699"/>
        <w:gridCol w:w="700"/>
        <w:gridCol w:w="1049"/>
        <w:gridCol w:w="1050"/>
        <w:gridCol w:w="1049"/>
        <w:gridCol w:w="1050"/>
      </w:tblGrid>
      <w:tr w:rsidR="0068455E" w:rsidRPr="006A14E9" w14:paraId="04B30AA4" w14:textId="7BE4BE47" w:rsidTr="0068455E">
        <w:tc>
          <w:tcPr>
            <w:tcW w:w="802" w:type="dxa"/>
            <w:vMerge w:val="restart"/>
            <w:shd w:val="clear" w:color="auto" w:fill="005F85"/>
            <w:vAlign w:val="bottom"/>
          </w:tcPr>
          <w:p w14:paraId="7944A826" w14:textId="3BA7BE15" w:rsidR="0068455E" w:rsidRPr="006A14E9" w:rsidRDefault="0068455E">
            <w:pPr>
              <w:spacing w:after="0"/>
              <w:ind w:left="-88" w:right="33"/>
              <w:jc w:val="center"/>
              <w:rPr>
                <w:rFonts w:eastAsia="Times New Roman" w:cs="Arial"/>
                <w:b/>
                <w:bCs/>
                <w:color w:val="FFFFFF"/>
                <w:sz w:val="20"/>
                <w:szCs w:val="20"/>
              </w:rPr>
            </w:pPr>
            <w:r w:rsidRPr="006A14E9">
              <w:rPr>
                <w:rFonts w:eastAsia="Times New Roman" w:cs="Arial"/>
                <w:b/>
                <w:bCs/>
                <w:color w:val="FFFFFF"/>
                <w:sz w:val="20"/>
                <w:szCs w:val="20"/>
              </w:rPr>
              <w:t>Age group (years)</w:t>
            </w:r>
          </w:p>
        </w:tc>
        <w:tc>
          <w:tcPr>
            <w:tcW w:w="1018" w:type="dxa"/>
            <w:vMerge w:val="restart"/>
            <w:shd w:val="clear" w:color="auto" w:fill="005F85"/>
          </w:tcPr>
          <w:p w14:paraId="2E5D6E17" w14:textId="77777777" w:rsidR="0068455E" w:rsidRDefault="0068455E">
            <w:pPr>
              <w:spacing w:after="0"/>
              <w:jc w:val="center"/>
              <w:rPr>
                <w:rFonts w:eastAsia="Times New Roman" w:cs="Arial"/>
                <w:b/>
                <w:bCs/>
                <w:color w:val="FFFFFF"/>
                <w:sz w:val="20"/>
                <w:szCs w:val="20"/>
              </w:rPr>
            </w:pPr>
            <w:r w:rsidRPr="006A14E9">
              <w:rPr>
                <w:rFonts w:eastAsia="Times New Roman" w:cs="Arial"/>
                <w:b/>
                <w:bCs/>
                <w:color w:val="FFFFFF"/>
                <w:sz w:val="20"/>
                <w:szCs w:val="20"/>
              </w:rPr>
              <w:t>Core food groups</w:t>
            </w:r>
          </w:p>
          <w:p w14:paraId="59F3AB3F" w14:textId="51553169" w:rsidR="0068455E" w:rsidRPr="006A14E9" w:rsidRDefault="0068455E">
            <w:pPr>
              <w:spacing w:after="0"/>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2068" w:type="dxa"/>
            <w:gridSpan w:val="2"/>
            <w:vMerge w:val="restart"/>
            <w:shd w:val="clear" w:color="auto" w:fill="156082" w:themeFill="accent1"/>
          </w:tcPr>
          <w:p w14:paraId="12C228A9" w14:textId="77777777" w:rsidR="0068455E" w:rsidRDefault="0068455E">
            <w:pPr>
              <w:spacing w:after="0"/>
              <w:jc w:val="center"/>
              <w:rPr>
                <w:rFonts w:eastAsia="Times New Roman" w:cs="Arial"/>
                <w:b/>
                <w:bCs/>
                <w:color w:val="FFFFFF"/>
                <w:sz w:val="20"/>
                <w:szCs w:val="20"/>
              </w:rPr>
            </w:pPr>
            <w:r>
              <w:rPr>
                <w:rFonts w:eastAsia="Times New Roman" w:cs="Arial"/>
                <w:b/>
                <w:bCs/>
                <w:color w:val="FFFFFF"/>
                <w:sz w:val="20"/>
                <w:szCs w:val="20"/>
              </w:rPr>
              <w:t>Intake from AGTHE98^</w:t>
            </w:r>
          </w:p>
          <w:p w14:paraId="3D9E85F4" w14:textId="77777777" w:rsidR="0068455E" w:rsidRDefault="0068455E">
            <w:pPr>
              <w:spacing w:after="0"/>
              <w:jc w:val="center"/>
              <w:rPr>
                <w:rFonts w:eastAsia="Times New Roman" w:cs="Arial"/>
                <w:b/>
                <w:bCs/>
                <w:color w:val="FFFFFF"/>
                <w:sz w:val="20"/>
                <w:szCs w:val="20"/>
              </w:rPr>
            </w:pPr>
            <w:r w:rsidRPr="006D5893">
              <w:rPr>
                <w:rFonts w:eastAsia="Times New Roman" w:cs="Arial"/>
                <w:b/>
                <w:bCs/>
                <w:i/>
                <w:iCs/>
                <w:color w:val="FFFFFF"/>
                <w:sz w:val="20"/>
                <w:szCs w:val="20"/>
              </w:rPr>
              <w:t>(Core foods using whole dietary approach)</w:t>
            </w:r>
          </w:p>
          <w:p w14:paraId="73FD6A06" w14:textId="0585C214" w:rsidR="0068455E" w:rsidRDefault="0068455E">
            <w:pPr>
              <w:spacing w:after="0"/>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5593" w:type="dxa"/>
            <w:gridSpan w:val="8"/>
            <w:shd w:val="clear" w:color="auto" w:fill="005F85"/>
          </w:tcPr>
          <w:p w14:paraId="4311A6CF" w14:textId="6F5B4DE5" w:rsidR="0068455E" w:rsidRDefault="0068455E">
            <w:pPr>
              <w:spacing w:after="0"/>
              <w:ind w:right="34"/>
              <w:jc w:val="center"/>
              <w:rPr>
                <w:rFonts w:eastAsia="Times New Roman" w:cs="Arial"/>
                <w:b/>
                <w:bCs/>
                <w:color w:val="FFFFFF"/>
                <w:sz w:val="20"/>
                <w:szCs w:val="20"/>
              </w:rPr>
            </w:pPr>
            <w:r>
              <w:rPr>
                <w:rFonts w:eastAsia="Times New Roman" w:cs="Arial"/>
                <w:b/>
                <w:bCs/>
                <w:color w:val="FFFFFF"/>
                <w:sz w:val="20"/>
                <w:szCs w:val="20"/>
              </w:rPr>
              <w:t>Foundation diets</w:t>
            </w:r>
          </w:p>
        </w:tc>
        <w:tc>
          <w:tcPr>
            <w:tcW w:w="4198" w:type="dxa"/>
            <w:gridSpan w:val="4"/>
            <w:shd w:val="clear" w:color="auto" w:fill="005F85"/>
          </w:tcPr>
          <w:p w14:paraId="11649E9C" w14:textId="78F11B0D" w:rsidR="0068455E" w:rsidRDefault="0068455E">
            <w:pPr>
              <w:spacing w:after="0"/>
              <w:ind w:right="34"/>
              <w:jc w:val="center"/>
              <w:rPr>
                <w:rFonts w:eastAsia="Times New Roman" w:cs="Arial"/>
                <w:b/>
                <w:bCs/>
                <w:color w:val="FFFFFF"/>
                <w:sz w:val="20"/>
                <w:szCs w:val="20"/>
              </w:rPr>
            </w:pPr>
            <w:r>
              <w:rPr>
                <w:rFonts w:eastAsia="Times New Roman" w:cs="Arial"/>
                <w:b/>
                <w:bCs/>
                <w:color w:val="FFFFFF"/>
                <w:sz w:val="20"/>
                <w:szCs w:val="20"/>
              </w:rPr>
              <w:t>7 day Total Diets</w:t>
            </w:r>
          </w:p>
        </w:tc>
      </w:tr>
      <w:tr w:rsidR="0068455E" w:rsidRPr="006A14E9" w14:paraId="77C6290D" w14:textId="5C1790A6" w:rsidTr="0068455E">
        <w:tc>
          <w:tcPr>
            <w:tcW w:w="802" w:type="dxa"/>
            <w:vMerge/>
            <w:shd w:val="clear" w:color="auto" w:fill="005F85"/>
            <w:vAlign w:val="bottom"/>
          </w:tcPr>
          <w:p w14:paraId="1FD46FF4" w14:textId="016CEC1B" w:rsidR="0068455E" w:rsidRPr="006A14E9" w:rsidRDefault="0068455E">
            <w:pPr>
              <w:spacing w:after="0"/>
              <w:ind w:left="-88" w:right="33"/>
              <w:jc w:val="center"/>
              <w:rPr>
                <w:rFonts w:eastAsia="Times New Roman" w:cs="Arial"/>
                <w:b/>
                <w:bCs/>
                <w:color w:val="FFFFFF"/>
                <w:sz w:val="20"/>
                <w:szCs w:val="20"/>
              </w:rPr>
            </w:pPr>
          </w:p>
        </w:tc>
        <w:tc>
          <w:tcPr>
            <w:tcW w:w="1018" w:type="dxa"/>
            <w:vMerge/>
            <w:shd w:val="clear" w:color="auto" w:fill="005F85"/>
          </w:tcPr>
          <w:p w14:paraId="71B32139" w14:textId="0D808243" w:rsidR="0068455E" w:rsidRPr="006A14E9" w:rsidRDefault="0068455E">
            <w:pPr>
              <w:spacing w:after="0"/>
              <w:jc w:val="center"/>
              <w:rPr>
                <w:rFonts w:eastAsia="Times New Roman" w:cs="Arial"/>
                <w:b/>
                <w:bCs/>
                <w:color w:val="FFFFFF"/>
                <w:sz w:val="20"/>
                <w:szCs w:val="20"/>
              </w:rPr>
            </w:pPr>
          </w:p>
        </w:tc>
        <w:tc>
          <w:tcPr>
            <w:tcW w:w="2068" w:type="dxa"/>
            <w:gridSpan w:val="2"/>
            <w:vMerge/>
            <w:shd w:val="clear" w:color="auto" w:fill="156082" w:themeFill="accent1"/>
          </w:tcPr>
          <w:p w14:paraId="4505AF7B" w14:textId="703AB777" w:rsidR="0068455E" w:rsidRPr="006A14E9" w:rsidRDefault="0068455E">
            <w:pPr>
              <w:spacing w:after="0"/>
              <w:jc w:val="center"/>
              <w:rPr>
                <w:rFonts w:eastAsia="Times New Roman" w:cs="Arial"/>
                <w:b/>
                <w:bCs/>
                <w:color w:val="FFFFFF"/>
                <w:sz w:val="20"/>
                <w:szCs w:val="20"/>
              </w:rPr>
            </w:pPr>
          </w:p>
        </w:tc>
        <w:tc>
          <w:tcPr>
            <w:tcW w:w="1398" w:type="dxa"/>
            <w:gridSpan w:val="2"/>
            <w:shd w:val="clear" w:color="auto" w:fill="005F85"/>
          </w:tcPr>
          <w:p w14:paraId="0629ED96" w14:textId="5DB68341" w:rsidR="0068455E" w:rsidRDefault="0068455E">
            <w:pPr>
              <w:spacing w:after="0"/>
              <w:jc w:val="center"/>
              <w:rPr>
                <w:rFonts w:eastAsia="Times New Roman" w:cs="Arial"/>
                <w:b/>
                <w:bCs/>
                <w:color w:val="FFFFFF"/>
                <w:sz w:val="20"/>
                <w:szCs w:val="20"/>
              </w:rPr>
            </w:pPr>
            <w:r>
              <w:rPr>
                <w:rFonts w:eastAsia="Times New Roman" w:cs="Arial"/>
                <w:b/>
                <w:bCs/>
                <w:color w:val="FFFFFF"/>
                <w:sz w:val="20"/>
                <w:szCs w:val="20"/>
              </w:rPr>
              <w:t>O</w:t>
            </w:r>
            <w:r w:rsidRPr="006A14E9">
              <w:rPr>
                <w:rFonts w:eastAsia="Times New Roman" w:cs="Arial"/>
                <w:b/>
                <w:bCs/>
                <w:color w:val="FFFFFF"/>
                <w:sz w:val="20"/>
                <w:szCs w:val="20"/>
              </w:rPr>
              <w:t>verall</w:t>
            </w:r>
          </w:p>
          <w:p w14:paraId="118C43D3" w14:textId="0B3D44A1" w:rsidR="0068455E" w:rsidRPr="006A14E9" w:rsidRDefault="0068455E">
            <w:pPr>
              <w:spacing w:after="0"/>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1398" w:type="dxa"/>
            <w:gridSpan w:val="2"/>
            <w:shd w:val="clear" w:color="auto" w:fill="005F85"/>
          </w:tcPr>
          <w:p w14:paraId="4D12AF32" w14:textId="604D40F2" w:rsidR="0068455E" w:rsidRDefault="0068455E">
            <w:pPr>
              <w:spacing w:after="0"/>
              <w:jc w:val="center"/>
              <w:rPr>
                <w:rFonts w:eastAsia="Times New Roman" w:cs="Arial"/>
                <w:b/>
                <w:bCs/>
                <w:color w:val="FFFFFF"/>
                <w:sz w:val="20"/>
                <w:szCs w:val="20"/>
              </w:rPr>
            </w:pPr>
            <w:r>
              <w:rPr>
                <w:rFonts w:eastAsia="Times New Roman" w:cs="Arial"/>
                <w:b/>
                <w:bCs/>
                <w:color w:val="FFFFFF"/>
                <w:sz w:val="20"/>
                <w:szCs w:val="20"/>
              </w:rPr>
              <w:t>Intake from r</w:t>
            </w:r>
            <w:r w:rsidRPr="006A14E9">
              <w:rPr>
                <w:rFonts w:eastAsia="Times New Roman" w:cs="Arial"/>
                <w:b/>
                <w:bCs/>
                <w:color w:val="FFFFFF"/>
                <w:sz w:val="20"/>
                <w:szCs w:val="20"/>
              </w:rPr>
              <w:t>ice-based</w:t>
            </w:r>
            <w:r>
              <w:rPr>
                <w:rFonts w:eastAsia="Times New Roman" w:cs="Arial"/>
                <w:b/>
                <w:bCs/>
                <w:color w:val="FFFFFF"/>
                <w:sz w:val="20"/>
                <w:szCs w:val="20"/>
              </w:rPr>
              <w:t xml:space="preserve"> diets</w:t>
            </w:r>
          </w:p>
          <w:p w14:paraId="60D7FE2F" w14:textId="3A97505E" w:rsidR="0068455E" w:rsidRPr="006A14E9" w:rsidRDefault="0068455E">
            <w:pPr>
              <w:spacing w:after="0"/>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1398" w:type="dxa"/>
            <w:gridSpan w:val="2"/>
            <w:shd w:val="clear" w:color="auto" w:fill="005F85"/>
          </w:tcPr>
          <w:p w14:paraId="593F35ED" w14:textId="0EC15F68" w:rsidR="0068455E" w:rsidRDefault="0068455E">
            <w:pPr>
              <w:spacing w:after="0"/>
              <w:ind w:right="27"/>
              <w:jc w:val="center"/>
              <w:rPr>
                <w:rFonts w:eastAsia="Times New Roman" w:cs="Arial"/>
                <w:b/>
                <w:bCs/>
                <w:color w:val="FFFFFF"/>
                <w:sz w:val="20"/>
                <w:szCs w:val="20"/>
              </w:rPr>
            </w:pPr>
            <w:r>
              <w:rPr>
                <w:rFonts w:eastAsia="Times New Roman" w:cs="Arial"/>
                <w:b/>
                <w:bCs/>
                <w:color w:val="FFFFFF"/>
                <w:sz w:val="20"/>
                <w:szCs w:val="20"/>
              </w:rPr>
              <w:t>Intake from p</w:t>
            </w:r>
            <w:r w:rsidRPr="006A14E9">
              <w:rPr>
                <w:rFonts w:eastAsia="Times New Roman" w:cs="Arial"/>
                <w:b/>
                <w:bCs/>
                <w:color w:val="FFFFFF"/>
                <w:sz w:val="20"/>
                <w:szCs w:val="20"/>
              </w:rPr>
              <w:t>asta-based</w:t>
            </w:r>
            <w:r>
              <w:rPr>
                <w:rFonts w:eastAsia="Times New Roman" w:cs="Arial"/>
                <w:b/>
                <w:bCs/>
                <w:color w:val="FFFFFF"/>
                <w:sz w:val="20"/>
                <w:szCs w:val="20"/>
              </w:rPr>
              <w:t xml:space="preserve"> diets</w:t>
            </w:r>
          </w:p>
          <w:p w14:paraId="6904B1AB" w14:textId="586AB491" w:rsidR="0068455E" w:rsidRPr="006A14E9" w:rsidRDefault="0068455E">
            <w:pPr>
              <w:spacing w:after="0"/>
              <w:ind w:right="27"/>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1399" w:type="dxa"/>
            <w:gridSpan w:val="2"/>
            <w:shd w:val="clear" w:color="auto" w:fill="005F85"/>
          </w:tcPr>
          <w:p w14:paraId="7420CE86" w14:textId="2B75C3F1" w:rsidR="0068455E" w:rsidRDefault="0068455E">
            <w:pPr>
              <w:spacing w:after="0"/>
              <w:ind w:right="34"/>
              <w:jc w:val="center"/>
              <w:rPr>
                <w:rFonts w:eastAsia="Times New Roman" w:cs="Arial"/>
                <w:b/>
                <w:bCs/>
                <w:color w:val="FFFFFF"/>
                <w:sz w:val="20"/>
                <w:szCs w:val="20"/>
              </w:rPr>
            </w:pPr>
            <w:r>
              <w:rPr>
                <w:rFonts w:eastAsia="Times New Roman" w:cs="Arial"/>
                <w:b/>
                <w:bCs/>
                <w:color w:val="FFFFFF"/>
                <w:sz w:val="20"/>
                <w:szCs w:val="20"/>
              </w:rPr>
              <w:t xml:space="preserve">Intake from </w:t>
            </w:r>
            <w:proofErr w:type="spellStart"/>
            <w:r>
              <w:rPr>
                <w:rFonts w:eastAsia="Times New Roman" w:cs="Arial"/>
                <w:b/>
                <w:bCs/>
                <w:color w:val="FFFFFF"/>
                <w:sz w:val="20"/>
                <w:szCs w:val="20"/>
              </w:rPr>
              <w:t>l</w:t>
            </w:r>
            <w:r w:rsidRPr="006A14E9">
              <w:rPr>
                <w:rFonts w:eastAsia="Times New Roman" w:cs="Arial"/>
                <w:b/>
                <w:bCs/>
                <w:color w:val="FFFFFF"/>
                <w:sz w:val="20"/>
                <w:szCs w:val="20"/>
              </w:rPr>
              <w:t>acto</w:t>
            </w:r>
            <w:proofErr w:type="spellEnd"/>
            <w:r w:rsidRPr="006A14E9">
              <w:rPr>
                <w:rFonts w:eastAsia="Times New Roman" w:cs="Arial"/>
                <w:b/>
                <w:bCs/>
                <w:color w:val="FFFFFF"/>
                <w:sz w:val="20"/>
                <w:szCs w:val="20"/>
              </w:rPr>
              <w:t>-ovo-vego</w:t>
            </w:r>
            <w:r>
              <w:rPr>
                <w:rFonts w:eastAsia="Times New Roman" w:cs="Arial"/>
                <w:b/>
                <w:bCs/>
                <w:color w:val="FFFFFF"/>
                <w:sz w:val="20"/>
                <w:szCs w:val="20"/>
              </w:rPr>
              <w:t xml:space="preserve"> diets</w:t>
            </w:r>
          </w:p>
          <w:p w14:paraId="299FEFFB" w14:textId="18C3A113" w:rsidR="0068455E" w:rsidRPr="006A14E9" w:rsidRDefault="0068455E">
            <w:pPr>
              <w:spacing w:after="0"/>
              <w:ind w:right="34"/>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2099" w:type="dxa"/>
            <w:gridSpan w:val="2"/>
            <w:shd w:val="clear" w:color="auto" w:fill="005F85"/>
          </w:tcPr>
          <w:p w14:paraId="6AB15B7B" w14:textId="77777777" w:rsidR="0068455E" w:rsidRDefault="000E65B6">
            <w:pPr>
              <w:spacing w:after="0"/>
              <w:ind w:right="34"/>
              <w:jc w:val="center"/>
              <w:rPr>
                <w:rFonts w:eastAsia="Times New Roman" w:cs="Arial"/>
                <w:b/>
                <w:bCs/>
                <w:color w:val="FFFFFF"/>
                <w:sz w:val="20"/>
                <w:szCs w:val="20"/>
              </w:rPr>
            </w:pPr>
            <w:r>
              <w:rPr>
                <w:rFonts w:eastAsia="Times New Roman" w:cs="Arial"/>
                <w:b/>
                <w:bCs/>
                <w:color w:val="FFFFFF"/>
                <w:sz w:val="20"/>
                <w:szCs w:val="20"/>
              </w:rPr>
              <w:t>Mid energy level</w:t>
            </w:r>
          </w:p>
          <w:p w14:paraId="014FBE7D" w14:textId="77777777" w:rsidR="000E65B6" w:rsidRDefault="000E65B6">
            <w:pPr>
              <w:spacing w:after="0"/>
              <w:ind w:right="34"/>
              <w:jc w:val="center"/>
              <w:rPr>
                <w:rFonts w:eastAsia="Times New Roman" w:cs="Arial"/>
                <w:b/>
                <w:bCs/>
                <w:color w:val="FFFFFF"/>
                <w:sz w:val="20"/>
                <w:szCs w:val="20"/>
              </w:rPr>
            </w:pPr>
            <w:r>
              <w:rPr>
                <w:rFonts w:eastAsia="Times New Roman" w:cs="Arial"/>
                <w:b/>
                <w:bCs/>
                <w:color w:val="FFFFFF"/>
                <w:sz w:val="20"/>
                <w:szCs w:val="20"/>
              </w:rPr>
              <w:t>(average height, light-moderate activity)</w:t>
            </w:r>
          </w:p>
          <w:p w14:paraId="365E15DD" w14:textId="6B4B66DF" w:rsidR="00403D85" w:rsidRDefault="00403D85">
            <w:pPr>
              <w:spacing w:after="0"/>
              <w:ind w:right="34"/>
              <w:jc w:val="center"/>
              <w:rPr>
                <w:rFonts w:eastAsia="Times New Roman" w:cs="Arial"/>
                <w:b/>
                <w:bCs/>
                <w:color w:val="FFFFFF"/>
                <w:sz w:val="20"/>
                <w:szCs w:val="20"/>
              </w:rPr>
            </w:pPr>
            <w:r w:rsidRPr="000D2DF6">
              <w:rPr>
                <w:rFonts w:ascii="Aptos" w:eastAsia="Times New Roman" w:hAnsi="Aptos" w:cs="Arial"/>
                <w:b/>
                <w:bCs/>
                <w:color w:val="FFFFFF"/>
                <w:sz w:val="20"/>
                <w:szCs w:val="20"/>
              </w:rPr>
              <w:t>(mg/day)</w:t>
            </w:r>
          </w:p>
        </w:tc>
        <w:tc>
          <w:tcPr>
            <w:tcW w:w="2099" w:type="dxa"/>
            <w:gridSpan w:val="2"/>
            <w:shd w:val="clear" w:color="auto" w:fill="005F85"/>
          </w:tcPr>
          <w:p w14:paraId="0234A311" w14:textId="77777777" w:rsidR="000E65B6" w:rsidRDefault="000E65B6" w:rsidP="0068455E">
            <w:pPr>
              <w:spacing w:after="0"/>
              <w:ind w:right="34"/>
              <w:jc w:val="center"/>
              <w:rPr>
                <w:rFonts w:eastAsia="Times New Roman" w:cs="Arial"/>
                <w:b/>
                <w:bCs/>
                <w:color w:val="FFFFFF"/>
                <w:sz w:val="20"/>
                <w:szCs w:val="20"/>
              </w:rPr>
            </w:pPr>
            <w:r>
              <w:rPr>
                <w:rFonts w:eastAsia="Times New Roman" w:cs="Arial"/>
                <w:b/>
                <w:bCs/>
                <w:color w:val="FFFFFF"/>
                <w:sz w:val="20"/>
                <w:szCs w:val="20"/>
              </w:rPr>
              <w:t xml:space="preserve">High energy level </w:t>
            </w:r>
          </w:p>
          <w:p w14:paraId="61EE5D10" w14:textId="77777777" w:rsidR="00403D85" w:rsidRDefault="000E65B6" w:rsidP="00403D85">
            <w:pPr>
              <w:spacing w:after="0"/>
              <w:ind w:right="34"/>
              <w:jc w:val="center"/>
              <w:rPr>
                <w:rFonts w:ascii="Aptos" w:eastAsia="Times New Roman" w:hAnsi="Aptos" w:cs="Arial"/>
                <w:b/>
                <w:bCs/>
                <w:color w:val="FFFFFF"/>
                <w:sz w:val="20"/>
                <w:szCs w:val="20"/>
              </w:rPr>
            </w:pPr>
            <w:r>
              <w:rPr>
                <w:rFonts w:eastAsia="Times New Roman" w:cs="Arial"/>
                <w:b/>
                <w:bCs/>
                <w:color w:val="FFFFFF"/>
                <w:sz w:val="20"/>
                <w:szCs w:val="20"/>
              </w:rPr>
              <w:t>(tallest, highest activity)</w:t>
            </w:r>
            <w:r w:rsidR="00403D85" w:rsidRPr="000D2DF6">
              <w:rPr>
                <w:rFonts w:ascii="Aptos" w:eastAsia="Times New Roman" w:hAnsi="Aptos" w:cs="Arial"/>
                <w:b/>
                <w:bCs/>
                <w:color w:val="FFFFFF"/>
                <w:sz w:val="20"/>
                <w:szCs w:val="20"/>
              </w:rPr>
              <w:t xml:space="preserve"> </w:t>
            </w:r>
          </w:p>
          <w:p w14:paraId="0F152100" w14:textId="700A9B22" w:rsidR="0068455E" w:rsidRDefault="00403D85" w:rsidP="00403D85">
            <w:pPr>
              <w:spacing w:after="0"/>
              <w:ind w:right="34"/>
              <w:jc w:val="center"/>
              <w:rPr>
                <w:rFonts w:eastAsia="Times New Roman" w:cs="Arial"/>
                <w:b/>
                <w:bCs/>
                <w:color w:val="FFFFFF"/>
                <w:sz w:val="20"/>
                <w:szCs w:val="20"/>
              </w:rPr>
            </w:pPr>
            <w:r w:rsidRPr="000D2DF6">
              <w:rPr>
                <w:rFonts w:ascii="Aptos" w:eastAsia="Times New Roman" w:hAnsi="Aptos" w:cs="Arial"/>
                <w:b/>
                <w:bCs/>
                <w:color w:val="FFFFFF"/>
                <w:sz w:val="20"/>
                <w:szCs w:val="20"/>
              </w:rPr>
              <w:t>(mg/day)</w:t>
            </w:r>
          </w:p>
        </w:tc>
      </w:tr>
      <w:tr w:rsidR="007D1C4D" w:rsidRPr="006A14E9" w14:paraId="098EEB80" w14:textId="17EDE42B">
        <w:trPr>
          <w:trHeight w:val="315"/>
        </w:trPr>
        <w:tc>
          <w:tcPr>
            <w:tcW w:w="802" w:type="dxa"/>
            <w:vMerge/>
            <w:shd w:val="clear" w:color="auto" w:fill="005F85"/>
          </w:tcPr>
          <w:p w14:paraId="0821D2C2" w14:textId="77777777" w:rsidR="007D1C4D" w:rsidRPr="006A14E9" w:rsidRDefault="007D1C4D" w:rsidP="007D1C4D">
            <w:pPr>
              <w:spacing w:after="0"/>
              <w:ind w:right="-1346"/>
              <w:rPr>
                <w:rFonts w:eastAsia="Times New Roman" w:cs="Arial"/>
                <w:b/>
                <w:bCs/>
                <w:color w:val="FFFFFF"/>
                <w:sz w:val="20"/>
                <w:szCs w:val="20"/>
              </w:rPr>
            </w:pPr>
          </w:p>
        </w:tc>
        <w:tc>
          <w:tcPr>
            <w:tcW w:w="1018" w:type="dxa"/>
            <w:shd w:val="clear" w:color="auto" w:fill="005F85"/>
            <w:vAlign w:val="bottom"/>
          </w:tcPr>
          <w:p w14:paraId="149F19D9" w14:textId="574AABF8" w:rsidR="007D1C4D" w:rsidRPr="006A14E9" w:rsidRDefault="007D1C4D" w:rsidP="007D1C4D">
            <w:pPr>
              <w:spacing w:after="0"/>
              <w:jc w:val="center"/>
              <w:rPr>
                <w:rFonts w:eastAsia="Times New Roman" w:cs="Arial"/>
                <w:b/>
                <w:bCs/>
                <w:color w:val="FFFFFF"/>
                <w:sz w:val="20"/>
                <w:szCs w:val="20"/>
              </w:rPr>
            </w:pPr>
            <w:r>
              <w:rPr>
                <w:rFonts w:eastAsia="Times New Roman" w:cs="Arial"/>
                <w:b/>
                <w:bCs/>
                <w:color w:val="FFFFFF"/>
                <w:sz w:val="20"/>
                <w:szCs w:val="20"/>
              </w:rPr>
              <w:t>All</w:t>
            </w:r>
          </w:p>
        </w:tc>
        <w:tc>
          <w:tcPr>
            <w:tcW w:w="1010" w:type="dxa"/>
            <w:shd w:val="clear" w:color="auto" w:fill="156082" w:themeFill="accent1"/>
            <w:vAlign w:val="bottom"/>
          </w:tcPr>
          <w:p w14:paraId="36AF443E" w14:textId="77777777" w:rsidR="007D1C4D" w:rsidRPr="006A14E9" w:rsidRDefault="007D1C4D" w:rsidP="007D1C4D">
            <w:pPr>
              <w:spacing w:after="0"/>
              <w:jc w:val="center"/>
              <w:rPr>
                <w:rFonts w:eastAsia="Times New Roman" w:cs="Arial"/>
                <w:b/>
                <w:bCs/>
                <w:color w:val="FFFFFF"/>
                <w:sz w:val="20"/>
                <w:szCs w:val="20"/>
              </w:rPr>
            </w:pPr>
            <w:r>
              <w:rPr>
                <w:rFonts w:eastAsia="Times New Roman" w:cs="Arial"/>
                <w:b/>
                <w:bCs/>
                <w:color w:val="FFFFFF"/>
                <w:sz w:val="20"/>
                <w:szCs w:val="20"/>
              </w:rPr>
              <w:t>F</w:t>
            </w:r>
          </w:p>
        </w:tc>
        <w:tc>
          <w:tcPr>
            <w:tcW w:w="1058" w:type="dxa"/>
            <w:shd w:val="clear" w:color="auto" w:fill="156082" w:themeFill="accent1"/>
            <w:vAlign w:val="bottom"/>
          </w:tcPr>
          <w:p w14:paraId="7CD9D104" w14:textId="77777777" w:rsidR="007D1C4D" w:rsidRPr="006A14E9" w:rsidRDefault="007D1C4D" w:rsidP="007D1C4D">
            <w:pPr>
              <w:spacing w:after="0"/>
              <w:jc w:val="center"/>
              <w:rPr>
                <w:rFonts w:eastAsia="Times New Roman" w:cs="Arial"/>
                <w:b/>
                <w:bCs/>
                <w:color w:val="FFFFFF"/>
                <w:sz w:val="20"/>
                <w:szCs w:val="20"/>
              </w:rPr>
            </w:pPr>
            <w:r>
              <w:rPr>
                <w:rFonts w:eastAsia="Times New Roman" w:cs="Arial"/>
                <w:b/>
                <w:bCs/>
                <w:color w:val="FFFFFF"/>
                <w:sz w:val="20"/>
                <w:szCs w:val="20"/>
              </w:rPr>
              <w:t>M</w:t>
            </w:r>
          </w:p>
        </w:tc>
        <w:tc>
          <w:tcPr>
            <w:tcW w:w="699" w:type="dxa"/>
            <w:shd w:val="clear" w:color="auto" w:fill="005F85"/>
            <w:vAlign w:val="bottom"/>
          </w:tcPr>
          <w:p w14:paraId="4B348621" w14:textId="77777777" w:rsidR="007D1C4D" w:rsidRPr="006A14E9" w:rsidRDefault="007D1C4D" w:rsidP="007D1C4D">
            <w:pPr>
              <w:spacing w:after="0"/>
              <w:jc w:val="center"/>
              <w:rPr>
                <w:rFonts w:eastAsia="Times New Roman" w:cs="Arial"/>
                <w:b/>
                <w:bCs/>
                <w:color w:val="FFFFFF"/>
                <w:sz w:val="20"/>
                <w:szCs w:val="20"/>
              </w:rPr>
            </w:pPr>
            <w:r>
              <w:rPr>
                <w:rFonts w:eastAsia="Times New Roman" w:cs="Arial"/>
                <w:b/>
                <w:bCs/>
                <w:color w:val="FFFFFF"/>
                <w:sz w:val="20"/>
                <w:szCs w:val="20"/>
              </w:rPr>
              <w:t>F</w:t>
            </w:r>
          </w:p>
        </w:tc>
        <w:tc>
          <w:tcPr>
            <w:tcW w:w="699" w:type="dxa"/>
            <w:shd w:val="clear" w:color="auto" w:fill="005F85"/>
            <w:vAlign w:val="bottom"/>
          </w:tcPr>
          <w:p w14:paraId="390A8D9C" w14:textId="77777777" w:rsidR="007D1C4D" w:rsidRPr="006A14E9" w:rsidRDefault="007D1C4D" w:rsidP="007D1C4D">
            <w:pPr>
              <w:spacing w:after="0"/>
              <w:ind w:right="-112"/>
              <w:jc w:val="center"/>
              <w:rPr>
                <w:rFonts w:eastAsia="Times New Roman" w:cs="Arial"/>
                <w:b/>
                <w:bCs/>
                <w:color w:val="FFFFFF"/>
                <w:sz w:val="20"/>
                <w:szCs w:val="20"/>
              </w:rPr>
            </w:pPr>
            <w:r>
              <w:rPr>
                <w:rFonts w:eastAsia="Times New Roman" w:cs="Arial"/>
                <w:b/>
                <w:bCs/>
                <w:color w:val="FFFFFF"/>
                <w:sz w:val="20"/>
                <w:szCs w:val="20"/>
              </w:rPr>
              <w:t>M</w:t>
            </w:r>
          </w:p>
        </w:tc>
        <w:tc>
          <w:tcPr>
            <w:tcW w:w="699" w:type="dxa"/>
            <w:shd w:val="clear" w:color="auto" w:fill="005F85"/>
            <w:vAlign w:val="bottom"/>
          </w:tcPr>
          <w:p w14:paraId="64E7698B" w14:textId="77777777" w:rsidR="007D1C4D" w:rsidRPr="006A14E9" w:rsidRDefault="007D1C4D" w:rsidP="007D1C4D">
            <w:pPr>
              <w:spacing w:after="0"/>
              <w:jc w:val="center"/>
              <w:rPr>
                <w:rFonts w:eastAsia="Times New Roman" w:cs="Arial"/>
                <w:b/>
                <w:bCs/>
                <w:color w:val="FFFFFF"/>
                <w:sz w:val="20"/>
                <w:szCs w:val="20"/>
              </w:rPr>
            </w:pPr>
            <w:r>
              <w:rPr>
                <w:rFonts w:eastAsia="Times New Roman" w:cs="Arial"/>
                <w:b/>
                <w:bCs/>
                <w:color w:val="FFFFFF"/>
                <w:sz w:val="20"/>
                <w:szCs w:val="20"/>
              </w:rPr>
              <w:t>F</w:t>
            </w:r>
          </w:p>
        </w:tc>
        <w:tc>
          <w:tcPr>
            <w:tcW w:w="699" w:type="dxa"/>
            <w:shd w:val="clear" w:color="auto" w:fill="005F85"/>
            <w:vAlign w:val="bottom"/>
          </w:tcPr>
          <w:p w14:paraId="1CC8EB77" w14:textId="77777777" w:rsidR="007D1C4D" w:rsidRPr="006A14E9" w:rsidRDefault="007D1C4D" w:rsidP="007D1C4D">
            <w:pPr>
              <w:spacing w:after="0"/>
              <w:ind w:right="-110"/>
              <w:jc w:val="center"/>
              <w:rPr>
                <w:rFonts w:eastAsia="Times New Roman" w:cs="Arial"/>
                <w:b/>
                <w:bCs/>
                <w:color w:val="FFFFFF"/>
                <w:sz w:val="20"/>
                <w:szCs w:val="20"/>
              </w:rPr>
            </w:pPr>
            <w:r>
              <w:rPr>
                <w:rFonts w:eastAsia="Times New Roman" w:cs="Arial"/>
                <w:b/>
                <w:bCs/>
                <w:color w:val="FFFFFF"/>
                <w:sz w:val="20"/>
                <w:szCs w:val="20"/>
              </w:rPr>
              <w:t>M</w:t>
            </w:r>
          </w:p>
        </w:tc>
        <w:tc>
          <w:tcPr>
            <w:tcW w:w="699" w:type="dxa"/>
            <w:shd w:val="clear" w:color="auto" w:fill="005F85"/>
            <w:vAlign w:val="bottom"/>
          </w:tcPr>
          <w:p w14:paraId="62FDF245" w14:textId="77777777" w:rsidR="007D1C4D" w:rsidRPr="006A14E9" w:rsidRDefault="007D1C4D" w:rsidP="007D1C4D">
            <w:pPr>
              <w:spacing w:after="0"/>
              <w:jc w:val="center"/>
              <w:rPr>
                <w:rFonts w:eastAsia="Times New Roman" w:cs="Arial"/>
                <w:b/>
                <w:bCs/>
                <w:color w:val="FFFFFF"/>
                <w:sz w:val="20"/>
                <w:szCs w:val="20"/>
              </w:rPr>
            </w:pPr>
            <w:r>
              <w:rPr>
                <w:rFonts w:eastAsia="Times New Roman" w:cs="Arial"/>
                <w:b/>
                <w:bCs/>
                <w:color w:val="FFFFFF"/>
                <w:sz w:val="20"/>
                <w:szCs w:val="20"/>
              </w:rPr>
              <w:t>F</w:t>
            </w:r>
          </w:p>
        </w:tc>
        <w:tc>
          <w:tcPr>
            <w:tcW w:w="699" w:type="dxa"/>
            <w:shd w:val="clear" w:color="auto" w:fill="005F85"/>
            <w:vAlign w:val="bottom"/>
          </w:tcPr>
          <w:p w14:paraId="43442A31" w14:textId="77777777" w:rsidR="007D1C4D" w:rsidRPr="006A14E9" w:rsidRDefault="007D1C4D" w:rsidP="007D1C4D">
            <w:pPr>
              <w:spacing w:after="0"/>
              <w:ind w:right="-108"/>
              <w:jc w:val="center"/>
              <w:rPr>
                <w:rFonts w:eastAsia="Times New Roman" w:cs="Arial"/>
                <w:b/>
                <w:bCs/>
                <w:color w:val="FFFFFF"/>
                <w:sz w:val="20"/>
                <w:szCs w:val="20"/>
              </w:rPr>
            </w:pPr>
            <w:r>
              <w:rPr>
                <w:rFonts w:eastAsia="Times New Roman" w:cs="Arial"/>
                <w:b/>
                <w:bCs/>
                <w:color w:val="FFFFFF"/>
                <w:sz w:val="20"/>
                <w:szCs w:val="20"/>
              </w:rPr>
              <w:t>M</w:t>
            </w:r>
          </w:p>
        </w:tc>
        <w:tc>
          <w:tcPr>
            <w:tcW w:w="699" w:type="dxa"/>
            <w:shd w:val="clear" w:color="auto" w:fill="005F85"/>
            <w:vAlign w:val="bottom"/>
          </w:tcPr>
          <w:p w14:paraId="29136D93" w14:textId="77777777" w:rsidR="007D1C4D" w:rsidRPr="006A14E9" w:rsidRDefault="007D1C4D" w:rsidP="007D1C4D">
            <w:pPr>
              <w:spacing w:after="0"/>
              <w:jc w:val="center"/>
              <w:rPr>
                <w:rFonts w:eastAsia="Times New Roman" w:cs="Arial"/>
                <w:b/>
                <w:bCs/>
                <w:color w:val="FFFFFF"/>
                <w:sz w:val="20"/>
                <w:szCs w:val="20"/>
              </w:rPr>
            </w:pPr>
            <w:r>
              <w:rPr>
                <w:rFonts w:eastAsia="Times New Roman" w:cs="Arial"/>
                <w:b/>
                <w:bCs/>
                <w:color w:val="FFFFFF"/>
                <w:sz w:val="20"/>
                <w:szCs w:val="20"/>
              </w:rPr>
              <w:t>F</w:t>
            </w:r>
          </w:p>
        </w:tc>
        <w:tc>
          <w:tcPr>
            <w:tcW w:w="700" w:type="dxa"/>
            <w:shd w:val="clear" w:color="auto" w:fill="005F85"/>
            <w:vAlign w:val="bottom"/>
          </w:tcPr>
          <w:p w14:paraId="695F56B9" w14:textId="77777777" w:rsidR="007D1C4D" w:rsidRPr="006A14E9" w:rsidRDefault="007D1C4D" w:rsidP="007D1C4D">
            <w:pPr>
              <w:spacing w:after="0"/>
              <w:ind w:right="-104"/>
              <w:jc w:val="center"/>
              <w:rPr>
                <w:rFonts w:eastAsia="Times New Roman" w:cs="Arial"/>
                <w:b/>
                <w:bCs/>
                <w:color w:val="FFFFFF"/>
                <w:sz w:val="20"/>
                <w:szCs w:val="20"/>
              </w:rPr>
            </w:pPr>
            <w:r>
              <w:rPr>
                <w:rFonts w:eastAsia="Times New Roman" w:cs="Arial"/>
                <w:b/>
                <w:bCs/>
                <w:color w:val="FFFFFF"/>
                <w:sz w:val="20"/>
                <w:szCs w:val="20"/>
              </w:rPr>
              <w:t>M</w:t>
            </w:r>
          </w:p>
        </w:tc>
        <w:tc>
          <w:tcPr>
            <w:tcW w:w="1049" w:type="dxa"/>
            <w:shd w:val="clear" w:color="auto" w:fill="005F85"/>
            <w:vAlign w:val="bottom"/>
          </w:tcPr>
          <w:p w14:paraId="2087DF6D" w14:textId="20F8564C" w:rsidR="007D1C4D" w:rsidRDefault="007D1C4D" w:rsidP="007D1C4D">
            <w:pPr>
              <w:spacing w:after="0"/>
              <w:ind w:right="-104"/>
              <w:jc w:val="center"/>
              <w:rPr>
                <w:rFonts w:eastAsia="Times New Roman" w:cs="Arial"/>
                <w:b/>
                <w:bCs/>
                <w:color w:val="FFFFFF"/>
                <w:sz w:val="20"/>
                <w:szCs w:val="20"/>
              </w:rPr>
            </w:pPr>
            <w:r>
              <w:rPr>
                <w:rFonts w:eastAsia="Times New Roman" w:cs="Arial"/>
                <w:b/>
                <w:bCs/>
                <w:color w:val="FFFFFF"/>
                <w:sz w:val="20"/>
                <w:szCs w:val="20"/>
              </w:rPr>
              <w:t>F</w:t>
            </w:r>
          </w:p>
        </w:tc>
        <w:tc>
          <w:tcPr>
            <w:tcW w:w="1050" w:type="dxa"/>
            <w:shd w:val="clear" w:color="auto" w:fill="005F85"/>
            <w:vAlign w:val="bottom"/>
          </w:tcPr>
          <w:p w14:paraId="18075173" w14:textId="721367AA" w:rsidR="007D1C4D" w:rsidRDefault="007D1C4D" w:rsidP="007D1C4D">
            <w:pPr>
              <w:spacing w:after="0"/>
              <w:ind w:right="-104"/>
              <w:jc w:val="center"/>
              <w:rPr>
                <w:rFonts w:eastAsia="Times New Roman" w:cs="Arial"/>
                <w:b/>
                <w:bCs/>
                <w:color w:val="FFFFFF"/>
                <w:sz w:val="20"/>
                <w:szCs w:val="20"/>
              </w:rPr>
            </w:pPr>
            <w:r>
              <w:rPr>
                <w:rFonts w:eastAsia="Times New Roman" w:cs="Arial"/>
                <w:b/>
                <w:bCs/>
                <w:color w:val="FFFFFF"/>
                <w:sz w:val="20"/>
                <w:szCs w:val="20"/>
              </w:rPr>
              <w:t>M</w:t>
            </w:r>
          </w:p>
        </w:tc>
        <w:tc>
          <w:tcPr>
            <w:tcW w:w="1049" w:type="dxa"/>
            <w:shd w:val="clear" w:color="auto" w:fill="005F85"/>
            <w:vAlign w:val="bottom"/>
          </w:tcPr>
          <w:p w14:paraId="723C7ABD" w14:textId="27092AC6" w:rsidR="007D1C4D" w:rsidRDefault="007D1C4D" w:rsidP="007D1C4D">
            <w:pPr>
              <w:spacing w:after="0"/>
              <w:ind w:right="-104"/>
              <w:jc w:val="center"/>
              <w:rPr>
                <w:rFonts w:eastAsia="Times New Roman" w:cs="Arial"/>
                <w:b/>
                <w:bCs/>
                <w:color w:val="FFFFFF"/>
                <w:sz w:val="20"/>
                <w:szCs w:val="20"/>
              </w:rPr>
            </w:pPr>
            <w:r>
              <w:rPr>
                <w:rFonts w:eastAsia="Times New Roman" w:cs="Arial"/>
                <w:b/>
                <w:bCs/>
                <w:color w:val="FFFFFF"/>
                <w:sz w:val="20"/>
                <w:szCs w:val="20"/>
              </w:rPr>
              <w:t>F</w:t>
            </w:r>
          </w:p>
        </w:tc>
        <w:tc>
          <w:tcPr>
            <w:tcW w:w="1050" w:type="dxa"/>
            <w:shd w:val="clear" w:color="auto" w:fill="005F85"/>
            <w:vAlign w:val="bottom"/>
          </w:tcPr>
          <w:p w14:paraId="1C571173" w14:textId="25BAACCC" w:rsidR="007D1C4D" w:rsidRDefault="007D1C4D" w:rsidP="007D1C4D">
            <w:pPr>
              <w:spacing w:after="0"/>
              <w:ind w:right="-104"/>
              <w:jc w:val="center"/>
              <w:rPr>
                <w:rFonts w:eastAsia="Times New Roman" w:cs="Arial"/>
                <w:b/>
                <w:bCs/>
                <w:color w:val="FFFFFF"/>
                <w:sz w:val="20"/>
                <w:szCs w:val="20"/>
              </w:rPr>
            </w:pPr>
            <w:r>
              <w:rPr>
                <w:rFonts w:eastAsia="Times New Roman" w:cs="Arial"/>
                <w:b/>
                <w:bCs/>
                <w:color w:val="FFFFFF"/>
                <w:sz w:val="20"/>
                <w:szCs w:val="20"/>
              </w:rPr>
              <w:t>M</w:t>
            </w:r>
          </w:p>
        </w:tc>
      </w:tr>
      <w:tr w:rsidR="0068455E" w:rsidRPr="006A14E9" w14:paraId="0A30F5A2" w14:textId="01F872FE" w:rsidTr="00CC1C5E">
        <w:tc>
          <w:tcPr>
            <w:tcW w:w="802" w:type="dxa"/>
            <w:vAlign w:val="center"/>
          </w:tcPr>
          <w:p w14:paraId="4AED3D61" w14:textId="77777777" w:rsidR="0068455E" w:rsidRPr="006A14E9" w:rsidRDefault="0068455E">
            <w:pPr>
              <w:spacing w:after="0"/>
              <w:ind w:right="-1346"/>
              <w:rPr>
                <w:rFonts w:eastAsia="Times New Roman" w:cs="Arial"/>
                <w:sz w:val="20"/>
                <w:szCs w:val="20"/>
              </w:rPr>
            </w:pPr>
            <w:r w:rsidRPr="006A14E9">
              <w:rPr>
                <w:rFonts w:eastAsia="Times New Roman" w:cs="Arial"/>
                <w:sz w:val="20"/>
                <w:szCs w:val="20"/>
              </w:rPr>
              <w:t>19-30 yr</w:t>
            </w:r>
          </w:p>
        </w:tc>
        <w:tc>
          <w:tcPr>
            <w:tcW w:w="1018" w:type="dxa"/>
            <w:vMerge w:val="restart"/>
            <w:shd w:val="clear" w:color="auto" w:fill="F2CEED" w:themeFill="accent5" w:themeFillTint="33"/>
            <w:vAlign w:val="center"/>
          </w:tcPr>
          <w:p w14:paraId="0A588EB4" w14:textId="5EB0333A" w:rsidR="0068455E" w:rsidRPr="0084316C" w:rsidRDefault="0068455E" w:rsidP="008C4B59">
            <w:pPr>
              <w:spacing w:after="0"/>
              <w:ind w:right="38"/>
              <w:jc w:val="center"/>
              <w:rPr>
                <w:rFonts w:eastAsia="Times New Roman" w:cs="Arial"/>
                <w:sz w:val="20"/>
                <w:szCs w:val="20"/>
              </w:rPr>
            </w:pPr>
            <w:r>
              <w:rPr>
                <w:rFonts w:eastAsia="Times New Roman" w:cs="Arial"/>
                <w:sz w:val="20"/>
                <w:szCs w:val="20"/>
              </w:rPr>
              <w:t>700</w:t>
            </w:r>
          </w:p>
        </w:tc>
        <w:tc>
          <w:tcPr>
            <w:tcW w:w="1010" w:type="dxa"/>
            <w:vMerge w:val="restart"/>
            <w:shd w:val="clear" w:color="auto" w:fill="FAE2D5" w:themeFill="accent2" w:themeFillTint="33"/>
            <w:vAlign w:val="center"/>
          </w:tcPr>
          <w:p w14:paraId="0267486A" w14:textId="2E8C7EFB" w:rsidR="0068455E" w:rsidRPr="0084316C" w:rsidRDefault="0068455E" w:rsidP="00E61161">
            <w:pPr>
              <w:spacing w:after="0"/>
              <w:ind w:right="-115"/>
              <w:jc w:val="center"/>
              <w:rPr>
                <w:rFonts w:eastAsia="Times New Roman" w:cs="Arial"/>
                <w:sz w:val="20"/>
                <w:szCs w:val="20"/>
              </w:rPr>
            </w:pPr>
            <w:r w:rsidRPr="0084316C">
              <w:rPr>
                <w:rFonts w:eastAsia="Times New Roman" w:cs="Arial"/>
                <w:sz w:val="20"/>
                <w:szCs w:val="20"/>
              </w:rPr>
              <w:t>1,22</w:t>
            </w:r>
            <w:r>
              <w:rPr>
                <w:rFonts w:eastAsia="Times New Roman" w:cs="Arial"/>
                <w:sz w:val="20"/>
                <w:szCs w:val="20"/>
              </w:rPr>
              <w:t>3</w:t>
            </w:r>
            <w:r w:rsidRPr="0084316C">
              <w:rPr>
                <w:rFonts w:eastAsia="Times New Roman" w:cs="Arial"/>
                <w:sz w:val="20"/>
                <w:szCs w:val="20"/>
              </w:rPr>
              <w:t xml:space="preserve"> to 218</w:t>
            </w:r>
            <w:r>
              <w:rPr>
                <w:rFonts w:eastAsia="Times New Roman" w:cs="Arial"/>
                <w:sz w:val="20"/>
                <w:szCs w:val="20"/>
              </w:rPr>
              <w:t>2</w:t>
            </w:r>
          </w:p>
        </w:tc>
        <w:tc>
          <w:tcPr>
            <w:tcW w:w="1058" w:type="dxa"/>
            <w:vMerge w:val="restart"/>
            <w:shd w:val="clear" w:color="auto" w:fill="FAE2D5" w:themeFill="accent2" w:themeFillTint="33"/>
            <w:vAlign w:val="center"/>
          </w:tcPr>
          <w:p w14:paraId="4F51C6C0" w14:textId="1127B4A4" w:rsidR="0068455E" w:rsidRPr="0084316C" w:rsidRDefault="0068455E" w:rsidP="00E61161">
            <w:pPr>
              <w:spacing w:after="0"/>
              <w:ind w:right="-115"/>
              <w:jc w:val="center"/>
              <w:rPr>
                <w:rFonts w:eastAsia="Times New Roman" w:cs="Arial"/>
                <w:sz w:val="20"/>
                <w:szCs w:val="20"/>
              </w:rPr>
            </w:pPr>
            <w:r w:rsidRPr="0084316C">
              <w:rPr>
                <w:rFonts w:eastAsia="Times New Roman" w:cs="Arial"/>
                <w:sz w:val="20"/>
                <w:szCs w:val="20"/>
              </w:rPr>
              <w:t>1,60</w:t>
            </w:r>
            <w:r>
              <w:rPr>
                <w:rFonts w:eastAsia="Times New Roman" w:cs="Arial"/>
                <w:sz w:val="20"/>
                <w:szCs w:val="20"/>
              </w:rPr>
              <w:t>6</w:t>
            </w:r>
            <w:r w:rsidRPr="0084316C">
              <w:rPr>
                <w:rFonts w:eastAsia="Times New Roman" w:cs="Arial"/>
                <w:sz w:val="20"/>
                <w:szCs w:val="20"/>
              </w:rPr>
              <w:t xml:space="preserve"> to 2,756</w:t>
            </w:r>
          </w:p>
        </w:tc>
        <w:tc>
          <w:tcPr>
            <w:tcW w:w="699" w:type="dxa"/>
            <w:vAlign w:val="center"/>
          </w:tcPr>
          <w:p w14:paraId="0F428F18" w14:textId="03007EFA" w:rsidR="0068455E" w:rsidRPr="0084316C" w:rsidRDefault="0068455E" w:rsidP="00E61161">
            <w:pPr>
              <w:spacing w:after="0"/>
              <w:ind w:right="-115"/>
              <w:jc w:val="center"/>
              <w:rPr>
                <w:rFonts w:eastAsia="Times New Roman" w:cs="Arial"/>
                <w:sz w:val="20"/>
                <w:szCs w:val="20"/>
              </w:rPr>
            </w:pPr>
            <w:r w:rsidRPr="0084316C">
              <w:rPr>
                <w:rFonts w:eastAsia="Times New Roman" w:cs="Arial"/>
                <w:sz w:val="20"/>
                <w:szCs w:val="20"/>
              </w:rPr>
              <w:t>140</w:t>
            </w:r>
            <w:r>
              <w:rPr>
                <w:rFonts w:eastAsia="Times New Roman" w:cs="Arial"/>
                <w:sz w:val="20"/>
                <w:szCs w:val="20"/>
              </w:rPr>
              <w:t>5</w:t>
            </w:r>
          </w:p>
        </w:tc>
        <w:tc>
          <w:tcPr>
            <w:tcW w:w="699" w:type="dxa"/>
            <w:vAlign w:val="center"/>
          </w:tcPr>
          <w:p w14:paraId="07783FF3" w14:textId="6E396102" w:rsidR="0068455E" w:rsidRPr="0084316C" w:rsidRDefault="0068455E" w:rsidP="00EF2239">
            <w:pPr>
              <w:spacing w:after="0"/>
              <w:ind w:right="-115"/>
              <w:rPr>
                <w:rFonts w:eastAsia="Times New Roman" w:cs="Arial"/>
                <w:sz w:val="20"/>
                <w:szCs w:val="20"/>
              </w:rPr>
            </w:pPr>
            <w:r w:rsidRPr="0084316C">
              <w:rPr>
                <w:rFonts w:eastAsia="Times New Roman" w:cs="Arial"/>
                <w:sz w:val="20"/>
                <w:szCs w:val="20"/>
              </w:rPr>
              <w:t>141</w:t>
            </w:r>
            <w:r>
              <w:rPr>
                <w:rFonts w:eastAsia="Times New Roman" w:cs="Arial"/>
                <w:sz w:val="20"/>
                <w:szCs w:val="20"/>
              </w:rPr>
              <w:t>1</w:t>
            </w:r>
          </w:p>
        </w:tc>
        <w:tc>
          <w:tcPr>
            <w:tcW w:w="699" w:type="dxa"/>
            <w:vAlign w:val="center"/>
          </w:tcPr>
          <w:p w14:paraId="2B39F18B" w14:textId="3D1AFBB4" w:rsidR="0068455E" w:rsidRPr="0084316C" w:rsidRDefault="0068455E" w:rsidP="00E61161">
            <w:pPr>
              <w:spacing w:after="0"/>
              <w:ind w:right="36"/>
              <w:jc w:val="center"/>
              <w:rPr>
                <w:rFonts w:eastAsia="Times New Roman" w:cs="Arial"/>
                <w:sz w:val="20"/>
                <w:szCs w:val="20"/>
              </w:rPr>
            </w:pPr>
            <w:r w:rsidRPr="0084316C">
              <w:rPr>
                <w:rFonts w:eastAsia="Times New Roman" w:cs="Arial"/>
                <w:sz w:val="20"/>
                <w:szCs w:val="20"/>
              </w:rPr>
              <w:t>926</w:t>
            </w:r>
          </w:p>
        </w:tc>
        <w:tc>
          <w:tcPr>
            <w:tcW w:w="699" w:type="dxa"/>
            <w:vAlign w:val="center"/>
          </w:tcPr>
          <w:p w14:paraId="68F43809" w14:textId="6CA22536" w:rsidR="0068455E" w:rsidRPr="0084316C" w:rsidRDefault="0068455E" w:rsidP="00E61161">
            <w:pPr>
              <w:spacing w:after="0"/>
              <w:ind w:right="-115"/>
              <w:jc w:val="center"/>
              <w:rPr>
                <w:rFonts w:eastAsia="Times New Roman" w:cs="Arial"/>
                <w:sz w:val="20"/>
                <w:szCs w:val="20"/>
              </w:rPr>
            </w:pPr>
            <w:r w:rsidRPr="0084316C">
              <w:rPr>
                <w:rFonts w:eastAsia="Times New Roman" w:cs="Arial"/>
                <w:sz w:val="20"/>
                <w:szCs w:val="20"/>
              </w:rPr>
              <w:t>99</w:t>
            </w:r>
            <w:r>
              <w:rPr>
                <w:rFonts w:eastAsia="Times New Roman" w:cs="Arial"/>
                <w:sz w:val="20"/>
                <w:szCs w:val="20"/>
              </w:rPr>
              <w:t>8</w:t>
            </w:r>
          </w:p>
        </w:tc>
        <w:tc>
          <w:tcPr>
            <w:tcW w:w="699" w:type="dxa"/>
            <w:vAlign w:val="center"/>
          </w:tcPr>
          <w:p w14:paraId="7C16A99A" w14:textId="2E854115" w:rsidR="0068455E" w:rsidRPr="006A14E9" w:rsidRDefault="0068455E" w:rsidP="00E61161">
            <w:pPr>
              <w:spacing w:after="0"/>
              <w:ind w:right="27"/>
              <w:jc w:val="center"/>
              <w:rPr>
                <w:rFonts w:eastAsia="Times New Roman" w:cs="Arial"/>
                <w:sz w:val="20"/>
                <w:szCs w:val="20"/>
              </w:rPr>
            </w:pPr>
            <w:r w:rsidRPr="00BF2B0E">
              <w:rPr>
                <w:rFonts w:eastAsia="Times New Roman" w:cs="Arial"/>
                <w:sz w:val="20"/>
                <w:szCs w:val="20"/>
              </w:rPr>
              <w:t>1159</w:t>
            </w:r>
          </w:p>
        </w:tc>
        <w:tc>
          <w:tcPr>
            <w:tcW w:w="699" w:type="dxa"/>
            <w:vAlign w:val="center"/>
          </w:tcPr>
          <w:p w14:paraId="0C756E36" w14:textId="13265F3E" w:rsidR="0068455E" w:rsidRPr="006A14E9" w:rsidRDefault="0068455E" w:rsidP="00E61161">
            <w:pPr>
              <w:spacing w:after="0"/>
              <w:ind w:right="27"/>
              <w:jc w:val="center"/>
              <w:rPr>
                <w:rFonts w:eastAsia="Times New Roman" w:cs="Arial"/>
                <w:sz w:val="20"/>
                <w:szCs w:val="20"/>
              </w:rPr>
            </w:pPr>
            <w:r w:rsidRPr="00BF2B0E">
              <w:rPr>
                <w:rFonts w:eastAsia="Times New Roman" w:cs="Arial"/>
                <w:sz w:val="20"/>
                <w:szCs w:val="20"/>
              </w:rPr>
              <w:t>1338</w:t>
            </w:r>
          </w:p>
        </w:tc>
        <w:tc>
          <w:tcPr>
            <w:tcW w:w="699" w:type="dxa"/>
            <w:vAlign w:val="center"/>
          </w:tcPr>
          <w:p w14:paraId="1011CB70" w14:textId="107382B4" w:rsidR="0068455E" w:rsidRPr="006A14E9" w:rsidRDefault="0068455E" w:rsidP="00E61161">
            <w:pPr>
              <w:spacing w:after="0"/>
              <w:ind w:right="34"/>
              <w:jc w:val="center"/>
              <w:rPr>
                <w:rFonts w:eastAsia="Times New Roman" w:cs="Arial"/>
                <w:sz w:val="20"/>
                <w:szCs w:val="20"/>
              </w:rPr>
            </w:pPr>
            <w:r w:rsidRPr="00BF2B0E">
              <w:rPr>
                <w:rFonts w:eastAsia="Times New Roman" w:cs="Arial"/>
                <w:sz w:val="20"/>
                <w:szCs w:val="20"/>
              </w:rPr>
              <w:t>141</w:t>
            </w:r>
            <w:r>
              <w:rPr>
                <w:rFonts w:eastAsia="Times New Roman" w:cs="Arial"/>
                <w:sz w:val="20"/>
                <w:szCs w:val="20"/>
              </w:rPr>
              <w:t>1</w:t>
            </w:r>
          </w:p>
        </w:tc>
        <w:tc>
          <w:tcPr>
            <w:tcW w:w="700" w:type="dxa"/>
            <w:vAlign w:val="center"/>
          </w:tcPr>
          <w:p w14:paraId="15B6358C" w14:textId="3EF346A5" w:rsidR="0068455E" w:rsidRPr="006A14E9" w:rsidRDefault="0068455E" w:rsidP="00E61161">
            <w:pPr>
              <w:spacing w:after="0"/>
              <w:ind w:right="34"/>
              <w:jc w:val="center"/>
              <w:rPr>
                <w:rFonts w:eastAsia="Times New Roman" w:cs="Arial"/>
                <w:sz w:val="20"/>
                <w:szCs w:val="20"/>
              </w:rPr>
            </w:pPr>
            <w:r w:rsidRPr="00BF2B0E">
              <w:rPr>
                <w:rFonts w:eastAsia="Times New Roman" w:cs="Arial"/>
                <w:sz w:val="20"/>
                <w:szCs w:val="20"/>
              </w:rPr>
              <w:t>129</w:t>
            </w:r>
            <w:r>
              <w:rPr>
                <w:rFonts w:eastAsia="Times New Roman" w:cs="Arial"/>
                <w:sz w:val="20"/>
                <w:szCs w:val="20"/>
              </w:rPr>
              <w:t>6</w:t>
            </w:r>
          </w:p>
        </w:tc>
        <w:tc>
          <w:tcPr>
            <w:tcW w:w="1049" w:type="dxa"/>
          </w:tcPr>
          <w:p w14:paraId="1F86D1AC" w14:textId="4696E829" w:rsidR="0068455E" w:rsidRPr="00BF2B0E" w:rsidRDefault="002877C2" w:rsidP="00D02C63">
            <w:pPr>
              <w:spacing w:after="0"/>
              <w:ind w:right="34"/>
              <w:jc w:val="center"/>
              <w:rPr>
                <w:rFonts w:eastAsia="Times New Roman" w:cs="Arial"/>
                <w:sz w:val="20"/>
                <w:szCs w:val="20"/>
              </w:rPr>
            </w:pPr>
            <w:r>
              <w:rPr>
                <w:rFonts w:eastAsia="Times New Roman" w:cs="Arial"/>
                <w:sz w:val="20"/>
                <w:szCs w:val="20"/>
              </w:rPr>
              <w:t>1711</w:t>
            </w:r>
            <w:r w:rsidR="00D02C63">
              <w:rPr>
                <w:rFonts w:eastAsia="Times New Roman" w:cs="Arial"/>
                <w:sz w:val="20"/>
                <w:szCs w:val="20"/>
              </w:rPr>
              <w:t xml:space="preserve"> to </w:t>
            </w:r>
            <w:r w:rsidR="006A735D">
              <w:rPr>
                <w:rFonts w:eastAsia="Times New Roman" w:cs="Arial"/>
                <w:sz w:val="20"/>
                <w:szCs w:val="20"/>
              </w:rPr>
              <w:t>1</w:t>
            </w:r>
            <w:r>
              <w:rPr>
                <w:rFonts w:eastAsia="Times New Roman" w:cs="Arial"/>
                <w:sz w:val="20"/>
                <w:szCs w:val="20"/>
              </w:rPr>
              <w:t>986</w:t>
            </w:r>
          </w:p>
        </w:tc>
        <w:tc>
          <w:tcPr>
            <w:tcW w:w="1050" w:type="dxa"/>
            <w:shd w:val="clear" w:color="auto" w:fill="FAE2D5" w:themeFill="accent2" w:themeFillTint="33"/>
          </w:tcPr>
          <w:p w14:paraId="087D7E42" w14:textId="67033A30" w:rsidR="0068455E" w:rsidRPr="00BF2B0E" w:rsidRDefault="0068455E" w:rsidP="00E61161">
            <w:pPr>
              <w:spacing w:after="0"/>
              <w:ind w:right="34"/>
              <w:jc w:val="center"/>
              <w:rPr>
                <w:rFonts w:eastAsia="Times New Roman" w:cs="Arial"/>
                <w:sz w:val="20"/>
                <w:szCs w:val="20"/>
              </w:rPr>
            </w:pPr>
            <w:r>
              <w:rPr>
                <w:rFonts w:eastAsia="Times New Roman" w:cs="Arial"/>
                <w:sz w:val="20"/>
                <w:szCs w:val="20"/>
              </w:rPr>
              <w:t>1865 to 2213</w:t>
            </w:r>
          </w:p>
        </w:tc>
        <w:tc>
          <w:tcPr>
            <w:tcW w:w="1049" w:type="dxa"/>
            <w:shd w:val="clear" w:color="auto" w:fill="FAE2D5" w:themeFill="accent2" w:themeFillTint="33"/>
          </w:tcPr>
          <w:p w14:paraId="4D37DA29" w14:textId="363A651F" w:rsidR="005814E1" w:rsidRDefault="005814E1" w:rsidP="007522EA">
            <w:pPr>
              <w:spacing w:after="0"/>
              <w:ind w:right="34"/>
              <w:jc w:val="center"/>
              <w:rPr>
                <w:rFonts w:eastAsia="Times New Roman" w:cs="Arial"/>
                <w:sz w:val="20"/>
                <w:szCs w:val="20"/>
              </w:rPr>
            </w:pPr>
            <w:r>
              <w:rPr>
                <w:rFonts w:eastAsia="Times New Roman" w:cs="Arial"/>
                <w:sz w:val="20"/>
                <w:szCs w:val="20"/>
              </w:rPr>
              <w:t>2239</w:t>
            </w:r>
            <w:r w:rsidR="007522EA">
              <w:rPr>
                <w:rFonts w:eastAsia="Times New Roman" w:cs="Arial"/>
                <w:sz w:val="20"/>
                <w:szCs w:val="20"/>
              </w:rPr>
              <w:t xml:space="preserve"> to </w:t>
            </w:r>
            <w:r>
              <w:rPr>
                <w:rFonts w:eastAsia="Times New Roman" w:cs="Arial"/>
                <w:sz w:val="20"/>
                <w:szCs w:val="20"/>
              </w:rPr>
              <w:t>2</w:t>
            </w:r>
            <w:r w:rsidR="007522EA">
              <w:rPr>
                <w:rFonts w:eastAsia="Times New Roman" w:cs="Arial"/>
                <w:sz w:val="20"/>
                <w:szCs w:val="20"/>
              </w:rPr>
              <w:t>550</w:t>
            </w:r>
          </w:p>
        </w:tc>
        <w:tc>
          <w:tcPr>
            <w:tcW w:w="1050" w:type="dxa"/>
            <w:shd w:val="clear" w:color="auto" w:fill="FAE2D5" w:themeFill="accent2" w:themeFillTint="33"/>
          </w:tcPr>
          <w:p w14:paraId="33602608" w14:textId="5EAABE67" w:rsidR="0068455E" w:rsidRDefault="007D1C4D" w:rsidP="004A35C9">
            <w:pPr>
              <w:spacing w:after="0"/>
              <w:ind w:right="34"/>
              <w:jc w:val="center"/>
              <w:rPr>
                <w:rFonts w:eastAsia="Times New Roman" w:cs="Arial"/>
                <w:sz w:val="20"/>
                <w:szCs w:val="20"/>
              </w:rPr>
            </w:pPr>
            <w:r>
              <w:rPr>
                <w:rFonts w:eastAsia="Times New Roman" w:cs="Arial"/>
                <w:sz w:val="20"/>
                <w:szCs w:val="20"/>
              </w:rPr>
              <w:t>2270</w:t>
            </w:r>
            <w:r w:rsidR="004A35C9">
              <w:rPr>
                <w:rFonts w:eastAsia="Times New Roman" w:cs="Arial"/>
                <w:sz w:val="20"/>
                <w:szCs w:val="20"/>
              </w:rPr>
              <w:t xml:space="preserve"> to </w:t>
            </w:r>
            <w:r w:rsidRPr="007D1C4D">
              <w:rPr>
                <w:rFonts w:eastAsia="Times New Roman" w:cs="Arial"/>
                <w:sz w:val="20"/>
                <w:szCs w:val="20"/>
              </w:rPr>
              <w:t>2799</w:t>
            </w:r>
          </w:p>
        </w:tc>
      </w:tr>
      <w:tr w:rsidR="0068455E" w:rsidRPr="006A14E9" w14:paraId="4F3BD703" w14:textId="5FCA53C3" w:rsidTr="00CC1C5E">
        <w:tc>
          <w:tcPr>
            <w:tcW w:w="802" w:type="dxa"/>
            <w:vAlign w:val="center"/>
          </w:tcPr>
          <w:p w14:paraId="134BFD0E" w14:textId="77777777" w:rsidR="0068455E" w:rsidRPr="006A14E9" w:rsidRDefault="0068455E">
            <w:pPr>
              <w:spacing w:after="0"/>
              <w:ind w:right="-1346"/>
              <w:rPr>
                <w:rFonts w:eastAsia="Times New Roman" w:cs="Arial"/>
                <w:sz w:val="20"/>
                <w:szCs w:val="20"/>
              </w:rPr>
            </w:pPr>
            <w:r w:rsidRPr="006A14E9">
              <w:rPr>
                <w:rFonts w:eastAsia="Times New Roman" w:cs="Arial"/>
                <w:sz w:val="20"/>
                <w:szCs w:val="20"/>
              </w:rPr>
              <w:t>31-50 yr</w:t>
            </w:r>
          </w:p>
        </w:tc>
        <w:tc>
          <w:tcPr>
            <w:tcW w:w="1018" w:type="dxa"/>
            <w:vMerge/>
            <w:shd w:val="clear" w:color="auto" w:fill="F2CEED" w:themeFill="accent5" w:themeFillTint="33"/>
            <w:vAlign w:val="center"/>
          </w:tcPr>
          <w:p w14:paraId="6537B436" w14:textId="77777777" w:rsidR="0068455E" w:rsidRPr="0084316C" w:rsidRDefault="0068455E" w:rsidP="008C4B59">
            <w:pPr>
              <w:spacing w:after="0"/>
              <w:ind w:right="38"/>
              <w:rPr>
                <w:rFonts w:eastAsia="Times New Roman" w:cs="Arial"/>
                <w:sz w:val="20"/>
                <w:szCs w:val="20"/>
              </w:rPr>
            </w:pPr>
          </w:p>
        </w:tc>
        <w:tc>
          <w:tcPr>
            <w:tcW w:w="1010" w:type="dxa"/>
            <w:vMerge/>
            <w:shd w:val="clear" w:color="auto" w:fill="FAE2D5" w:themeFill="accent2" w:themeFillTint="33"/>
            <w:vAlign w:val="center"/>
          </w:tcPr>
          <w:p w14:paraId="25096950" w14:textId="77777777" w:rsidR="0068455E" w:rsidRPr="0084316C" w:rsidRDefault="0068455E" w:rsidP="00E61161">
            <w:pPr>
              <w:spacing w:after="0"/>
              <w:ind w:right="-115"/>
              <w:jc w:val="center"/>
              <w:rPr>
                <w:rFonts w:eastAsia="Times New Roman" w:cs="Arial"/>
                <w:sz w:val="20"/>
                <w:szCs w:val="20"/>
              </w:rPr>
            </w:pPr>
          </w:p>
        </w:tc>
        <w:tc>
          <w:tcPr>
            <w:tcW w:w="1058" w:type="dxa"/>
            <w:vMerge/>
            <w:shd w:val="clear" w:color="auto" w:fill="FAE2D5" w:themeFill="accent2" w:themeFillTint="33"/>
            <w:vAlign w:val="center"/>
          </w:tcPr>
          <w:p w14:paraId="7519F8E7" w14:textId="77777777" w:rsidR="0068455E" w:rsidRPr="0084316C" w:rsidRDefault="0068455E" w:rsidP="00E61161">
            <w:pPr>
              <w:spacing w:after="0"/>
              <w:ind w:right="-115"/>
              <w:jc w:val="center"/>
              <w:rPr>
                <w:rFonts w:eastAsia="Times New Roman" w:cs="Arial"/>
                <w:sz w:val="20"/>
                <w:szCs w:val="20"/>
              </w:rPr>
            </w:pPr>
          </w:p>
        </w:tc>
        <w:tc>
          <w:tcPr>
            <w:tcW w:w="699" w:type="dxa"/>
            <w:vAlign w:val="center"/>
          </w:tcPr>
          <w:p w14:paraId="006EA3C4" w14:textId="605E8FA0" w:rsidR="0068455E" w:rsidRPr="0084316C" w:rsidRDefault="0068455E" w:rsidP="00E61161">
            <w:pPr>
              <w:spacing w:after="0"/>
              <w:ind w:right="-115"/>
              <w:jc w:val="center"/>
              <w:rPr>
                <w:rFonts w:eastAsia="Times New Roman" w:cs="Arial"/>
                <w:sz w:val="20"/>
                <w:szCs w:val="20"/>
              </w:rPr>
            </w:pPr>
            <w:r w:rsidRPr="0084316C">
              <w:rPr>
                <w:rFonts w:eastAsia="Times New Roman" w:cs="Arial"/>
                <w:sz w:val="20"/>
                <w:szCs w:val="20"/>
              </w:rPr>
              <w:t>1395</w:t>
            </w:r>
          </w:p>
        </w:tc>
        <w:tc>
          <w:tcPr>
            <w:tcW w:w="699" w:type="dxa"/>
            <w:vAlign w:val="center"/>
          </w:tcPr>
          <w:p w14:paraId="2F8D54C5" w14:textId="7505FFF2" w:rsidR="0068455E" w:rsidRPr="0084316C" w:rsidRDefault="0068455E" w:rsidP="00EF2239">
            <w:pPr>
              <w:spacing w:after="0"/>
              <w:ind w:right="-115"/>
              <w:rPr>
                <w:rFonts w:eastAsia="Times New Roman" w:cs="Arial"/>
                <w:sz w:val="20"/>
                <w:szCs w:val="20"/>
              </w:rPr>
            </w:pPr>
            <w:r w:rsidRPr="0084316C">
              <w:rPr>
                <w:rFonts w:eastAsia="Times New Roman" w:cs="Arial"/>
                <w:sz w:val="20"/>
                <w:szCs w:val="20"/>
              </w:rPr>
              <w:t>145</w:t>
            </w:r>
            <w:r>
              <w:rPr>
                <w:rFonts w:eastAsia="Times New Roman" w:cs="Arial"/>
                <w:sz w:val="20"/>
                <w:szCs w:val="20"/>
              </w:rPr>
              <w:t>2</w:t>
            </w:r>
          </w:p>
        </w:tc>
        <w:tc>
          <w:tcPr>
            <w:tcW w:w="699" w:type="dxa"/>
            <w:vAlign w:val="center"/>
          </w:tcPr>
          <w:p w14:paraId="5BF9D6BE" w14:textId="0734C872" w:rsidR="0068455E" w:rsidRPr="0084316C" w:rsidRDefault="0068455E" w:rsidP="00E61161">
            <w:pPr>
              <w:spacing w:after="0"/>
              <w:ind w:right="36"/>
              <w:jc w:val="center"/>
              <w:rPr>
                <w:rFonts w:eastAsia="Times New Roman" w:cs="Arial"/>
                <w:sz w:val="20"/>
                <w:szCs w:val="20"/>
              </w:rPr>
            </w:pPr>
            <w:r w:rsidRPr="0084316C">
              <w:rPr>
                <w:rFonts w:eastAsia="Times New Roman" w:cs="Arial"/>
                <w:sz w:val="20"/>
                <w:szCs w:val="20"/>
              </w:rPr>
              <w:t>91</w:t>
            </w:r>
            <w:r>
              <w:rPr>
                <w:rFonts w:eastAsia="Times New Roman" w:cs="Arial"/>
                <w:sz w:val="20"/>
                <w:szCs w:val="20"/>
              </w:rPr>
              <w:t>9</w:t>
            </w:r>
          </w:p>
        </w:tc>
        <w:tc>
          <w:tcPr>
            <w:tcW w:w="699" w:type="dxa"/>
            <w:vAlign w:val="center"/>
          </w:tcPr>
          <w:p w14:paraId="1AB01FD0" w14:textId="6E302559" w:rsidR="0068455E" w:rsidRPr="0084316C" w:rsidRDefault="0068455E" w:rsidP="00E61161">
            <w:pPr>
              <w:spacing w:after="0"/>
              <w:ind w:right="-115"/>
              <w:jc w:val="center"/>
              <w:rPr>
                <w:rFonts w:eastAsia="Times New Roman" w:cs="Arial"/>
                <w:sz w:val="20"/>
                <w:szCs w:val="20"/>
              </w:rPr>
            </w:pPr>
            <w:r w:rsidRPr="0084316C">
              <w:rPr>
                <w:rFonts w:eastAsia="Times New Roman" w:cs="Arial"/>
                <w:sz w:val="20"/>
                <w:szCs w:val="20"/>
              </w:rPr>
              <w:t>104</w:t>
            </w:r>
            <w:r>
              <w:rPr>
                <w:rFonts w:eastAsia="Times New Roman" w:cs="Arial"/>
                <w:sz w:val="20"/>
                <w:szCs w:val="20"/>
              </w:rPr>
              <w:t>4</w:t>
            </w:r>
          </w:p>
        </w:tc>
        <w:tc>
          <w:tcPr>
            <w:tcW w:w="699" w:type="dxa"/>
            <w:vAlign w:val="center"/>
          </w:tcPr>
          <w:p w14:paraId="71C13631" w14:textId="08D58FFE" w:rsidR="0068455E" w:rsidRPr="006A14E9" w:rsidRDefault="0068455E" w:rsidP="00E61161">
            <w:pPr>
              <w:spacing w:after="0"/>
              <w:ind w:right="27"/>
              <w:jc w:val="center"/>
              <w:rPr>
                <w:rFonts w:eastAsia="Times New Roman" w:cs="Arial"/>
                <w:sz w:val="20"/>
                <w:szCs w:val="20"/>
              </w:rPr>
            </w:pPr>
            <w:r w:rsidRPr="00BF2B0E">
              <w:rPr>
                <w:rFonts w:eastAsia="Times New Roman" w:cs="Arial"/>
                <w:sz w:val="20"/>
                <w:szCs w:val="20"/>
              </w:rPr>
              <w:t>11</w:t>
            </w:r>
            <w:r>
              <w:rPr>
                <w:rFonts w:eastAsia="Times New Roman" w:cs="Arial"/>
                <w:sz w:val="20"/>
                <w:szCs w:val="20"/>
              </w:rPr>
              <w:t>40</w:t>
            </w:r>
          </w:p>
        </w:tc>
        <w:tc>
          <w:tcPr>
            <w:tcW w:w="699" w:type="dxa"/>
            <w:vAlign w:val="center"/>
          </w:tcPr>
          <w:p w14:paraId="1C48E885" w14:textId="26F54F3D" w:rsidR="0068455E" w:rsidRPr="006A14E9" w:rsidRDefault="0068455E" w:rsidP="00E61161">
            <w:pPr>
              <w:spacing w:after="0"/>
              <w:ind w:right="27"/>
              <w:jc w:val="center"/>
              <w:rPr>
                <w:rFonts w:eastAsia="Times New Roman" w:cs="Arial"/>
                <w:sz w:val="20"/>
                <w:szCs w:val="20"/>
              </w:rPr>
            </w:pPr>
            <w:r w:rsidRPr="00BF2B0E">
              <w:rPr>
                <w:rFonts w:eastAsia="Times New Roman" w:cs="Arial"/>
                <w:sz w:val="20"/>
                <w:szCs w:val="20"/>
              </w:rPr>
              <w:t>138</w:t>
            </w:r>
            <w:r>
              <w:rPr>
                <w:rFonts w:eastAsia="Times New Roman" w:cs="Arial"/>
                <w:sz w:val="20"/>
                <w:szCs w:val="20"/>
              </w:rPr>
              <w:t>1</w:t>
            </w:r>
          </w:p>
        </w:tc>
        <w:tc>
          <w:tcPr>
            <w:tcW w:w="699" w:type="dxa"/>
            <w:vAlign w:val="center"/>
          </w:tcPr>
          <w:p w14:paraId="340CED64" w14:textId="2D461930" w:rsidR="0068455E" w:rsidRPr="006A14E9" w:rsidRDefault="0068455E" w:rsidP="00E61161">
            <w:pPr>
              <w:spacing w:after="0"/>
              <w:ind w:right="-115"/>
              <w:jc w:val="center"/>
              <w:rPr>
                <w:rFonts w:eastAsia="Times New Roman" w:cs="Arial"/>
                <w:sz w:val="20"/>
                <w:szCs w:val="20"/>
              </w:rPr>
            </w:pPr>
            <w:r w:rsidRPr="00BF2B0E">
              <w:rPr>
                <w:rFonts w:eastAsia="Times New Roman" w:cs="Arial"/>
                <w:sz w:val="20"/>
                <w:szCs w:val="20"/>
              </w:rPr>
              <w:t>145</w:t>
            </w:r>
            <w:r>
              <w:rPr>
                <w:rFonts w:eastAsia="Times New Roman" w:cs="Arial"/>
                <w:sz w:val="20"/>
                <w:szCs w:val="20"/>
              </w:rPr>
              <w:t>2</w:t>
            </w:r>
          </w:p>
        </w:tc>
        <w:tc>
          <w:tcPr>
            <w:tcW w:w="700" w:type="dxa"/>
            <w:vAlign w:val="center"/>
          </w:tcPr>
          <w:p w14:paraId="6EFBDC35" w14:textId="354EB161" w:rsidR="0068455E" w:rsidRPr="006A14E9" w:rsidRDefault="0068455E" w:rsidP="00E61161">
            <w:pPr>
              <w:spacing w:after="0"/>
              <w:ind w:right="34"/>
              <w:jc w:val="center"/>
              <w:rPr>
                <w:rFonts w:eastAsia="Times New Roman" w:cs="Arial"/>
                <w:sz w:val="20"/>
                <w:szCs w:val="20"/>
              </w:rPr>
            </w:pPr>
            <w:r w:rsidRPr="00BF2B0E">
              <w:rPr>
                <w:rFonts w:eastAsia="Times New Roman" w:cs="Arial"/>
                <w:sz w:val="20"/>
                <w:szCs w:val="20"/>
              </w:rPr>
              <w:t>131</w:t>
            </w:r>
            <w:r>
              <w:rPr>
                <w:rFonts w:eastAsia="Times New Roman" w:cs="Arial"/>
                <w:sz w:val="20"/>
                <w:szCs w:val="20"/>
              </w:rPr>
              <w:t>8</w:t>
            </w:r>
          </w:p>
        </w:tc>
        <w:tc>
          <w:tcPr>
            <w:tcW w:w="1049" w:type="dxa"/>
          </w:tcPr>
          <w:p w14:paraId="1D5846B8" w14:textId="7C4AE6BC" w:rsidR="0068455E" w:rsidRPr="00BF2B0E" w:rsidRDefault="001463CA" w:rsidP="007D7763">
            <w:pPr>
              <w:spacing w:after="0"/>
              <w:ind w:right="34"/>
              <w:jc w:val="center"/>
              <w:rPr>
                <w:rFonts w:eastAsia="Times New Roman" w:cs="Arial"/>
                <w:sz w:val="20"/>
                <w:szCs w:val="20"/>
              </w:rPr>
            </w:pPr>
            <w:r>
              <w:rPr>
                <w:rFonts w:eastAsia="Times New Roman" w:cs="Arial"/>
                <w:sz w:val="20"/>
                <w:szCs w:val="20"/>
              </w:rPr>
              <w:t>1580</w:t>
            </w:r>
            <w:r w:rsidR="007D7763">
              <w:rPr>
                <w:rFonts w:eastAsia="Times New Roman" w:cs="Arial"/>
                <w:sz w:val="20"/>
                <w:szCs w:val="20"/>
              </w:rPr>
              <w:t xml:space="preserve"> to </w:t>
            </w:r>
            <w:r>
              <w:rPr>
                <w:rFonts w:eastAsia="Times New Roman" w:cs="Arial"/>
                <w:sz w:val="20"/>
                <w:szCs w:val="20"/>
              </w:rPr>
              <w:t>1836</w:t>
            </w:r>
          </w:p>
        </w:tc>
        <w:tc>
          <w:tcPr>
            <w:tcW w:w="1050" w:type="dxa"/>
            <w:shd w:val="clear" w:color="auto" w:fill="FAE2D5" w:themeFill="accent2" w:themeFillTint="33"/>
          </w:tcPr>
          <w:p w14:paraId="25B662AA" w14:textId="68A28B12" w:rsidR="0068455E" w:rsidRPr="00BF2B0E" w:rsidRDefault="00041213" w:rsidP="00C72BC1">
            <w:pPr>
              <w:spacing w:after="0"/>
              <w:ind w:right="34"/>
              <w:jc w:val="center"/>
              <w:rPr>
                <w:rFonts w:eastAsia="Times New Roman" w:cs="Arial"/>
                <w:sz w:val="20"/>
                <w:szCs w:val="20"/>
              </w:rPr>
            </w:pPr>
            <w:r w:rsidRPr="00041213">
              <w:rPr>
                <w:rFonts w:eastAsia="Times New Roman" w:cs="Arial"/>
                <w:sz w:val="20"/>
                <w:szCs w:val="20"/>
              </w:rPr>
              <w:t>1854</w:t>
            </w:r>
            <w:r w:rsidR="00C72BC1">
              <w:rPr>
                <w:rFonts w:eastAsia="Times New Roman" w:cs="Arial"/>
                <w:sz w:val="20"/>
                <w:szCs w:val="20"/>
              </w:rPr>
              <w:t xml:space="preserve"> to </w:t>
            </w:r>
            <w:r w:rsidRPr="00041213">
              <w:rPr>
                <w:rFonts w:eastAsia="Times New Roman" w:cs="Arial"/>
                <w:sz w:val="20"/>
                <w:szCs w:val="20"/>
              </w:rPr>
              <w:t>2180</w:t>
            </w:r>
          </w:p>
        </w:tc>
        <w:tc>
          <w:tcPr>
            <w:tcW w:w="1049" w:type="dxa"/>
            <w:shd w:val="clear" w:color="auto" w:fill="FAE2D5" w:themeFill="accent2" w:themeFillTint="33"/>
          </w:tcPr>
          <w:p w14:paraId="247E4DE9" w14:textId="24E6FE0D" w:rsidR="007D7763" w:rsidRPr="00BF2B0E" w:rsidRDefault="007D238C" w:rsidP="007D238C">
            <w:pPr>
              <w:spacing w:after="0"/>
              <w:ind w:right="34"/>
              <w:jc w:val="center"/>
              <w:rPr>
                <w:rFonts w:eastAsia="Times New Roman" w:cs="Arial"/>
                <w:sz w:val="20"/>
                <w:szCs w:val="20"/>
              </w:rPr>
            </w:pPr>
            <w:r>
              <w:rPr>
                <w:rFonts w:eastAsia="Times New Roman" w:cs="Arial"/>
                <w:sz w:val="20"/>
                <w:szCs w:val="20"/>
              </w:rPr>
              <w:t xml:space="preserve">1928 to </w:t>
            </w:r>
            <w:r w:rsidR="007D7763">
              <w:rPr>
                <w:rFonts w:eastAsia="Times New Roman" w:cs="Arial"/>
                <w:sz w:val="20"/>
                <w:szCs w:val="20"/>
              </w:rPr>
              <w:t>21</w:t>
            </w:r>
            <w:r>
              <w:rPr>
                <w:rFonts w:eastAsia="Times New Roman" w:cs="Arial"/>
                <w:sz w:val="20"/>
                <w:szCs w:val="20"/>
              </w:rPr>
              <w:t>50</w:t>
            </w:r>
          </w:p>
        </w:tc>
        <w:tc>
          <w:tcPr>
            <w:tcW w:w="1050" w:type="dxa"/>
            <w:shd w:val="clear" w:color="auto" w:fill="FAE2D5" w:themeFill="accent2" w:themeFillTint="33"/>
          </w:tcPr>
          <w:p w14:paraId="6FFC3DDF" w14:textId="51618EE5" w:rsidR="0068455E" w:rsidRPr="00BF2B0E" w:rsidRDefault="00C72BC1" w:rsidP="00F571BB">
            <w:pPr>
              <w:spacing w:after="0"/>
              <w:ind w:right="34"/>
              <w:jc w:val="center"/>
              <w:rPr>
                <w:rFonts w:eastAsia="Times New Roman" w:cs="Arial"/>
                <w:sz w:val="20"/>
                <w:szCs w:val="20"/>
              </w:rPr>
            </w:pPr>
            <w:r w:rsidRPr="00C72BC1">
              <w:rPr>
                <w:rFonts w:eastAsia="Times New Roman" w:cs="Arial"/>
                <w:sz w:val="20"/>
                <w:szCs w:val="20"/>
              </w:rPr>
              <w:t>2258</w:t>
            </w:r>
            <w:r w:rsidR="00F571BB">
              <w:rPr>
                <w:rFonts w:eastAsia="Times New Roman" w:cs="Arial"/>
                <w:sz w:val="20"/>
                <w:szCs w:val="20"/>
              </w:rPr>
              <w:t xml:space="preserve"> to </w:t>
            </w:r>
            <w:r w:rsidRPr="00C72BC1">
              <w:rPr>
                <w:rFonts w:eastAsia="Times New Roman" w:cs="Arial"/>
                <w:sz w:val="20"/>
                <w:szCs w:val="20"/>
              </w:rPr>
              <w:t>26</w:t>
            </w:r>
            <w:r>
              <w:rPr>
                <w:rFonts w:eastAsia="Times New Roman" w:cs="Arial"/>
                <w:sz w:val="20"/>
                <w:szCs w:val="20"/>
              </w:rPr>
              <w:t>5</w:t>
            </w:r>
            <w:r w:rsidRPr="00C72BC1">
              <w:rPr>
                <w:rFonts w:eastAsia="Times New Roman" w:cs="Arial"/>
                <w:sz w:val="20"/>
                <w:szCs w:val="20"/>
              </w:rPr>
              <w:t>6</w:t>
            </w:r>
          </w:p>
        </w:tc>
      </w:tr>
      <w:tr w:rsidR="0068455E" w:rsidRPr="006A14E9" w14:paraId="321A1944" w14:textId="7E4B9717" w:rsidTr="00CC1C5E">
        <w:tc>
          <w:tcPr>
            <w:tcW w:w="802" w:type="dxa"/>
            <w:vAlign w:val="center"/>
          </w:tcPr>
          <w:p w14:paraId="45B46E5F" w14:textId="77777777" w:rsidR="0068455E" w:rsidRPr="006A14E9" w:rsidRDefault="0068455E">
            <w:pPr>
              <w:spacing w:after="0"/>
              <w:ind w:right="-1346"/>
              <w:rPr>
                <w:rFonts w:eastAsia="Times New Roman" w:cs="Arial"/>
                <w:sz w:val="20"/>
                <w:szCs w:val="20"/>
              </w:rPr>
            </w:pPr>
            <w:r w:rsidRPr="006A14E9">
              <w:rPr>
                <w:rFonts w:eastAsia="Times New Roman" w:cs="Arial"/>
                <w:sz w:val="20"/>
                <w:szCs w:val="20"/>
              </w:rPr>
              <w:t>51-70 yr</w:t>
            </w:r>
          </w:p>
        </w:tc>
        <w:tc>
          <w:tcPr>
            <w:tcW w:w="1018" w:type="dxa"/>
            <w:vMerge/>
            <w:shd w:val="clear" w:color="auto" w:fill="F2CEED" w:themeFill="accent5" w:themeFillTint="33"/>
            <w:vAlign w:val="center"/>
          </w:tcPr>
          <w:p w14:paraId="35FB1C03" w14:textId="77777777" w:rsidR="0068455E" w:rsidRPr="006A14E9" w:rsidRDefault="0068455E" w:rsidP="008C4B59">
            <w:pPr>
              <w:spacing w:after="0"/>
              <w:ind w:right="38"/>
              <w:rPr>
                <w:rFonts w:eastAsia="Times New Roman" w:cs="Arial"/>
                <w:sz w:val="20"/>
                <w:szCs w:val="20"/>
              </w:rPr>
            </w:pPr>
          </w:p>
        </w:tc>
        <w:tc>
          <w:tcPr>
            <w:tcW w:w="1010" w:type="dxa"/>
            <w:vMerge w:val="restart"/>
            <w:vAlign w:val="center"/>
          </w:tcPr>
          <w:p w14:paraId="7D6E6F56" w14:textId="3F756173" w:rsidR="0068455E" w:rsidRPr="006A14E9" w:rsidRDefault="0068455E" w:rsidP="00E61161">
            <w:pPr>
              <w:spacing w:after="0"/>
              <w:ind w:right="-115"/>
              <w:jc w:val="center"/>
              <w:rPr>
                <w:rFonts w:eastAsia="Times New Roman" w:cs="Arial"/>
                <w:sz w:val="20"/>
                <w:szCs w:val="20"/>
              </w:rPr>
            </w:pPr>
            <w:r>
              <w:rPr>
                <w:rFonts w:eastAsia="Times New Roman" w:cs="Arial"/>
                <w:sz w:val="20"/>
                <w:szCs w:val="20"/>
              </w:rPr>
              <w:t>1,223 to 1,798</w:t>
            </w:r>
          </w:p>
        </w:tc>
        <w:tc>
          <w:tcPr>
            <w:tcW w:w="1058" w:type="dxa"/>
            <w:vMerge w:val="restart"/>
            <w:shd w:val="clear" w:color="auto" w:fill="FAE2D5" w:themeFill="accent2" w:themeFillTint="33"/>
            <w:vAlign w:val="center"/>
          </w:tcPr>
          <w:p w14:paraId="10B224B1" w14:textId="068AA826" w:rsidR="0068455E" w:rsidRPr="006A14E9" w:rsidRDefault="0068455E" w:rsidP="00E61161">
            <w:pPr>
              <w:spacing w:after="0"/>
              <w:ind w:right="-115"/>
              <w:jc w:val="center"/>
              <w:rPr>
                <w:rFonts w:eastAsia="Times New Roman" w:cs="Arial"/>
                <w:sz w:val="20"/>
                <w:szCs w:val="20"/>
              </w:rPr>
            </w:pPr>
            <w:r>
              <w:rPr>
                <w:rFonts w:eastAsia="Times New Roman" w:cs="Arial"/>
                <w:sz w:val="20"/>
                <w:szCs w:val="20"/>
              </w:rPr>
              <w:t>1,222 to 2,181</w:t>
            </w:r>
          </w:p>
        </w:tc>
        <w:tc>
          <w:tcPr>
            <w:tcW w:w="699" w:type="dxa"/>
            <w:vAlign w:val="center"/>
          </w:tcPr>
          <w:p w14:paraId="1D3643E3" w14:textId="29DE7265" w:rsidR="0068455E" w:rsidRPr="006A14E9" w:rsidRDefault="0068455E" w:rsidP="00E61161">
            <w:pPr>
              <w:spacing w:after="0"/>
              <w:ind w:right="-115"/>
              <w:jc w:val="center"/>
              <w:rPr>
                <w:rFonts w:eastAsia="Times New Roman" w:cs="Arial"/>
                <w:sz w:val="20"/>
                <w:szCs w:val="20"/>
              </w:rPr>
            </w:pPr>
            <w:r w:rsidRPr="000C356C">
              <w:rPr>
                <w:rFonts w:eastAsia="Times New Roman" w:cs="Arial"/>
                <w:sz w:val="20"/>
                <w:szCs w:val="20"/>
              </w:rPr>
              <w:t>1330</w:t>
            </w:r>
          </w:p>
        </w:tc>
        <w:tc>
          <w:tcPr>
            <w:tcW w:w="699" w:type="dxa"/>
            <w:vAlign w:val="center"/>
          </w:tcPr>
          <w:p w14:paraId="45D72E09" w14:textId="2F542D34" w:rsidR="0068455E" w:rsidRPr="006A14E9" w:rsidRDefault="0068455E" w:rsidP="00EF2239">
            <w:pPr>
              <w:spacing w:after="0"/>
              <w:ind w:right="-115"/>
              <w:rPr>
                <w:rFonts w:eastAsia="Times New Roman" w:cs="Arial"/>
                <w:sz w:val="20"/>
                <w:szCs w:val="20"/>
              </w:rPr>
            </w:pPr>
            <w:r w:rsidRPr="00BF2B0E">
              <w:rPr>
                <w:rFonts w:eastAsia="Times New Roman" w:cs="Arial"/>
                <w:sz w:val="20"/>
                <w:szCs w:val="20"/>
              </w:rPr>
              <w:t>150</w:t>
            </w:r>
            <w:r>
              <w:rPr>
                <w:rFonts w:eastAsia="Times New Roman" w:cs="Arial"/>
                <w:sz w:val="20"/>
                <w:szCs w:val="20"/>
              </w:rPr>
              <w:t>2</w:t>
            </w:r>
          </w:p>
        </w:tc>
        <w:tc>
          <w:tcPr>
            <w:tcW w:w="699" w:type="dxa"/>
            <w:vAlign w:val="center"/>
          </w:tcPr>
          <w:p w14:paraId="6B0DEF8D" w14:textId="7D8B3216" w:rsidR="0068455E" w:rsidRPr="006A14E9" w:rsidRDefault="0068455E" w:rsidP="00E61161">
            <w:pPr>
              <w:spacing w:after="0"/>
              <w:ind w:right="36"/>
              <w:jc w:val="center"/>
              <w:rPr>
                <w:rFonts w:eastAsia="Times New Roman" w:cs="Arial"/>
                <w:sz w:val="20"/>
                <w:szCs w:val="20"/>
              </w:rPr>
            </w:pPr>
            <w:r w:rsidRPr="00BF2B0E">
              <w:rPr>
                <w:rFonts w:eastAsia="Times New Roman" w:cs="Arial"/>
                <w:sz w:val="20"/>
                <w:szCs w:val="20"/>
              </w:rPr>
              <w:t>10</w:t>
            </w:r>
            <w:r>
              <w:rPr>
                <w:rFonts w:eastAsia="Times New Roman" w:cs="Arial"/>
                <w:sz w:val="20"/>
                <w:szCs w:val="20"/>
              </w:rPr>
              <w:t>30</w:t>
            </w:r>
          </w:p>
        </w:tc>
        <w:tc>
          <w:tcPr>
            <w:tcW w:w="699" w:type="dxa"/>
            <w:vAlign w:val="center"/>
          </w:tcPr>
          <w:p w14:paraId="10ABDDBA" w14:textId="5A3FF15B" w:rsidR="0068455E" w:rsidRPr="006A14E9" w:rsidRDefault="0068455E" w:rsidP="00E61161">
            <w:pPr>
              <w:spacing w:after="0"/>
              <w:ind w:right="-115"/>
              <w:jc w:val="center"/>
              <w:rPr>
                <w:rFonts w:eastAsia="Times New Roman" w:cs="Arial"/>
                <w:sz w:val="20"/>
                <w:szCs w:val="20"/>
              </w:rPr>
            </w:pPr>
            <w:r w:rsidRPr="00BF2B0E">
              <w:rPr>
                <w:rFonts w:eastAsia="Times New Roman" w:cs="Arial"/>
                <w:sz w:val="20"/>
                <w:szCs w:val="20"/>
              </w:rPr>
              <w:t>105</w:t>
            </w:r>
            <w:r>
              <w:rPr>
                <w:rFonts w:eastAsia="Times New Roman" w:cs="Arial"/>
                <w:sz w:val="20"/>
                <w:szCs w:val="20"/>
              </w:rPr>
              <w:t>3</w:t>
            </w:r>
          </w:p>
        </w:tc>
        <w:tc>
          <w:tcPr>
            <w:tcW w:w="699" w:type="dxa"/>
            <w:vAlign w:val="center"/>
          </w:tcPr>
          <w:p w14:paraId="2C65D275" w14:textId="111519DE" w:rsidR="0068455E" w:rsidRPr="006A14E9" w:rsidRDefault="0068455E" w:rsidP="00E61161">
            <w:pPr>
              <w:spacing w:after="0"/>
              <w:ind w:right="27"/>
              <w:jc w:val="center"/>
              <w:rPr>
                <w:rFonts w:eastAsia="Times New Roman" w:cs="Arial"/>
                <w:sz w:val="20"/>
                <w:szCs w:val="20"/>
              </w:rPr>
            </w:pPr>
            <w:r w:rsidRPr="00BF2B0E">
              <w:rPr>
                <w:rFonts w:eastAsia="Times New Roman" w:cs="Arial"/>
                <w:sz w:val="20"/>
                <w:szCs w:val="20"/>
              </w:rPr>
              <w:t>1074</w:t>
            </w:r>
          </w:p>
        </w:tc>
        <w:tc>
          <w:tcPr>
            <w:tcW w:w="699" w:type="dxa"/>
            <w:vAlign w:val="center"/>
          </w:tcPr>
          <w:p w14:paraId="59479A95" w14:textId="57E8342A" w:rsidR="0068455E" w:rsidRPr="006A14E9" w:rsidRDefault="0068455E" w:rsidP="00E61161">
            <w:pPr>
              <w:spacing w:after="0"/>
              <w:ind w:right="27"/>
              <w:jc w:val="center"/>
              <w:rPr>
                <w:rFonts w:eastAsia="Times New Roman" w:cs="Arial"/>
                <w:sz w:val="20"/>
                <w:szCs w:val="20"/>
              </w:rPr>
            </w:pPr>
            <w:r w:rsidRPr="00BF2B0E">
              <w:rPr>
                <w:rFonts w:eastAsia="Times New Roman" w:cs="Arial"/>
                <w:sz w:val="20"/>
                <w:szCs w:val="20"/>
              </w:rPr>
              <w:t>129</w:t>
            </w:r>
            <w:r>
              <w:rPr>
                <w:rFonts w:eastAsia="Times New Roman" w:cs="Arial"/>
                <w:sz w:val="20"/>
                <w:szCs w:val="20"/>
              </w:rPr>
              <w:t>8</w:t>
            </w:r>
          </w:p>
        </w:tc>
        <w:tc>
          <w:tcPr>
            <w:tcW w:w="699" w:type="dxa"/>
            <w:vAlign w:val="center"/>
          </w:tcPr>
          <w:p w14:paraId="2B023C4B" w14:textId="4BFD0FC0" w:rsidR="0068455E" w:rsidRPr="006A14E9" w:rsidRDefault="0068455E" w:rsidP="00E61161">
            <w:pPr>
              <w:spacing w:after="0"/>
              <w:ind w:right="-115"/>
              <w:jc w:val="center"/>
              <w:rPr>
                <w:rFonts w:eastAsia="Times New Roman" w:cs="Arial"/>
                <w:sz w:val="20"/>
                <w:szCs w:val="20"/>
              </w:rPr>
            </w:pPr>
            <w:r w:rsidRPr="00BF2B0E">
              <w:rPr>
                <w:rFonts w:eastAsia="Times New Roman" w:cs="Arial"/>
                <w:sz w:val="20"/>
                <w:szCs w:val="20"/>
              </w:rPr>
              <w:t>150</w:t>
            </w:r>
            <w:r>
              <w:rPr>
                <w:rFonts w:eastAsia="Times New Roman" w:cs="Arial"/>
                <w:sz w:val="20"/>
                <w:szCs w:val="20"/>
              </w:rPr>
              <w:t>2</w:t>
            </w:r>
          </w:p>
        </w:tc>
        <w:tc>
          <w:tcPr>
            <w:tcW w:w="700" w:type="dxa"/>
            <w:vAlign w:val="center"/>
          </w:tcPr>
          <w:p w14:paraId="0FCFCDE2" w14:textId="56A551FB" w:rsidR="0068455E" w:rsidRPr="006A14E9" w:rsidRDefault="0068455E" w:rsidP="00E61161">
            <w:pPr>
              <w:spacing w:after="0"/>
              <w:ind w:right="34"/>
              <w:jc w:val="center"/>
              <w:rPr>
                <w:rFonts w:eastAsia="Times New Roman" w:cs="Arial"/>
                <w:sz w:val="20"/>
                <w:szCs w:val="20"/>
              </w:rPr>
            </w:pPr>
            <w:r w:rsidRPr="00BF2B0E">
              <w:rPr>
                <w:rFonts w:eastAsia="Times New Roman" w:cs="Arial"/>
                <w:sz w:val="20"/>
                <w:szCs w:val="20"/>
              </w:rPr>
              <w:t>134</w:t>
            </w:r>
            <w:r>
              <w:rPr>
                <w:rFonts w:eastAsia="Times New Roman" w:cs="Arial"/>
                <w:sz w:val="20"/>
                <w:szCs w:val="20"/>
              </w:rPr>
              <w:t>2</w:t>
            </w:r>
          </w:p>
        </w:tc>
        <w:tc>
          <w:tcPr>
            <w:tcW w:w="1049" w:type="dxa"/>
          </w:tcPr>
          <w:p w14:paraId="175F3B70" w14:textId="68FBFC1A" w:rsidR="0068455E" w:rsidRPr="00BF2B0E" w:rsidRDefault="007D238C" w:rsidP="00C35547">
            <w:pPr>
              <w:spacing w:after="0"/>
              <w:ind w:right="34"/>
              <w:jc w:val="center"/>
              <w:rPr>
                <w:rFonts w:eastAsia="Times New Roman" w:cs="Arial"/>
                <w:sz w:val="20"/>
                <w:szCs w:val="20"/>
              </w:rPr>
            </w:pPr>
            <w:r>
              <w:rPr>
                <w:rFonts w:eastAsia="Times New Roman" w:cs="Arial"/>
                <w:sz w:val="20"/>
                <w:szCs w:val="20"/>
              </w:rPr>
              <w:t>1</w:t>
            </w:r>
            <w:r w:rsidR="00C35547">
              <w:rPr>
                <w:rFonts w:eastAsia="Times New Roman" w:cs="Arial"/>
                <w:sz w:val="20"/>
                <w:szCs w:val="20"/>
              </w:rPr>
              <w:t>482 to 1817</w:t>
            </w:r>
          </w:p>
        </w:tc>
        <w:tc>
          <w:tcPr>
            <w:tcW w:w="1050" w:type="dxa"/>
            <w:shd w:val="clear" w:color="auto" w:fill="FAE2D5" w:themeFill="accent2" w:themeFillTint="33"/>
          </w:tcPr>
          <w:p w14:paraId="756A62AF" w14:textId="3FC24315" w:rsidR="006F75F8" w:rsidRPr="00BF2B0E" w:rsidRDefault="00F571BB" w:rsidP="006F75F8">
            <w:pPr>
              <w:spacing w:after="0"/>
              <w:ind w:right="34"/>
              <w:jc w:val="center"/>
              <w:rPr>
                <w:rFonts w:eastAsia="Times New Roman" w:cs="Arial"/>
                <w:sz w:val="20"/>
                <w:szCs w:val="20"/>
              </w:rPr>
            </w:pPr>
            <w:r>
              <w:rPr>
                <w:rFonts w:eastAsia="Times New Roman" w:cs="Arial"/>
                <w:sz w:val="20"/>
                <w:szCs w:val="20"/>
              </w:rPr>
              <w:t>1769</w:t>
            </w:r>
            <w:r w:rsidR="006F75F8">
              <w:rPr>
                <w:rFonts w:eastAsia="Times New Roman" w:cs="Arial"/>
                <w:sz w:val="20"/>
                <w:szCs w:val="20"/>
              </w:rPr>
              <w:t xml:space="preserve"> to 2066</w:t>
            </w:r>
          </w:p>
        </w:tc>
        <w:tc>
          <w:tcPr>
            <w:tcW w:w="1049" w:type="dxa"/>
            <w:shd w:val="clear" w:color="auto" w:fill="FAE2D5" w:themeFill="accent2" w:themeFillTint="33"/>
          </w:tcPr>
          <w:p w14:paraId="3F5D0945" w14:textId="4AAAC80B" w:rsidR="0068455E" w:rsidRPr="00BF2B0E" w:rsidRDefault="00263E70" w:rsidP="00D04763">
            <w:pPr>
              <w:spacing w:after="0"/>
              <w:ind w:right="34"/>
              <w:jc w:val="center"/>
              <w:rPr>
                <w:rFonts w:eastAsia="Times New Roman" w:cs="Arial"/>
                <w:sz w:val="20"/>
                <w:szCs w:val="20"/>
              </w:rPr>
            </w:pPr>
            <w:r>
              <w:rPr>
                <w:rFonts w:eastAsia="Times New Roman" w:cs="Arial"/>
                <w:sz w:val="20"/>
                <w:szCs w:val="20"/>
              </w:rPr>
              <w:t>1933</w:t>
            </w:r>
            <w:r w:rsidR="00D04763">
              <w:rPr>
                <w:rFonts w:eastAsia="Times New Roman" w:cs="Arial"/>
                <w:sz w:val="20"/>
                <w:szCs w:val="20"/>
              </w:rPr>
              <w:t xml:space="preserve"> to </w:t>
            </w:r>
            <w:r>
              <w:rPr>
                <w:rFonts w:eastAsia="Times New Roman" w:cs="Arial"/>
                <w:sz w:val="20"/>
                <w:szCs w:val="20"/>
              </w:rPr>
              <w:t>2</w:t>
            </w:r>
            <w:r w:rsidR="00D04763">
              <w:rPr>
                <w:rFonts w:eastAsia="Times New Roman" w:cs="Arial"/>
                <w:sz w:val="20"/>
                <w:szCs w:val="20"/>
              </w:rPr>
              <w:t>421</w:t>
            </w:r>
            <w:r>
              <w:rPr>
                <w:rFonts w:eastAsia="Times New Roman" w:cs="Arial"/>
                <w:sz w:val="20"/>
                <w:szCs w:val="20"/>
              </w:rPr>
              <w:t xml:space="preserve"> </w:t>
            </w:r>
          </w:p>
        </w:tc>
        <w:tc>
          <w:tcPr>
            <w:tcW w:w="1050" w:type="dxa"/>
            <w:shd w:val="clear" w:color="auto" w:fill="FAE2D5" w:themeFill="accent2" w:themeFillTint="33"/>
          </w:tcPr>
          <w:p w14:paraId="34F05833" w14:textId="789F1F86" w:rsidR="00827123" w:rsidRPr="00BF2B0E" w:rsidRDefault="00827123" w:rsidP="008B7BE3">
            <w:pPr>
              <w:spacing w:after="0"/>
              <w:ind w:right="34"/>
              <w:jc w:val="center"/>
              <w:rPr>
                <w:rFonts w:eastAsia="Times New Roman" w:cs="Arial"/>
                <w:sz w:val="20"/>
                <w:szCs w:val="20"/>
              </w:rPr>
            </w:pPr>
            <w:r w:rsidRPr="00827123">
              <w:rPr>
                <w:rFonts w:eastAsia="Times New Roman" w:cs="Arial"/>
                <w:sz w:val="20"/>
                <w:szCs w:val="20"/>
              </w:rPr>
              <w:t>20</w:t>
            </w:r>
            <w:r>
              <w:rPr>
                <w:rFonts w:eastAsia="Times New Roman" w:cs="Arial"/>
                <w:sz w:val="20"/>
                <w:szCs w:val="20"/>
              </w:rPr>
              <w:t>18</w:t>
            </w:r>
            <w:r w:rsidR="008B7BE3">
              <w:rPr>
                <w:rFonts w:eastAsia="Times New Roman" w:cs="Arial"/>
                <w:sz w:val="20"/>
                <w:szCs w:val="20"/>
              </w:rPr>
              <w:t xml:space="preserve"> to </w:t>
            </w:r>
            <w:r>
              <w:rPr>
                <w:rFonts w:eastAsia="Times New Roman" w:cs="Arial"/>
                <w:sz w:val="20"/>
                <w:szCs w:val="20"/>
              </w:rPr>
              <w:t>2576</w:t>
            </w:r>
          </w:p>
        </w:tc>
      </w:tr>
      <w:tr w:rsidR="0068455E" w:rsidRPr="006A14E9" w14:paraId="448D7F29" w14:textId="7EEE5E13" w:rsidTr="00CC1C5E">
        <w:tc>
          <w:tcPr>
            <w:tcW w:w="802" w:type="dxa"/>
            <w:vAlign w:val="center"/>
          </w:tcPr>
          <w:p w14:paraId="2E480817" w14:textId="77777777" w:rsidR="0068455E" w:rsidRPr="006A14E9" w:rsidRDefault="0068455E">
            <w:pPr>
              <w:spacing w:after="0"/>
              <w:ind w:right="-1346"/>
              <w:rPr>
                <w:rFonts w:eastAsia="Times New Roman" w:cs="Arial"/>
                <w:sz w:val="20"/>
                <w:szCs w:val="20"/>
              </w:rPr>
            </w:pPr>
            <w:r w:rsidRPr="006A14E9">
              <w:rPr>
                <w:rFonts w:eastAsia="Times New Roman" w:cs="Arial"/>
                <w:sz w:val="20"/>
                <w:szCs w:val="20"/>
              </w:rPr>
              <w:t>70+ yr</w:t>
            </w:r>
          </w:p>
        </w:tc>
        <w:tc>
          <w:tcPr>
            <w:tcW w:w="1018" w:type="dxa"/>
            <w:vMerge/>
            <w:shd w:val="clear" w:color="auto" w:fill="F2CEED" w:themeFill="accent5" w:themeFillTint="33"/>
            <w:vAlign w:val="center"/>
          </w:tcPr>
          <w:p w14:paraId="1C6B31A6" w14:textId="77777777" w:rsidR="0068455E" w:rsidRPr="006A14E9" w:rsidRDefault="0068455E" w:rsidP="008C4B59">
            <w:pPr>
              <w:spacing w:after="0"/>
              <w:ind w:right="38"/>
              <w:rPr>
                <w:rFonts w:eastAsia="Times New Roman" w:cs="Arial"/>
                <w:sz w:val="20"/>
                <w:szCs w:val="20"/>
              </w:rPr>
            </w:pPr>
          </w:p>
        </w:tc>
        <w:tc>
          <w:tcPr>
            <w:tcW w:w="1010" w:type="dxa"/>
            <w:vMerge/>
            <w:vAlign w:val="center"/>
          </w:tcPr>
          <w:p w14:paraId="575C783B" w14:textId="77777777" w:rsidR="0068455E" w:rsidRPr="006A14E9" w:rsidRDefault="0068455E" w:rsidP="008C4B59">
            <w:pPr>
              <w:spacing w:after="0"/>
              <w:ind w:right="-115"/>
              <w:rPr>
                <w:rFonts w:eastAsia="Times New Roman" w:cs="Arial"/>
                <w:sz w:val="20"/>
                <w:szCs w:val="20"/>
              </w:rPr>
            </w:pPr>
          </w:p>
        </w:tc>
        <w:tc>
          <w:tcPr>
            <w:tcW w:w="1058" w:type="dxa"/>
            <w:vMerge/>
            <w:shd w:val="clear" w:color="auto" w:fill="FAE2D5" w:themeFill="accent2" w:themeFillTint="33"/>
            <w:vAlign w:val="center"/>
          </w:tcPr>
          <w:p w14:paraId="117D61DA" w14:textId="77777777" w:rsidR="0068455E" w:rsidRPr="006A14E9" w:rsidRDefault="0068455E" w:rsidP="008C4B59">
            <w:pPr>
              <w:spacing w:after="0"/>
              <w:ind w:right="-115"/>
              <w:rPr>
                <w:rFonts w:eastAsia="Times New Roman" w:cs="Arial"/>
                <w:sz w:val="20"/>
                <w:szCs w:val="20"/>
              </w:rPr>
            </w:pPr>
          </w:p>
        </w:tc>
        <w:tc>
          <w:tcPr>
            <w:tcW w:w="699" w:type="dxa"/>
            <w:vAlign w:val="center"/>
          </w:tcPr>
          <w:p w14:paraId="121FA9B0" w14:textId="3BBE657B" w:rsidR="0068455E" w:rsidRPr="006A14E9" w:rsidRDefault="0068455E" w:rsidP="00E61161">
            <w:pPr>
              <w:spacing w:after="0"/>
              <w:ind w:right="-115"/>
              <w:jc w:val="center"/>
              <w:rPr>
                <w:rFonts w:eastAsia="Times New Roman" w:cs="Arial"/>
                <w:sz w:val="20"/>
                <w:szCs w:val="20"/>
              </w:rPr>
            </w:pPr>
            <w:r w:rsidRPr="000C356C">
              <w:rPr>
                <w:rFonts w:eastAsia="Times New Roman" w:cs="Arial"/>
                <w:sz w:val="20"/>
                <w:szCs w:val="20"/>
              </w:rPr>
              <w:t>1178</w:t>
            </w:r>
          </w:p>
        </w:tc>
        <w:tc>
          <w:tcPr>
            <w:tcW w:w="699" w:type="dxa"/>
            <w:vAlign w:val="center"/>
          </w:tcPr>
          <w:p w14:paraId="63BD6EF8" w14:textId="3E4EFB58" w:rsidR="0068455E" w:rsidRPr="006A14E9" w:rsidRDefault="0068455E" w:rsidP="00EF2239">
            <w:pPr>
              <w:spacing w:after="0"/>
              <w:ind w:right="-115"/>
              <w:rPr>
                <w:rFonts w:eastAsia="Times New Roman" w:cs="Arial"/>
                <w:sz w:val="20"/>
                <w:szCs w:val="20"/>
              </w:rPr>
            </w:pPr>
            <w:r w:rsidRPr="00BF2B0E">
              <w:rPr>
                <w:rFonts w:eastAsia="Times New Roman" w:cs="Arial"/>
                <w:sz w:val="20"/>
                <w:szCs w:val="20"/>
              </w:rPr>
              <w:t>1265</w:t>
            </w:r>
          </w:p>
        </w:tc>
        <w:tc>
          <w:tcPr>
            <w:tcW w:w="699" w:type="dxa"/>
            <w:vAlign w:val="center"/>
          </w:tcPr>
          <w:p w14:paraId="75571C79" w14:textId="343FDC88" w:rsidR="0068455E" w:rsidRPr="006A14E9" w:rsidRDefault="0068455E" w:rsidP="00E61161">
            <w:pPr>
              <w:spacing w:after="0"/>
              <w:ind w:right="-115"/>
              <w:jc w:val="center"/>
              <w:rPr>
                <w:rFonts w:eastAsia="Times New Roman" w:cs="Arial"/>
                <w:sz w:val="20"/>
                <w:szCs w:val="20"/>
              </w:rPr>
            </w:pPr>
            <w:r w:rsidRPr="00BF2B0E">
              <w:rPr>
                <w:rFonts w:eastAsia="Times New Roman" w:cs="Arial"/>
                <w:sz w:val="20"/>
                <w:szCs w:val="20"/>
              </w:rPr>
              <w:t>1014</w:t>
            </w:r>
          </w:p>
        </w:tc>
        <w:tc>
          <w:tcPr>
            <w:tcW w:w="699" w:type="dxa"/>
            <w:vAlign w:val="center"/>
          </w:tcPr>
          <w:p w14:paraId="29EC3BE1" w14:textId="0C9EA884" w:rsidR="0068455E" w:rsidRPr="006A14E9" w:rsidRDefault="0068455E" w:rsidP="00E61161">
            <w:pPr>
              <w:spacing w:after="0"/>
              <w:ind w:right="-115"/>
              <w:jc w:val="center"/>
              <w:rPr>
                <w:rFonts w:eastAsia="Times New Roman" w:cs="Arial"/>
                <w:sz w:val="20"/>
                <w:szCs w:val="20"/>
              </w:rPr>
            </w:pPr>
            <w:r w:rsidRPr="00BF2B0E">
              <w:rPr>
                <w:rFonts w:eastAsia="Times New Roman" w:cs="Arial"/>
                <w:sz w:val="20"/>
                <w:szCs w:val="20"/>
              </w:rPr>
              <w:t>9</w:t>
            </w:r>
            <w:r>
              <w:rPr>
                <w:rFonts w:eastAsia="Times New Roman" w:cs="Arial"/>
                <w:sz w:val="20"/>
                <w:szCs w:val="20"/>
              </w:rPr>
              <w:t>80</w:t>
            </w:r>
          </w:p>
        </w:tc>
        <w:tc>
          <w:tcPr>
            <w:tcW w:w="699" w:type="dxa"/>
            <w:vAlign w:val="center"/>
          </w:tcPr>
          <w:p w14:paraId="66C1EC32" w14:textId="1325274A" w:rsidR="0068455E" w:rsidRPr="006A14E9" w:rsidRDefault="0068455E" w:rsidP="00E61161">
            <w:pPr>
              <w:spacing w:after="0"/>
              <w:ind w:right="27"/>
              <w:jc w:val="center"/>
              <w:rPr>
                <w:rFonts w:eastAsia="Times New Roman" w:cs="Arial"/>
                <w:sz w:val="20"/>
                <w:szCs w:val="20"/>
              </w:rPr>
            </w:pPr>
            <w:r w:rsidRPr="00BF2B0E">
              <w:rPr>
                <w:rFonts w:eastAsia="Times New Roman" w:cs="Arial"/>
                <w:sz w:val="20"/>
                <w:szCs w:val="20"/>
              </w:rPr>
              <w:t>988</w:t>
            </w:r>
          </w:p>
        </w:tc>
        <w:tc>
          <w:tcPr>
            <w:tcW w:w="699" w:type="dxa"/>
            <w:vAlign w:val="center"/>
          </w:tcPr>
          <w:p w14:paraId="388F229D" w14:textId="11296E26" w:rsidR="0068455E" w:rsidRPr="006A14E9" w:rsidRDefault="0068455E" w:rsidP="00E61161">
            <w:pPr>
              <w:spacing w:after="0"/>
              <w:ind w:right="-115"/>
              <w:jc w:val="center"/>
              <w:rPr>
                <w:rFonts w:eastAsia="Times New Roman" w:cs="Arial"/>
                <w:sz w:val="20"/>
                <w:szCs w:val="20"/>
              </w:rPr>
            </w:pPr>
            <w:r w:rsidRPr="00BF2B0E">
              <w:rPr>
                <w:rFonts w:eastAsia="Times New Roman" w:cs="Arial"/>
                <w:sz w:val="20"/>
                <w:szCs w:val="20"/>
              </w:rPr>
              <w:t>120</w:t>
            </w:r>
            <w:r>
              <w:rPr>
                <w:rFonts w:eastAsia="Times New Roman" w:cs="Arial"/>
                <w:sz w:val="20"/>
                <w:szCs w:val="20"/>
              </w:rPr>
              <w:t>8</w:t>
            </w:r>
          </w:p>
        </w:tc>
        <w:tc>
          <w:tcPr>
            <w:tcW w:w="699" w:type="dxa"/>
            <w:vAlign w:val="center"/>
          </w:tcPr>
          <w:p w14:paraId="662FC2D1" w14:textId="51B7FFC9" w:rsidR="0068455E" w:rsidRPr="006A14E9" w:rsidRDefault="0068455E" w:rsidP="00E61161">
            <w:pPr>
              <w:spacing w:after="0"/>
              <w:ind w:right="-115"/>
              <w:jc w:val="center"/>
              <w:rPr>
                <w:rFonts w:eastAsia="Times New Roman" w:cs="Arial"/>
                <w:sz w:val="20"/>
                <w:szCs w:val="20"/>
              </w:rPr>
            </w:pPr>
            <w:r w:rsidRPr="00BF2B0E">
              <w:rPr>
                <w:rFonts w:eastAsia="Times New Roman" w:cs="Arial"/>
                <w:sz w:val="20"/>
                <w:szCs w:val="20"/>
              </w:rPr>
              <w:t>1265</w:t>
            </w:r>
          </w:p>
        </w:tc>
        <w:tc>
          <w:tcPr>
            <w:tcW w:w="700" w:type="dxa"/>
            <w:vAlign w:val="center"/>
          </w:tcPr>
          <w:p w14:paraId="5151A756" w14:textId="102CF60A" w:rsidR="0068455E" w:rsidRPr="006A14E9" w:rsidRDefault="0068455E" w:rsidP="00E61161">
            <w:pPr>
              <w:spacing w:after="0"/>
              <w:ind w:right="-115"/>
              <w:jc w:val="center"/>
              <w:rPr>
                <w:rFonts w:eastAsia="Times New Roman" w:cs="Arial"/>
                <w:sz w:val="20"/>
                <w:szCs w:val="20"/>
              </w:rPr>
            </w:pPr>
            <w:r w:rsidRPr="00BF2B0E">
              <w:rPr>
                <w:rFonts w:eastAsia="Times New Roman" w:cs="Arial"/>
                <w:sz w:val="20"/>
                <w:szCs w:val="20"/>
              </w:rPr>
              <w:t>117</w:t>
            </w:r>
            <w:r>
              <w:rPr>
                <w:rFonts w:eastAsia="Times New Roman" w:cs="Arial"/>
                <w:sz w:val="20"/>
                <w:szCs w:val="20"/>
              </w:rPr>
              <w:t>6</w:t>
            </w:r>
          </w:p>
        </w:tc>
        <w:tc>
          <w:tcPr>
            <w:tcW w:w="1049" w:type="dxa"/>
          </w:tcPr>
          <w:p w14:paraId="0CC4DCEB" w14:textId="1A66F90A" w:rsidR="0068455E" w:rsidRPr="00BF2B0E" w:rsidRDefault="00D04763" w:rsidP="00886574">
            <w:pPr>
              <w:spacing w:after="0"/>
              <w:ind w:right="-115"/>
              <w:jc w:val="center"/>
              <w:rPr>
                <w:rFonts w:eastAsia="Times New Roman" w:cs="Arial"/>
                <w:sz w:val="20"/>
                <w:szCs w:val="20"/>
              </w:rPr>
            </w:pPr>
            <w:r>
              <w:rPr>
                <w:rFonts w:eastAsia="Times New Roman" w:cs="Arial"/>
                <w:sz w:val="20"/>
                <w:szCs w:val="20"/>
              </w:rPr>
              <w:t>1444</w:t>
            </w:r>
            <w:r w:rsidR="00886574">
              <w:rPr>
                <w:rFonts w:eastAsia="Times New Roman" w:cs="Arial"/>
                <w:sz w:val="20"/>
                <w:szCs w:val="20"/>
              </w:rPr>
              <w:t xml:space="preserve"> to </w:t>
            </w:r>
            <w:r>
              <w:rPr>
                <w:rFonts w:eastAsia="Times New Roman" w:cs="Arial"/>
                <w:sz w:val="20"/>
                <w:szCs w:val="20"/>
              </w:rPr>
              <w:t>1602</w:t>
            </w:r>
          </w:p>
        </w:tc>
        <w:tc>
          <w:tcPr>
            <w:tcW w:w="1050" w:type="dxa"/>
            <w:shd w:val="clear" w:color="auto" w:fill="FAE2D5" w:themeFill="accent2" w:themeFillTint="33"/>
          </w:tcPr>
          <w:p w14:paraId="72E65BD7" w14:textId="056B945E" w:rsidR="002060ED" w:rsidRPr="00BF2B0E" w:rsidRDefault="008B7BE3" w:rsidP="002060ED">
            <w:pPr>
              <w:spacing w:after="0"/>
              <w:ind w:right="-115"/>
              <w:jc w:val="center"/>
              <w:rPr>
                <w:rFonts w:eastAsia="Times New Roman" w:cs="Arial"/>
                <w:sz w:val="20"/>
                <w:szCs w:val="20"/>
              </w:rPr>
            </w:pPr>
            <w:r w:rsidRPr="008B7BE3">
              <w:rPr>
                <w:rFonts w:eastAsia="Times New Roman" w:cs="Arial"/>
                <w:sz w:val="20"/>
                <w:szCs w:val="20"/>
              </w:rPr>
              <w:t>150</w:t>
            </w:r>
            <w:r>
              <w:rPr>
                <w:rFonts w:eastAsia="Times New Roman" w:cs="Arial"/>
                <w:sz w:val="20"/>
                <w:szCs w:val="20"/>
              </w:rPr>
              <w:t>7</w:t>
            </w:r>
            <w:r w:rsidR="002060ED">
              <w:rPr>
                <w:rFonts w:eastAsia="Times New Roman" w:cs="Arial"/>
                <w:sz w:val="20"/>
                <w:szCs w:val="20"/>
              </w:rPr>
              <w:t xml:space="preserve"> to 2025</w:t>
            </w:r>
          </w:p>
        </w:tc>
        <w:tc>
          <w:tcPr>
            <w:tcW w:w="1049" w:type="dxa"/>
            <w:shd w:val="clear" w:color="auto" w:fill="FAE2D5" w:themeFill="accent2" w:themeFillTint="33"/>
          </w:tcPr>
          <w:p w14:paraId="58D95EC5" w14:textId="0770655A" w:rsidR="00886574" w:rsidRPr="00BF2B0E" w:rsidRDefault="00886574" w:rsidP="003E47E3">
            <w:pPr>
              <w:spacing w:after="0"/>
              <w:ind w:right="-115"/>
              <w:jc w:val="center"/>
              <w:rPr>
                <w:rFonts w:eastAsia="Times New Roman" w:cs="Arial"/>
                <w:sz w:val="20"/>
                <w:szCs w:val="20"/>
              </w:rPr>
            </w:pPr>
            <w:r>
              <w:rPr>
                <w:rFonts w:eastAsia="Times New Roman" w:cs="Arial"/>
                <w:sz w:val="20"/>
                <w:szCs w:val="20"/>
              </w:rPr>
              <w:t>1877</w:t>
            </w:r>
            <w:r w:rsidR="003E47E3">
              <w:rPr>
                <w:rFonts w:eastAsia="Times New Roman" w:cs="Arial"/>
                <w:sz w:val="20"/>
                <w:szCs w:val="20"/>
              </w:rPr>
              <w:t xml:space="preserve"> to </w:t>
            </w:r>
            <w:r w:rsidR="003B6D66">
              <w:rPr>
                <w:rFonts w:eastAsia="Times New Roman" w:cs="Arial"/>
                <w:sz w:val="20"/>
                <w:szCs w:val="20"/>
              </w:rPr>
              <w:t>2142</w:t>
            </w:r>
          </w:p>
        </w:tc>
        <w:tc>
          <w:tcPr>
            <w:tcW w:w="1050" w:type="dxa"/>
            <w:shd w:val="clear" w:color="auto" w:fill="FAE2D5" w:themeFill="accent2" w:themeFillTint="33"/>
          </w:tcPr>
          <w:p w14:paraId="199BF00C" w14:textId="4FB6CB17" w:rsidR="0068455E" w:rsidRPr="00BF2B0E" w:rsidRDefault="008C32B0" w:rsidP="00E62A18">
            <w:pPr>
              <w:spacing w:after="0"/>
              <w:ind w:right="-115"/>
              <w:jc w:val="center"/>
              <w:rPr>
                <w:rFonts w:eastAsia="Times New Roman" w:cs="Arial"/>
                <w:sz w:val="20"/>
                <w:szCs w:val="20"/>
              </w:rPr>
            </w:pPr>
            <w:r>
              <w:rPr>
                <w:rFonts w:eastAsia="Times New Roman" w:cs="Arial"/>
                <w:sz w:val="20"/>
                <w:szCs w:val="20"/>
              </w:rPr>
              <w:t>1949</w:t>
            </w:r>
            <w:r w:rsidR="00E62A18">
              <w:rPr>
                <w:rFonts w:eastAsia="Times New Roman" w:cs="Arial"/>
                <w:sz w:val="20"/>
                <w:szCs w:val="20"/>
              </w:rPr>
              <w:t xml:space="preserve"> to </w:t>
            </w:r>
            <w:r>
              <w:rPr>
                <w:rFonts w:eastAsia="Times New Roman" w:cs="Arial"/>
                <w:sz w:val="20"/>
                <w:szCs w:val="20"/>
              </w:rPr>
              <w:t>2365</w:t>
            </w:r>
          </w:p>
        </w:tc>
      </w:tr>
    </w:tbl>
    <w:p w14:paraId="03541779" w14:textId="77777777" w:rsidR="001D2A67" w:rsidRDefault="001D2A67" w:rsidP="001D2A67">
      <w:pPr>
        <w:spacing w:before="120"/>
        <w:ind w:right="172"/>
        <w:rPr>
          <w:rFonts w:eastAsia="Times New Roman" w:cs="Arial"/>
          <w:sz w:val="20"/>
          <w:szCs w:val="20"/>
        </w:rPr>
      </w:pPr>
      <w:r>
        <w:rPr>
          <w:rFonts w:eastAsia="Times New Roman" w:cs="Arial"/>
        </w:rPr>
        <w:t xml:space="preserve"> </w:t>
      </w:r>
      <w:r w:rsidRPr="0019392A">
        <w:rPr>
          <w:rFonts w:eastAsia="Times New Roman" w:cs="Arial"/>
          <w:sz w:val="20"/>
          <w:szCs w:val="20"/>
        </w:rPr>
        <w:t>F = Females; M= Males; ^AGTHE98 age groupings were 19-60y and 60y+</w:t>
      </w:r>
    </w:p>
    <w:p w14:paraId="2341BB66" w14:textId="77777777" w:rsidR="00827D33" w:rsidRDefault="00827D33">
      <w:pPr>
        <w:rPr>
          <w:rFonts w:eastAsiaTheme="majorEastAsia" w:cstheme="majorBidi"/>
          <w:color w:val="0F4761" w:themeColor="accent1" w:themeShade="BF"/>
          <w:sz w:val="24"/>
          <w:szCs w:val="28"/>
        </w:rPr>
      </w:pPr>
      <w:r>
        <w:br w:type="page"/>
      </w:r>
    </w:p>
    <w:p w14:paraId="6BE22323" w14:textId="62599F50" w:rsidR="0056711E" w:rsidRDefault="0056711E" w:rsidP="0056711E">
      <w:pPr>
        <w:pStyle w:val="Heading3"/>
      </w:pPr>
      <w:bookmarkStart w:id="96" w:name="_Toc234960874"/>
      <w:r>
        <w:lastRenderedPageBreak/>
        <w:t>Pregnancy</w:t>
      </w:r>
      <w:bookmarkEnd w:id="96"/>
    </w:p>
    <w:p w14:paraId="0313B1DC" w14:textId="26A80315" w:rsidR="00CC6065" w:rsidRDefault="00E72753" w:rsidP="008954EC">
      <w:pPr>
        <w:spacing w:line="276" w:lineRule="auto"/>
      </w:pPr>
      <w:proofErr w:type="gramStart"/>
      <w:r>
        <w:t>Similar to</w:t>
      </w:r>
      <w:proofErr w:type="gramEnd"/>
      <w:r>
        <w:t xml:space="preserve"> </w:t>
      </w:r>
      <w:r w:rsidR="00BE62FB">
        <w:t>adults, 7</w:t>
      </w:r>
      <w:r w:rsidR="00CC6065">
        <w:t xml:space="preserve">-day Total Diets for pregnant and lactating </w:t>
      </w:r>
      <w:r w:rsidR="00A0102C">
        <w:t>females</w:t>
      </w:r>
      <w:r w:rsidR="00CC6065">
        <w:t xml:space="preserve"> </w:t>
      </w:r>
      <w:r>
        <w:t xml:space="preserve">exceeded the </w:t>
      </w:r>
      <w:r w:rsidR="008E38CE">
        <w:t>current</w:t>
      </w:r>
      <w:r>
        <w:t xml:space="preserve"> SDT (2,000 mg/day) for all </w:t>
      </w:r>
      <w:r w:rsidR="005604F5">
        <w:t>age groups and energy requirement levels</w:t>
      </w:r>
      <w:r w:rsidR="008732F3">
        <w:t>, and individuals are unlikely to be able to meet the recommendations without additional interventions targeting the food supply or discretionary salt use (</w:t>
      </w:r>
      <w:proofErr w:type="spellStart"/>
      <w:r w:rsidR="008732F3">
        <w:t>eg.</w:t>
      </w:r>
      <w:proofErr w:type="spellEnd"/>
      <w:r w:rsidR="008732F3">
        <w:t xml:space="preserve"> low-sodium salt substitution). </w:t>
      </w:r>
    </w:p>
    <w:p w14:paraId="47E66C2A" w14:textId="17B84CAD" w:rsidR="00336EB1" w:rsidRDefault="00336EB1" w:rsidP="00336EB1">
      <w:pPr>
        <w:pStyle w:val="Caption"/>
        <w:keepNext/>
      </w:pPr>
      <w:bookmarkStart w:id="97" w:name="_Ref231317379"/>
      <w:r>
        <w:t xml:space="preserve">Table </w:t>
      </w:r>
      <w:r>
        <w:fldChar w:fldCharType="begin"/>
      </w:r>
      <w:r>
        <w:instrText>SEQ Table \* ARABIC</w:instrText>
      </w:r>
      <w:r>
        <w:fldChar w:fldCharType="separate"/>
      </w:r>
      <w:r w:rsidR="00B90577">
        <w:rPr>
          <w:noProof/>
        </w:rPr>
        <w:t>17</w:t>
      </w:r>
      <w:r>
        <w:fldChar w:fldCharType="end"/>
      </w:r>
      <w:bookmarkEnd w:id="97"/>
      <w:r>
        <w:t xml:space="preserve"> - Food modelling data – pregnant females </w:t>
      </w:r>
      <w:r w:rsidR="009519BC">
        <w:fldChar w:fldCharType="begin"/>
      </w:r>
      <w:r w:rsidR="002C333F">
        <w:instrText xml:space="preserve"> ADDIN EN.CITE &lt;EndNote&gt;&lt;Cite ExcludeAuth="1"&gt;&lt;Author&gt;National Health and Medical Research Council&lt;/Author&gt;&lt;Year&gt;2011&lt;/Year&gt;&lt;RecNum&gt;4683&lt;/RecNum&gt;&lt;Prefix&gt;NHMRC`, &lt;/Prefix&gt;&lt;DisplayText&gt;(NHMRC, 2011)&lt;/DisplayText&gt;&lt;record&gt;&lt;rec-number&gt;4683&lt;/rec-number&gt;&lt;foreign-keys&gt;&lt;key app="EN" db-id="wwsdv2wwp29fenerv0kx5tw9zxtx2fdrprx2" timestamp="1776057437"&gt;4683&lt;/key&gt;&lt;/foreign-keys&gt;&lt;ref-type name="Generic"&gt;13&lt;/ref-type&gt;&lt;contributors&gt;&lt;authors&gt;&lt;author&gt;National Health and Medical Research Council, NHMRC&lt;/author&gt;&lt;/authors&gt;&lt;secondary-authors&gt;&lt;author&gt;National Health and Medical Research Council, NHMRC&lt;/author&gt;&lt;/secondary-authors&gt;&lt;/contributors&gt;&lt;titles&gt;&lt;title&gt;A Modelling System to Inform the Revision of the Australian Guide to Healthy Eating&lt;/title&gt;&lt;/titles&gt;&lt;dates&gt;&lt;year&gt;2011&lt;/year&gt;&lt;/dates&gt;&lt;pub-location&gt;Canberra, ACT&lt;/pub-location&gt;&lt;urls&gt;&lt;/urls&gt;&lt;/record&gt;&lt;/Cite&gt;&lt;/EndNote&gt;</w:instrText>
      </w:r>
      <w:r w:rsidR="009519BC">
        <w:fldChar w:fldCharType="separate"/>
      </w:r>
      <w:r w:rsidR="002C333F">
        <w:rPr>
          <w:noProof/>
        </w:rPr>
        <w:t>(NHMRC, 2011)</w:t>
      </w:r>
      <w:r w:rsidR="009519BC">
        <w:fldChar w:fldCharType="end"/>
      </w:r>
    </w:p>
    <w:tbl>
      <w:tblPr>
        <w:tblStyle w:val="TableGrid2"/>
        <w:tblW w:w="11618" w:type="dxa"/>
        <w:tblLayout w:type="fixed"/>
        <w:tblLook w:val="04A0" w:firstRow="1" w:lastRow="0" w:firstColumn="1" w:lastColumn="0" w:noHBand="0" w:noVBand="1"/>
      </w:tblPr>
      <w:tblGrid>
        <w:gridCol w:w="1980"/>
        <w:gridCol w:w="1701"/>
        <w:gridCol w:w="1984"/>
        <w:gridCol w:w="1701"/>
        <w:gridCol w:w="2126"/>
        <w:gridCol w:w="2126"/>
      </w:tblGrid>
      <w:tr w:rsidR="0087718C" w:rsidRPr="006A14E9" w14:paraId="7BFF3D6A" w14:textId="5A23206C" w:rsidTr="0087718C">
        <w:trPr>
          <w:trHeight w:val="975"/>
        </w:trPr>
        <w:tc>
          <w:tcPr>
            <w:tcW w:w="1980" w:type="dxa"/>
            <w:shd w:val="clear" w:color="auto" w:fill="005F85"/>
            <w:vAlign w:val="bottom"/>
          </w:tcPr>
          <w:p w14:paraId="30987C1A" w14:textId="77777777" w:rsidR="0087718C" w:rsidRPr="006A14E9" w:rsidRDefault="0087718C" w:rsidP="003E47E3">
            <w:pPr>
              <w:spacing w:after="0"/>
              <w:ind w:left="-88" w:right="33"/>
              <w:jc w:val="center"/>
              <w:rPr>
                <w:rFonts w:eastAsia="Times New Roman" w:cs="Arial"/>
                <w:b/>
                <w:bCs/>
                <w:color w:val="FFFFFF"/>
                <w:sz w:val="20"/>
                <w:szCs w:val="20"/>
              </w:rPr>
            </w:pPr>
            <w:r w:rsidRPr="006A14E9">
              <w:rPr>
                <w:rFonts w:eastAsia="Times New Roman" w:cs="Arial"/>
                <w:b/>
                <w:bCs/>
                <w:color w:val="FFFFFF"/>
                <w:sz w:val="20"/>
                <w:szCs w:val="20"/>
              </w:rPr>
              <w:t>Age group (years)</w:t>
            </w:r>
          </w:p>
        </w:tc>
        <w:tc>
          <w:tcPr>
            <w:tcW w:w="1701" w:type="dxa"/>
            <w:shd w:val="clear" w:color="auto" w:fill="005F85"/>
            <w:vAlign w:val="bottom"/>
          </w:tcPr>
          <w:p w14:paraId="64DDB029" w14:textId="77777777" w:rsidR="0087718C" w:rsidRDefault="0087718C" w:rsidP="003E47E3">
            <w:pPr>
              <w:spacing w:after="0"/>
              <w:jc w:val="center"/>
              <w:rPr>
                <w:rFonts w:eastAsia="Times New Roman" w:cs="Arial"/>
                <w:b/>
                <w:bCs/>
                <w:color w:val="FFFFFF"/>
                <w:sz w:val="20"/>
                <w:szCs w:val="20"/>
              </w:rPr>
            </w:pPr>
            <w:r w:rsidRPr="006A14E9">
              <w:rPr>
                <w:rFonts w:eastAsia="Times New Roman" w:cs="Arial"/>
                <w:b/>
                <w:bCs/>
                <w:color w:val="FFFFFF"/>
                <w:sz w:val="20"/>
                <w:szCs w:val="20"/>
              </w:rPr>
              <w:t>Core food groups</w:t>
            </w:r>
          </w:p>
          <w:p w14:paraId="27BBF002" w14:textId="77777777" w:rsidR="0087718C" w:rsidRPr="006A14E9" w:rsidRDefault="0087718C" w:rsidP="003E47E3">
            <w:pPr>
              <w:spacing w:after="0"/>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1984" w:type="dxa"/>
            <w:shd w:val="clear" w:color="auto" w:fill="156082" w:themeFill="accent1"/>
            <w:vAlign w:val="bottom"/>
          </w:tcPr>
          <w:p w14:paraId="76FD6133" w14:textId="2A21A2D1" w:rsidR="00DE0124" w:rsidRDefault="0087718C" w:rsidP="00DE0124">
            <w:pPr>
              <w:spacing w:after="0"/>
              <w:jc w:val="center"/>
              <w:rPr>
                <w:rFonts w:eastAsia="Times New Roman" w:cs="Arial"/>
                <w:b/>
                <w:bCs/>
                <w:color w:val="FFFFFF"/>
                <w:sz w:val="20"/>
                <w:szCs w:val="20"/>
              </w:rPr>
            </w:pPr>
            <w:r>
              <w:rPr>
                <w:rFonts w:eastAsia="Times New Roman" w:cs="Arial"/>
                <w:b/>
                <w:bCs/>
                <w:color w:val="FFFFFF"/>
                <w:sz w:val="20"/>
                <w:szCs w:val="20"/>
              </w:rPr>
              <w:t>Intake from AGTHE98</w:t>
            </w:r>
            <w:r w:rsidR="00A904FB">
              <w:rPr>
                <w:rFonts w:eastAsia="Times New Roman" w:cs="Arial"/>
                <w:b/>
                <w:bCs/>
                <w:color w:val="FFFFFF"/>
                <w:sz w:val="20"/>
                <w:szCs w:val="20"/>
              </w:rPr>
              <w:t>^</w:t>
            </w:r>
          </w:p>
          <w:p w14:paraId="558B056A" w14:textId="60FA2229" w:rsidR="0087718C" w:rsidRDefault="0087718C" w:rsidP="00DE0124">
            <w:pPr>
              <w:spacing w:after="0"/>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1701" w:type="dxa"/>
            <w:shd w:val="clear" w:color="auto" w:fill="005F85"/>
            <w:vAlign w:val="bottom"/>
          </w:tcPr>
          <w:p w14:paraId="35731950" w14:textId="02BDEFB7" w:rsidR="0087718C" w:rsidRDefault="0087718C" w:rsidP="003E47E3">
            <w:pPr>
              <w:spacing w:after="0"/>
              <w:jc w:val="center"/>
              <w:rPr>
                <w:rFonts w:eastAsia="Times New Roman" w:cs="Arial"/>
                <w:b/>
                <w:bCs/>
                <w:color w:val="FFFFFF"/>
                <w:sz w:val="20"/>
                <w:szCs w:val="20"/>
              </w:rPr>
            </w:pPr>
            <w:r>
              <w:rPr>
                <w:rFonts w:eastAsia="Times New Roman" w:cs="Arial"/>
                <w:b/>
                <w:bCs/>
                <w:color w:val="FFFFFF"/>
                <w:sz w:val="20"/>
                <w:szCs w:val="20"/>
              </w:rPr>
              <w:t>F</w:t>
            </w:r>
            <w:r w:rsidRPr="006A14E9">
              <w:rPr>
                <w:rFonts w:eastAsia="Times New Roman" w:cs="Arial"/>
                <w:b/>
                <w:bCs/>
                <w:color w:val="FFFFFF"/>
                <w:sz w:val="20"/>
                <w:szCs w:val="20"/>
              </w:rPr>
              <w:t xml:space="preserve">oundation diets </w:t>
            </w:r>
            <w:r>
              <w:rPr>
                <w:rFonts w:eastAsia="Times New Roman" w:cs="Arial"/>
                <w:b/>
                <w:bCs/>
                <w:color w:val="FFFFFF"/>
                <w:sz w:val="20"/>
                <w:szCs w:val="20"/>
              </w:rPr>
              <w:t>–</w:t>
            </w:r>
            <w:r w:rsidRPr="006A14E9">
              <w:rPr>
                <w:rFonts w:eastAsia="Times New Roman" w:cs="Arial"/>
                <w:b/>
                <w:bCs/>
                <w:color w:val="FFFFFF"/>
                <w:sz w:val="20"/>
                <w:szCs w:val="20"/>
              </w:rPr>
              <w:t xml:space="preserve"> overall</w:t>
            </w:r>
          </w:p>
          <w:p w14:paraId="5E5AC18F" w14:textId="1F5A4815" w:rsidR="0087718C" w:rsidRDefault="0087718C" w:rsidP="003E47E3">
            <w:pPr>
              <w:spacing w:after="0"/>
              <w:jc w:val="center"/>
              <w:rPr>
                <w:rFonts w:eastAsia="Times New Roman" w:cs="Arial"/>
                <w:b/>
                <w:bCs/>
                <w:color w:val="FFFFFF"/>
                <w:sz w:val="20"/>
                <w:szCs w:val="20"/>
              </w:rPr>
            </w:pPr>
            <w:r>
              <w:rPr>
                <w:rFonts w:eastAsia="Times New Roman" w:cs="Arial"/>
                <w:b/>
                <w:bCs/>
                <w:color w:val="FFFFFF"/>
                <w:sz w:val="20"/>
                <w:szCs w:val="20"/>
              </w:rPr>
              <w:t>(mg/day)</w:t>
            </w:r>
          </w:p>
        </w:tc>
        <w:tc>
          <w:tcPr>
            <w:tcW w:w="2126" w:type="dxa"/>
            <w:shd w:val="clear" w:color="auto" w:fill="005F85"/>
          </w:tcPr>
          <w:p w14:paraId="1FEC0FE4" w14:textId="3B5D9C5B" w:rsidR="0087718C" w:rsidRDefault="0087718C" w:rsidP="003E47E3">
            <w:pPr>
              <w:spacing w:after="0"/>
              <w:ind w:right="34"/>
              <w:jc w:val="center"/>
              <w:rPr>
                <w:rFonts w:eastAsia="Times New Roman" w:cs="Arial"/>
                <w:b/>
                <w:bCs/>
                <w:color w:val="FFFFFF"/>
                <w:sz w:val="20"/>
                <w:szCs w:val="20"/>
              </w:rPr>
            </w:pPr>
            <w:r>
              <w:rPr>
                <w:rFonts w:eastAsia="Times New Roman" w:cs="Arial"/>
                <w:b/>
                <w:bCs/>
                <w:color w:val="FFFFFF"/>
                <w:sz w:val="20"/>
                <w:szCs w:val="20"/>
              </w:rPr>
              <w:t>7 day total diets - mid energy level</w:t>
            </w:r>
          </w:p>
        </w:tc>
        <w:tc>
          <w:tcPr>
            <w:tcW w:w="2126" w:type="dxa"/>
            <w:shd w:val="clear" w:color="auto" w:fill="005F85"/>
          </w:tcPr>
          <w:p w14:paraId="109FB644" w14:textId="45776DB2" w:rsidR="0087718C" w:rsidRDefault="0087718C" w:rsidP="003E47E3">
            <w:pPr>
              <w:spacing w:after="0"/>
              <w:ind w:right="34"/>
              <w:jc w:val="center"/>
              <w:rPr>
                <w:rFonts w:eastAsia="Times New Roman" w:cs="Arial"/>
                <w:b/>
                <w:bCs/>
                <w:color w:val="FFFFFF"/>
                <w:sz w:val="20"/>
                <w:szCs w:val="20"/>
              </w:rPr>
            </w:pPr>
            <w:r>
              <w:rPr>
                <w:rFonts w:eastAsia="Times New Roman" w:cs="Arial"/>
                <w:b/>
                <w:bCs/>
                <w:color w:val="FFFFFF"/>
                <w:sz w:val="20"/>
                <w:szCs w:val="20"/>
              </w:rPr>
              <w:t>7 day total diets - high energy level</w:t>
            </w:r>
          </w:p>
        </w:tc>
      </w:tr>
      <w:tr w:rsidR="0087718C" w:rsidRPr="006A14E9" w14:paraId="36F6F03B" w14:textId="688284A8" w:rsidTr="00AC0FF6">
        <w:tc>
          <w:tcPr>
            <w:tcW w:w="1980" w:type="dxa"/>
          </w:tcPr>
          <w:p w14:paraId="04C71FC9" w14:textId="66694C3A" w:rsidR="0087718C" w:rsidRPr="006A14E9" w:rsidRDefault="0087718C">
            <w:pPr>
              <w:spacing w:after="0"/>
              <w:ind w:right="-1346"/>
              <w:rPr>
                <w:rFonts w:eastAsia="Times New Roman" w:cs="Arial"/>
                <w:sz w:val="20"/>
                <w:szCs w:val="20"/>
              </w:rPr>
            </w:pPr>
            <w:r>
              <w:rPr>
                <w:rFonts w:eastAsia="Times New Roman" w:cs="Arial"/>
                <w:sz w:val="20"/>
                <w:szCs w:val="20"/>
              </w:rPr>
              <w:t>14-18 yr</w:t>
            </w:r>
          </w:p>
        </w:tc>
        <w:tc>
          <w:tcPr>
            <w:tcW w:w="1701" w:type="dxa"/>
            <w:vMerge w:val="restart"/>
            <w:shd w:val="clear" w:color="auto" w:fill="F2CEED" w:themeFill="accent5" w:themeFillTint="33"/>
            <w:vAlign w:val="center"/>
          </w:tcPr>
          <w:p w14:paraId="661B2454" w14:textId="468900E4" w:rsidR="0087718C" w:rsidRPr="00373F6D" w:rsidRDefault="0087718C">
            <w:pPr>
              <w:spacing w:after="0"/>
              <w:ind w:right="38"/>
              <w:jc w:val="center"/>
              <w:rPr>
                <w:rFonts w:eastAsia="Times New Roman" w:cs="Arial"/>
                <w:sz w:val="20"/>
                <w:szCs w:val="20"/>
              </w:rPr>
            </w:pPr>
            <w:r w:rsidRPr="00373F6D">
              <w:rPr>
                <w:rFonts w:eastAsia="Times New Roman" w:cs="Arial"/>
                <w:sz w:val="20"/>
                <w:szCs w:val="20"/>
              </w:rPr>
              <w:t>813</w:t>
            </w:r>
          </w:p>
        </w:tc>
        <w:tc>
          <w:tcPr>
            <w:tcW w:w="1984" w:type="dxa"/>
            <w:vMerge w:val="restart"/>
            <w:vAlign w:val="center"/>
          </w:tcPr>
          <w:p w14:paraId="3A4DA134" w14:textId="7693ADD5" w:rsidR="0087718C" w:rsidRPr="00383485" w:rsidRDefault="0087718C" w:rsidP="008A10A1">
            <w:pPr>
              <w:spacing w:after="0"/>
              <w:jc w:val="center"/>
              <w:rPr>
                <w:rFonts w:eastAsia="Times New Roman" w:cs="Arial"/>
                <w:sz w:val="20"/>
                <w:szCs w:val="20"/>
              </w:rPr>
            </w:pPr>
            <w:r w:rsidRPr="00383485">
              <w:rPr>
                <w:rFonts w:eastAsia="Times New Roman" w:cs="Arial"/>
                <w:sz w:val="20"/>
                <w:szCs w:val="20"/>
              </w:rPr>
              <w:t xml:space="preserve">1275 </w:t>
            </w:r>
            <w:r>
              <w:rPr>
                <w:rFonts w:eastAsia="Times New Roman" w:cs="Arial"/>
                <w:sz w:val="20"/>
                <w:szCs w:val="20"/>
              </w:rPr>
              <w:t xml:space="preserve">to </w:t>
            </w:r>
            <w:r w:rsidRPr="00383485">
              <w:rPr>
                <w:rFonts w:eastAsia="Times New Roman" w:cs="Arial"/>
                <w:sz w:val="20"/>
                <w:szCs w:val="20"/>
              </w:rPr>
              <w:t>167</w:t>
            </w:r>
            <w:r>
              <w:rPr>
                <w:rFonts w:eastAsia="Times New Roman" w:cs="Arial"/>
                <w:sz w:val="20"/>
                <w:szCs w:val="20"/>
              </w:rPr>
              <w:t>4</w:t>
            </w:r>
          </w:p>
        </w:tc>
        <w:tc>
          <w:tcPr>
            <w:tcW w:w="1701" w:type="dxa"/>
            <w:shd w:val="clear" w:color="auto" w:fill="FAE2D5" w:themeFill="accent2" w:themeFillTint="33"/>
            <w:vAlign w:val="center"/>
          </w:tcPr>
          <w:p w14:paraId="4F2E16F0" w14:textId="1B59FA35" w:rsidR="0087718C" w:rsidRPr="00135FA0" w:rsidRDefault="0087718C">
            <w:pPr>
              <w:spacing w:after="0"/>
              <w:ind w:right="-115"/>
              <w:jc w:val="center"/>
              <w:rPr>
                <w:rFonts w:eastAsia="Times New Roman" w:cs="Arial"/>
                <w:sz w:val="20"/>
                <w:szCs w:val="20"/>
              </w:rPr>
            </w:pPr>
            <w:r w:rsidRPr="0037122A">
              <w:rPr>
                <w:rFonts w:eastAsia="Times New Roman" w:cs="Arial"/>
                <w:sz w:val="20"/>
                <w:szCs w:val="20"/>
              </w:rPr>
              <w:t>2042</w:t>
            </w:r>
          </w:p>
        </w:tc>
        <w:tc>
          <w:tcPr>
            <w:tcW w:w="2126" w:type="dxa"/>
            <w:shd w:val="clear" w:color="auto" w:fill="FAE2D5" w:themeFill="accent2" w:themeFillTint="33"/>
          </w:tcPr>
          <w:p w14:paraId="10A86D52" w14:textId="43A8C210" w:rsidR="0087718C" w:rsidRPr="0037122A" w:rsidRDefault="00374DC1">
            <w:pPr>
              <w:spacing w:after="0"/>
              <w:ind w:right="-115"/>
              <w:jc w:val="center"/>
              <w:rPr>
                <w:rFonts w:eastAsia="Times New Roman" w:cs="Arial"/>
                <w:sz w:val="20"/>
                <w:szCs w:val="20"/>
              </w:rPr>
            </w:pPr>
            <w:r>
              <w:rPr>
                <w:rFonts w:eastAsia="Times New Roman" w:cs="Arial"/>
                <w:sz w:val="20"/>
                <w:szCs w:val="20"/>
              </w:rPr>
              <w:t>2316 to 2539</w:t>
            </w:r>
          </w:p>
        </w:tc>
        <w:tc>
          <w:tcPr>
            <w:tcW w:w="2126" w:type="dxa"/>
            <w:shd w:val="clear" w:color="auto" w:fill="FAE2D5" w:themeFill="accent2" w:themeFillTint="33"/>
          </w:tcPr>
          <w:p w14:paraId="72280D26" w14:textId="2B911619" w:rsidR="0087718C" w:rsidRPr="0037122A" w:rsidRDefault="00D81109">
            <w:pPr>
              <w:spacing w:after="0"/>
              <w:ind w:right="-115"/>
              <w:jc w:val="center"/>
              <w:rPr>
                <w:rFonts w:eastAsia="Times New Roman" w:cs="Arial"/>
                <w:sz w:val="20"/>
                <w:szCs w:val="20"/>
              </w:rPr>
            </w:pPr>
            <w:r>
              <w:rPr>
                <w:rFonts w:eastAsia="Times New Roman" w:cs="Arial"/>
                <w:sz w:val="20"/>
                <w:szCs w:val="20"/>
              </w:rPr>
              <w:t>2525 to 2783</w:t>
            </w:r>
          </w:p>
        </w:tc>
      </w:tr>
      <w:tr w:rsidR="0087718C" w:rsidRPr="006A14E9" w14:paraId="6994494A" w14:textId="2B828B2C" w:rsidTr="00AC0FF6">
        <w:tc>
          <w:tcPr>
            <w:tcW w:w="1980" w:type="dxa"/>
          </w:tcPr>
          <w:p w14:paraId="1AF4047F" w14:textId="77777777" w:rsidR="0087718C" w:rsidRPr="006A14E9" w:rsidRDefault="0087718C">
            <w:pPr>
              <w:spacing w:after="0"/>
              <w:ind w:right="-1346"/>
              <w:rPr>
                <w:rFonts w:eastAsia="Times New Roman" w:cs="Arial"/>
                <w:sz w:val="20"/>
                <w:szCs w:val="20"/>
              </w:rPr>
            </w:pPr>
            <w:r w:rsidRPr="006A14E9">
              <w:rPr>
                <w:rFonts w:eastAsia="Times New Roman" w:cs="Arial"/>
                <w:sz w:val="20"/>
                <w:szCs w:val="20"/>
              </w:rPr>
              <w:t>19-30 yr</w:t>
            </w:r>
          </w:p>
        </w:tc>
        <w:tc>
          <w:tcPr>
            <w:tcW w:w="1701" w:type="dxa"/>
            <w:vMerge/>
            <w:shd w:val="clear" w:color="auto" w:fill="F2CEED" w:themeFill="accent5" w:themeFillTint="33"/>
            <w:vAlign w:val="center"/>
          </w:tcPr>
          <w:p w14:paraId="1E5D4425" w14:textId="41D14932" w:rsidR="0087718C" w:rsidRPr="006A14E9" w:rsidRDefault="0087718C">
            <w:pPr>
              <w:spacing w:after="0"/>
              <w:ind w:right="38"/>
              <w:jc w:val="center"/>
              <w:rPr>
                <w:rFonts w:eastAsia="Times New Roman" w:cs="Arial"/>
                <w:sz w:val="20"/>
                <w:szCs w:val="20"/>
              </w:rPr>
            </w:pPr>
          </w:p>
        </w:tc>
        <w:tc>
          <w:tcPr>
            <w:tcW w:w="1984" w:type="dxa"/>
            <w:vMerge/>
            <w:vAlign w:val="center"/>
          </w:tcPr>
          <w:p w14:paraId="7B0C0845" w14:textId="6F32DB6C" w:rsidR="0087718C" w:rsidRPr="006A14E9" w:rsidRDefault="0087718C" w:rsidP="008A10A1">
            <w:pPr>
              <w:spacing w:after="0"/>
              <w:jc w:val="center"/>
              <w:rPr>
                <w:rFonts w:eastAsia="Times New Roman" w:cs="Arial"/>
                <w:sz w:val="20"/>
                <w:szCs w:val="20"/>
              </w:rPr>
            </w:pPr>
          </w:p>
        </w:tc>
        <w:tc>
          <w:tcPr>
            <w:tcW w:w="1701" w:type="dxa"/>
            <w:vAlign w:val="center"/>
          </w:tcPr>
          <w:p w14:paraId="5D46A94C" w14:textId="13F8F670" w:rsidR="0087718C" w:rsidRPr="006A14E9" w:rsidRDefault="0087718C">
            <w:pPr>
              <w:spacing w:after="0"/>
              <w:ind w:right="-115"/>
              <w:jc w:val="center"/>
              <w:rPr>
                <w:rFonts w:eastAsia="Times New Roman" w:cs="Arial"/>
                <w:sz w:val="20"/>
                <w:szCs w:val="20"/>
              </w:rPr>
            </w:pPr>
            <w:r w:rsidRPr="00135FA0">
              <w:rPr>
                <w:rFonts w:eastAsia="Times New Roman" w:cs="Arial"/>
                <w:sz w:val="20"/>
                <w:szCs w:val="20"/>
              </w:rPr>
              <w:t>1824</w:t>
            </w:r>
          </w:p>
        </w:tc>
        <w:tc>
          <w:tcPr>
            <w:tcW w:w="2126" w:type="dxa"/>
            <w:vMerge w:val="restart"/>
            <w:shd w:val="clear" w:color="auto" w:fill="FAE2D5" w:themeFill="accent2" w:themeFillTint="33"/>
          </w:tcPr>
          <w:p w14:paraId="5E8C3438" w14:textId="3011A5CE" w:rsidR="0087718C" w:rsidRPr="00135FA0" w:rsidRDefault="0087718C" w:rsidP="00F840FD">
            <w:pPr>
              <w:spacing w:after="0"/>
              <w:ind w:right="-115"/>
              <w:jc w:val="center"/>
              <w:rPr>
                <w:rFonts w:eastAsia="Times New Roman" w:cs="Arial"/>
                <w:sz w:val="20"/>
                <w:szCs w:val="20"/>
              </w:rPr>
            </w:pPr>
            <w:r>
              <w:rPr>
                <w:rFonts w:eastAsia="Times New Roman" w:cs="Arial"/>
                <w:sz w:val="20"/>
                <w:szCs w:val="20"/>
              </w:rPr>
              <w:t>1997 to 2266</w:t>
            </w:r>
          </w:p>
        </w:tc>
        <w:tc>
          <w:tcPr>
            <w:tcW w:w="2126" w:type="dxa"/>
            <w:vMerge w:val="restart"/>
            <w:shd w:val="clear" w:color="auto" w:fill="FAE2D5" w:themeFill="accent2" w:themeFillTint="33"/>
          </w:tcPr>
          <w:p w14:paraId="4A21F193" w14:textId="075A45AF" w:rsidR="0087718C" w:rsidRPr="00135FA0" w:rsidRDefault="0087718C" w:rsidP="00487369">
            <w:pPr>
              <w:spacing w:after="0"/>
              <w:ind w:right="-115"/>
              <w:jc w:val="center"/>
              <w:rPr>
                <w:rFonts w:eastAsia="Times New Roman" w:cs="Arial"/>
                <w:sz w:val="20"/>
                <w:szCs w:val="20"/>
              </w:rPr>
            </w:pPr>
            <w:r>
              <w:rPr>
                <w:rFonts w:eastAsia="Times New Roman" w:cs="Arial"/>
                <w:sz w:val="20"/>
                <w:szCs w:val="20"/>
              </w:rPr>
              <w:t>2314</w:t>
            </w:r>
            <w:r w:rsidR="00487369">
              <w:rPr>
                <w:rFonts w:eastAsia="Times New Roman" w:cs="Arial"/>
                <w:sz w:val="20"/>
                <w:szCs w:val="20"/>
              </w:rPr>
              <w:t xml:space="preserve"> to </w:t>
            </w:r>
            <w:r>
              <w:rPr>
                <w:rFonts w:eastAsia="Times New Roman" w:cs="Arial"/>
                <w:sz w:val="20"/>
                <w:szCs w:val="20"/>
              </w:rPr>
              <w:t>2682</w:t>
            </w:r>
          </w:p>
        </w:tc>
      </w:tr>
      <w:tr w:rsidR="0087718C" w:rsidRPr="006A14E9" w14:paraId="40FB93B5" w14:textId="4FDFE9C0" w:rsidTr="00AC0FF6">
        <w:tc>
          <w:tcPr>
            <w:tcW w:w="1980" w:type="dxa"/>
          </w:tcPr>
          <w:p w14:paraId="78CC9051" w14:textId="77777777" w:rsidR="0087718C" w:rsidRPr="006A14E9" w:rsidRDefault="0087718C">
            <w:pPr>
              <w:spacing w:after="0"/>
              <w:ind w:right="-1346"/>
              <w:rPr>
                <w:rFonts w:eastAsia="Times New Roman" w:cs="Arial"/>
                <w:sz w:val="20"/>
                <w:szCs w:val="20"/>
              </w:rPr>
            </w:pPr>
            <w:r w:rsidRPr="006A14E9">
              <w:rPr>
                <w:rFonts w:eastAsia="Times New Roman" w:cs="Arial"/>
                <w:sz w:val="20"/>
                <w:szCs w:val="20"/>
              </w:rPr>
              <w:t>31-50 yr</w:t>
            </w:r>
          </w:p>
        </w:tc>
        <w:tc>
          <w:tcPr>
            <w:tcW w:w="1701" w:type="dxa"/>
            <w:vMerge/>
            <w:shd w:val="clear" w:color="auto" w:fill="F2CEED" w:themeFill="accent5" w:themeFillTint="33"/>
            <w:vAlign w:val="center"/>
          </w:tcPr>
          <w:p w14:paraId="5AC97DF8" w14:textId="77777777" w:rsidR="0087718C" w:rsidRPr="006A14E9" w:rsidRDefault="0087718C">
            <w:pPr>
              <w:spacing w:after="0"/>
              <w:ind w:right="38"/>
              <w:jc w:val="center"/>
              <w:rPr>
                <w:rFonts w:eastAsia="Times New Roman" w:cs="Arial"/>
                <w:sz w:val="20"/>
                <w:szCs w:val="20"/>
              </w:rPr>
            </w:pPr>
          </w:p>
        </w:tc>
        <w:tc>
          <w:tcPr>
            <w:tcW w:w="1984" w:type="dxa"/>
            <w:vMerge/>
            <w:vAlign w:val="center"/>
          </w:tcPr>
          <w:p w14:paraId="7EF26762" w14:textId="77777777" w:rsidR="0087718C" w:rsidRPr="006A14E9" w:rsidRDefault="0087718C">
            <w:pPr>
              <w:spacing w:after="0"/>
              <w:ind w:right="-115"/>
              <w:jc w:val="center"/>
              <w:rPr>
                <w:rFonts w:eastAsia="Times New Roman" w:cs="Arial"/>
                <w:sz w:val="20"/>
                <w:szCs w:val="20"/>
              </w:rPr>
            </w:pPr>
          </w:p>
        </w:tc>
        <w:tc>
          <w:tcPr>
            <w:tcW w:w="1701" w:type="dxa"/>
            <w:vAlign w:val="center"/>
          </w:tcPr>
          <w:p w14:paraId="0D8EEB9F" w14:textId="3B09657A" w:rsidR="0087718C" w:rsidRPr="006A14E9" w:rsidRDefault="0087718C">
            <w:pPr>
              <w:spacing w:after="0"/>
              <w:ind w:right="-115"/>
              <w:jc w:val="center"/>
              <w:rPr>
                <w:rFonts w:eastAsia="Times New Roman" w:cs="Arial"/>
                <w:sz w:val="20"/>
                <w:szCs w:val="20"/>
              </w:rPr>
            </w:pPr>
            <w:r w:rsidRPr="00135FA0">
              <w:rPr>
                <w:rFonts w:eastAsia="Times New Roman" w:cs="Arial"/>
                <w:sz w:val="20"/>
                <w:szCs w:val="20"/>
              </w:rPr>
              <w:t>1824</w:t>
            </w:r>
          </w:p>
        </w:tc>
        <w:tc>
          <w:tcPr>
            <w:tcW w:w="2126" w:type="dxa"/>
            <w:vMerge/>
            <w:shd w:val="clear" w:color="auto" w:fill="FAE2D5" w:themeFill="accent2" w:themeFillTint="33"/>
          </w:tcPr>
          <w:p w14:paraId="732DD598" w14:textId="77777777" w:rsidR="0087718C" w:rsidRPr="00135FA0" w:rsidRDefault="0087718C">
            <w:pPr>
              <w:spacing w:after="0"/>
              <w:ind w:right="-115"/>
              <w:jc w:val="center"/>
              <w:rPr>
                <w:rFonts w:eastAsia="Times New Roman" w:cs="Arial"/>
                <w:sz w:val="20"/>
                <w:szCs w:val="20"/>
              </w:rPr>
            </w:pPr>
          </w:p>
        </w:tc>
        <w:tc>
          <w:tcPr>
            <w:tcW w:w="2126" w:type="dxa"/>
            <w:vMerge/>
            <w:shd w:val="clear" w:color="auto" w:fill="FAE2D5" w:themeFill="accent2" w:themeFillTint="33"/>
          </w:tcPr>
          <w:p w14:paraId="5C1739A6" w14:textId="77777777" w:rsidR="0087718C" w:rsidRPr="00135FA0" w:rsidRDefault="0087718C">
            <w:pPr>
              <w:spacing w:after="0"/>
              <w:ind w:right="-115"/>
              <w:jc w:val="center"/>
              <w:rPr>
                <w:rFonts w:eastAsia="Times New Roman" w:cs="Arial"/>
                <w:sz w:val="20"/>
                <w:szCs w:val="20"/>
              </w:rPr>
            </w:pPr>
          </w:p>
        </w:tc>
      </w:tr>
    </w:tbl>
    <w:p w14:paraId="19100EDF" w14:textId="77777777" w:rsidR="00A904FB" w:rsidRDefault="00A904FB" w:rsidP="00A904FB">
      <w:pPr>
        <w:spacing w:before="120"/>
        <w:ind w:right="172"/>
        <w:rPr>
          <w:rFonts w:eastAsia="Times New Roman" w:cs="Arial"/>
          <w:sz w:val="20"/>
          <w:szCs w:val="20"/>
        </w:rPr>
      </w:pPr>
      <w:r w:rsidRPr="0019392A">
        <w:rPr>
          <w:rFonts w:eastAsia="Times New Roman" w:cs="Arial"/>
          <w:sz w:val="20"/>
          <w:szCs w:val="20"/>
        </w:rPr>
        <w:t>^AGTHE98 age groupings were 19-60y and 60y+</w:t>
      </w:r>
    </w:p>
    <w:p w14:paraId="2A2C0076" w14:textId="3797F273" w:rsidR="0056711E" w:rsidRDefault="0056711E" w:rsidP="00497D80">
      <w:pPr>
        <w:pStyle w:val="Heading3"/>
        <w:spacing w:before="360"/>
      </w:pPr>
      <w:bookmarkStart w:id="98" w:name="_Toc234960875"/>
      <w:r>
        <w:t>Lactation</w:t>
      </w:r>
      <w:bookmarkEnd w:id="98"/>
    </w:p>
    <w:p w14:paraId="31E9BDFB" w14:textId="62DD3DFA" w:rsidR="0011054B" w:rsidRDefault="0011054B" w:rsidP="0011054B">
      <w:pPr>
        <w:pStyle w:val="Caption"/>
        <w:keepNext/>
      </w:pPr>
      <w:bookmarkStart w:id="99" w:name="_Ref231317388"/>
      <w:r>
        <w:t xml:space="preserve">Table </w:t>
      </w:r>
      <w:r>
        <w:fldChar w:fldCharType="begin"/>
      </w:r>
      <w:r>
        <w:instrText>SEQ Table \* ARABIC</w:instrText>
      </w:r>
      <w:r>
        <w:fldChar w:fldCharType="separate"/>
      </w:r>
      <w:r w:rsidR="00B90577">
        <w:rPr>
          <w:noProof/>
        </w:rPr>
        <w:t>18</w:t>
      </w:r>
      <w:r>
        <w:fldChar w:fldCharType="end"/>
      </w:r>
      <w:bookmarkEnd w:id="99"/>
      <w:r>
        <w:t xml:space="preserve"> - Food modelling data – lactating females </w:t>
      </w:r>
      <w:r>
        <w:fldChar w:fldCharType="begin"/>
      </w:r>
      <w:r>
        <w:instrText xml:space="preserve"> ADDIN EN.CITE &lt;EndNote&gt;&lt;Cite ExcludeAuth="1"&gt;&lt;Author&gt;National Health and Medical Research Council&lt;/Author&gt;&lt;Year&gt;2011&lt;/Year&gt;&lt;RecNum&gt;4683&lt;/RecNum&gt;&lt;Prefix&gt;NHMRC`, &lt;/Prefix&gt;&lt;DisplayText&gt;(NHMRC, 2011)&lt;/DisplayText&gt;&lt;record&gt;&lt;rec-number&gt;4683&lt;/rec-number&gt;&lt;foreign-keys&gt;&lt;key app="EN" db-id="wwsdv2wwp29fenerv0kx5tw9zxtx2fdrprx2" timestamp="1776057437"&gt;4683&lt;/key&gt;&lt;/foreign-keys&gt;&lt;ref-type name="Generic"&gt;13&lt;/ref-type&gt;&lt;contributors&gt;&lt;authors&gt;&lt;author&gt;National Health and Medical Research Council, NHMRC&lt;/author&gt;&lt;/authors&gt;&lt;secondary-authors&gt;&lt;author&gt;National Health and Medical Research Council, NHMRC&lt;/author&gt;&lt;/secondary-authors&gt;&lt;/contributors&gt;&lt;titles&gt;&lt;title&gt;A Modelling System to Inform the Revision of the Australian Guide to Healthy Eating&lt;/title&gt;&lt;/titles&gt;&lt;dates&gt;&lt;year&gt;2011&lt;/year&gt;&lt;/dates&gt;&lt;pub-location&gt;Canberra, ACT&lt;/pub-location&gt;&lt;urls&gt;&lt;/urls&gt;&lt;/record&gt;&lt;/Cite&gt;&lt;/EndNote&gt;</w:instrText>
      </w:r>
      <w:r>
        <w:fldChar w:fldCharType="separate"/>
      </w:r>
      <w:r>
        <w:rPr>
          <w:noProof/>
        </w:rPr>
        <w:t>(NHMRC, 2011)</w:t>
      </w:r>
      <w:r>
        <w:fldChar w:fldCharType="end"/>
      </w:r>
    </w:p>
    <w:tbl>
      <w:tblPr>
        <w:tblStyle w:val="TableGrid2"/>
        <w:tblW w:w="11618" w:type="dxa"/>
        <w:tblLayout w:type="fixed"/>
        <w:tblLook w:val="04A0" w:firstRow="1" w:lastRow="0" w:firstColumn="1" w:lastColumn="0" w:noHBand="0" w:noVBand="1"/>
      </w:tblPr>
      <w:tblGrid>
        <w:gridCol w:w="1980"/>
        <w:gridCol w:w="1701"/>
        <w:gridCol w:w="1984"/>
        <w:gridCol w:w="1701"/>
        <w:gridCol w:w="2126"/>
        <w:gridCol w:w="2126"/>
      </w:tblGrid>
      <w:tr w:rsidR="006D115F" w:rsidRPr="006A14E9" w14:paraId="0EFBF6F5" w14:textId="68D544EE" w:rsidTr="0087718C">
        <w:trPr>
          <w:trHeight w:val="1017"/>
        </w:trPr>
        <w:tc>
          <w:tcPr>
            <w:tcW w:w="1980" w:type="dxa"/>
            <w:shd w:val="clear" w:color="auto" w:fill="005F85"/>
            <w:vAlign w:val="bottom"/>
          </w:tcPr>
          <w:p w14:paraId="057D08F9" w14:textId="77777777" w:rsidR="006D115F" w:rsidRPr="006A14E9" w:rsidRDefault="006D115F" w:rsidP="006D115F">
            <w:pPr>
              <w:spacing w:after="0"/>
              <w:ind w:left="-88" w:right="33"/>
              <w:jc w:val="center"/>
              <w:rPr>
                <w:rFonts w:eastAsia="Times New Roman" w:cs="Arial"/>
                <w:b/>
                <w:bCs/>
                <w:color w:val="FFFFFF"/>
                <w:sz w:val="20"/>
                <w:szCs w:val="20"/>
              </w:rPr>
            </w:pPr>
            <w:r w:rsidRPr="006A14E9">
              <w:rPr>
                <w:rFonts w:eastAsia="Times New Roman" w:cs="Arial"/>
                <w:b/>
                <w:bCs/>
                <w:color w:val="FFFFFF"/>
                <w:sz w:val="20"/>
                <w:szCs w:val="20"/>
              </w:rPr>
              <w:t>Age group (years)</w:t>
            </w:r>
          </w:p>
        </w:tc>
        <w:tc>
          <w:tcPr>
            <w:tcW w:w="1701" w:type="dxa"/>
            <w:shd w:val="clear" w:color="auto" w:fill="005F85"/>
          </w:tcPr>
          <w:p w14:paraId="28CDECE9" w14:textId="77777777" w:rsidR="006D115F" w:rsidRDefault="006D115F" w:rsidP="006D115F">
            <w:pPr>
              <w:spacing w:after="0"/>
              <w:jc w:val="center"/>
              <w:rPr>
                <w:rFonts w:eastAsia="Times New Roman" w:cs="Arial"/>
                <w:b/>
                <w:bCs/>
                <w:color w:val="FFFFFF"/>
                <w:sz w:val="20"/>
                <w:szCs w:val="20"/>
              </w:rPr>
            </w:pPr>
            <w:r w:rsidRPr="006A14E9">
              <w:rPr>
                <w:rFonts w:eastAsia="Times New Roman" w:cs="Arial"/>
                <w:b/>
                <w:bCs/>
                <w:color w:val="FFFFFF"/>
                <w:sz w:val="20"/>
                <w:szCs w:val="20"/>
              </w:rPr>
              <w:t>Core food groups</w:t>
            </w:r>
          </w:p>
          <w:p w14:paraId="7F065FD0" w14:textId="77777777" w:rsidR="006D115F" w:rsidRPr="006A14E9" w:rsidRDefault="006D115F" w:rsidP="006D115F">
            <w:pPr>
              <w:spacing w:after="0"/>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1984" w:type="dxa"/>
            <w:shd w:val="clear" w:color="auto" w:fill="156082" w:themeFill="accent1"/>
          </w:tcPr>
          <w:p w14:paraId="7E191E20" w14:textId="67700311" w:rsidR="00DE0124" w:rsidRDefault="006D115F" w:rsidP="00DE0124">
            <w:pPr>
              <w:spacing w:after="0"/>
              <w:jc w:val="center"/>
              <w:rPr>
                <w:rFonts w:eastAsia="Times New Roman" w:cs="Arial"/>
                <w:b/>
                <w:bCs/>
                <w:color w:val="FFFFFF"/>
                <w:sz w:val="20"/>
                <w:szCs w:val="20"/>
              </w:rPr>
            </w:pPr>
            <w:r>
              <w:rPr>
                <w:rFonts w:eastAsia="Times New Roman" w:cs="Arial"/>
                <w:b/>
                <w:bCs/>
                <w:color w:val="FFFFFF"/>
                <w:sz w:val="20"/>
                <w:szCs w:val="20"/>
              </w:rPr>
              <w:t>Intake from AGTHE98</w:t>
            </w:r>
            <w:r w:rsidR="00A904FB">
              <w:rPr>
                <w:rFonts w:eastAsia="Times New Roman" w:cs="Arial"/>
                <w:b/>
                <w:bCs/>
                <w:color w:val="FFFFFF"/>
                <w:sz w:val="20"/>
                <w:szCs w:val="20"/>
              </w:rPr>
              <w:t>^</w:t>
            </w:r>
          </w:p>
          <w:p w14:paraId="5762A20E" w14:textId="77777777" w:rsidR="006D115F" w:rsidRDefault="006D115F" w:rsidP="006D115F">
            <w:pPr>
              <w:spacing w:after="0"/>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1701" w:type="dxa"/>
            <w:shd w:val="clear" w:color="auto" w:fill="005F85"/>
          </w:tcPr>
          <w:p w14:paraId="7DEFC55B" w14:textId="77777777" w:rsidR="006D115F" w:rsidRDefault="006D115F" w:rsidP="006D115F">
            <w:pPr>
              <w:spacing w:after="0"/>
              <w:jc w:val="center"/>
              <w:rPr>
                <w:rFonts w:eastAsia="Times New Roman" w:cs="Arial"/>
                <w:b/>
                <w:bCs/>
                <w:color w:val="FFFFFF"/>
                <w:sz w:val="20"/>
                <w:szCs w:val="20"/>
              </w:rPr>
            </w:pPr>
            <w:r>
              <w:rPr>
                <w:rFonts w:eastAsia="Times New Roman" w:cs="Arial"/>
                <w:b/>
                <w:bCs/>
                <w:color w:val="FFFFFF"/>
                <w:sz w:val="20"/>
                <w:szCs w:val="20"/>
              </w:rPr>
              <w:t>Intake f</w:t>
            </w:r>
            <w:r w:rsidRPr="006A14E9">
              <w:rPr>
                <w:rFonts w:eastAsia="Times New Roman" w:cs="Arial"/>
                <w:b/>
                <w:bCs/>
                <w:color w:val="FFFFFF"/>
                <w:sz w:val="20"/>
                <w:szCs w:val="20"/>
              </w:rPr>
              <w:t xml:space="preserve">oundation diets </w:t>
            </w:r>
            <w:r>
              <w:rPr>
                <w:rFonts w:eastAsia="Times New Roman" w:cs="Arial"/>
                <w:b/>
                <w:bCs/>
                <w:color w:val="FFFFFF"/>
                <w:sz w:val="20"/>
                <w:szCs w:val="20"/>
              </w:rPr>
              <w:t>–</w:t>
            </w:r>
            <w:r w:rsidRPr="006A14E9">
              <w:rPr>
                <w:rFonts w:eastAsia="Times New Roman" w:cs="Arial"/>
                <w:b/>
                <w:bCs/>
                <w:color w:val="FFFFFF"/>
                <w:sz w:val="20"/>
                <w:szCs w:val="20"/>
              </w:rPr>
              <w:t xml:space="preserve"> overall</w:t>
            </w:r>
          </w:p>
          <w:p w14:paraId="72731ED4" w14:textId="77777777" w:rsidR="006D115F" w:rsidRDefault="006D115F" w:rsidP="006D115F">
            <w:pPr>
              <w:spacing w:after="0"/>
              <w:jc w:val="center"/>
              <w:rPr>
                <w:rFonts w:eastAsia="Times New Roman" w:cs="Arial"/>
                <w:b/>
                <w:bCs/>
                <w:color w:val="FFFFFF"/>
                <w:sz w:val="20"/>
                <w:szCs w:val="20"/>
              </w:rPr>
            </w:pPr>
            <w:r>
              <w:rPr>
                <w:rFonts w:eastAsia="Times New Roman" w:cs="Arial"/>
                <w:b/>
                <w:bCs/>
                <w:color w:val="FFFFFF"/>
                <w:sz w:val="20"/>
                <w:szCs w:val="20"/>
              </w:rPr>
              <w:t>(mg/day)</w:t>
            </w:r>
          </w:p>
        </w:tc>
        <w:tc>
          <w:tcPr>
            <w:tcW w:w="2126" w:type="dxa"/>
            <w:shd w:val="clear" w:color="auto" w:fill="005F85"/>
          </w:tcPr>
          <w:p w14:paraId="58C24BC8" w14:textId="34B23F71" w:rsidR="006D115F" w:rsidRDefault="006D115F" w:rsidP="006D115F">
            <w:pPr>
              <w:spacing w:after="0"/>
              <w:jc w:val="center"/>
              <w:rPr>
                <w:rFonts w:eastAsia="Times New Roman" w:cs="Arial"/>
                <w:b/>
                <w:bCs/>
                <w:color w:val="FFFFFF"/>
                <w:sz w:val="20"/>
                <w:szCs w:val="20"/>
              </w:rPr>
            </w:pPr>
            <w:r>
              <w:rPr>
                <w:rFonts w:eastAsia="Times New Roman" w:cs="Arial"/>
                <w:b/>
                <w:bCs/>
                <w:color w:val="FFFFFF"/>
                <w:sz w:val="20"/>
                <w:szCs w:val="20"/>
              </w:rPr>
              <w:t>7 day total diets - mid energy level</w:t>
            </w:r>
          </w:p>
        </w:tc>
        <w:tc>
          <w:tcPr>
            <w:tcW w:w="2126" w:type="dxa"/>
            <w:shd w:val="clear" w:color="auto" w:fill="005F85"/>
          </w:tcPr>
          <w:p w14:paraId="30E21205" w14:textId="3538B09C" w:rsidR="006D115F" w:rsidRDefault="006D115F" w:rsidP="006D115F">
            <w:pPr>
              <w:spacing w:after="0"/>
              <w:jc w:val="center"/>
              <w:rPr>
                <w:rFonts w:eastAsia="Times New Roman" w:cs="Arial"/>
                <w:b/>
                <w:bCs/>
                <w:color w:val="FFFFFF"/>
                <w:sz w:val="20"/>
                <w:szCs w:val="20"/>
              </w:rPr>
            </w:pPr>
            <w:r>
              <w:rPr>
                <w:rFonts w:eastAsia="Times New Roman" w:cs="Arial"/>
                <w:b/>
                <w:bCs/>
                <w:color w:val="FFFFFF"/>
                <w:sz w:val="20"/>
                <w:szCs w:val="20"/>
              </w:rPr>
              <w:t>7 day total diets - high energy level</w:t>
            </w:r>
          </w:p>
        </w:tc>
      </w:tr>
      <w:tr w:rsidR="006D115F" w:rsidRPr="006A14E9" w14:paraId="456B449D" w14:textId="5F05FC80" w:rsidTr="00AC0FF6">
        <w:tc>
          <w:tcPr>
            <w:tcW w:w="1980" w:type="dxa"/>
          </w:tcPr>
          <w:p w14:paraId="55AF0DB6" w14:textId="077674BE" w:rsidR="006D115F" w:rsidRPr="006A14E9" w:rsidRDefault="006D115F" w:rsidP="006D115F">
            <w:pPr>
              <w:spacing w:after="0"/>
              <w:ind w:right="-1346"/>
              <w:rPr>
                <w:rFonts w:eastAsia="Times New Roman" w:cs="Arial"/>
                <w:sz w:val="20"/>
                <w:szCs w:val="20"/>
              </w:rPr>
            </w:pPr>
            <w:r>
              <w:rPr>
                <w:rFonts w:eastAsia="Times New Roman" w:cs="Arial"/>
                <w:sz w:val="20"/>
                <w:szCs w:val="20"/>
              </w:rPr>
              <w:t>14-18 yr</w:t>
            </w:r>
          </w:p>
        </w:tc>
        <w:tc>
          <w:tcPr>
            <w:tcW w:w="1701" w:type="dxa"/>
            <w:vMerge w:val="restart"/>
            <w:vAlign w:val="center"/>
          </w:tcPr>
          <w:p w14:paraId="37ADD729" w14:textId="58BA7D2F" w:rsidR="006D115F" w:rsidRPr="00373F6D" w:rsidRDefault="006D115F" w:rsidP="006D115F">
            <w:pPr>
              <w:spacing w:after="0"/>
              <w:ind w:right="38"/>
              <w:jc w:val="center"/>
              <w:rPr>
                <w:rFonts w:eastAsia="Times New Roman" w:cs="Arial"/>
                <w:sz w:val="20"/>
                <w:szCs w:val="20"/>
              </w:rPr>
            </w:pPr>
            <w:r w:rsidRPr="00373F6D">
              <w:rPr>
                <w:rFonts w:eastAsia="Times New Roman" w:cs="Arial"/>
                <w:sz w:val="20"/>
                <w:szCs w:val="20"/>
              </w:rPr>
              <w:t>1059</w:t>
            </w:r>
          </w:p>
        </w:tc>
        <w:tc>
          <w:tcPr>
            <w:tcW w:w="1984" w:type="dxa"/>
            <w:vMerge w:val="restart"/>
            <w:vAlign w:val="center"/>
          </w:tcPr>
          <w:p w14:paraId="232403C8" w14:textId="0E03B214" w:rsidR="006D115F" w:rsidRPr="00383485" w:rsidRDefault="006D115F" w:rsidP="006D115F">
            <w:pPr>
              <w:spacing w:after="0"/>
              <w:jc w:val="center"/>
              <w:rPr>
                <w:rFonts w:eastAsia="Times New Roman" w:cs="Arial"/>
                <w:sz w:val="20"/>
                <w:szCs w:val="20"/>
              </w:rPr>
            </w:pPr>
            <w:r w:rsidRPr="00383485">
              <w:rPr>
                <w:rFonts w:eastAsia="Times New Roman" w:cs="Arial"/>
                <w:sz w:val="20"/>
                <w:szCs w:val="20"/>
              </w:rPr>
              <w:t>1545</w:t>
            </w:r>
            <w:r>
              <w:rPr>
                <w:rFonts w:eastAsia="Times New Roman" w:cs="Arial"/>
                <w:sz w:val="20"/>
                <w:szCs w:val="20"/>
              </w:rPr>
              <w:t xml:space="preserve"> to</w:t>
            </w:r>
            <w:r w:rsidRPr="00383485">
              <w:rPr>
                <w:rFonts w:eastAsia="Times New Roman" w:cs="Arial"/>
                <w:sz w:val="20"/>
                <w:szCs w:val="20"/>
              </w:rPr>
              <w:t xml:space="preserve"> 192</w:t>
            </w:r>
            <w:r w:rsidR="0087718C">
              <w:rPr>
                <w:rFonts w:eastAsia="Times New Roman" w:cs="Arial"/>
                <w:sz w:val="20"/>
                <w:szCs w:val="20"/>
              </w:rPr>
              <w:t>9</w:t>
            </w:r>
          </w:p>
        </w:tc>
        <w:tc>
          <w:tcPr>
            <w:tcW w:w="1701" w:type="dxa"/>
            <w:shd w:val="clear" w:color="auto" w:fill="FAE2D5" w:themeFill="accent2" w:themeFillTint="33"/>
            <w:vAlign w:val="center"/>
          </w:tcPr>
          <w:p w14:paraId="37B1D8DD" w14:textId="72FF5C65" w:rsidR="006D115F" w:rsidRPr="00135FA0" w:rsidRDefault="006D115F" w:rsidP="006D115F">
            <w:pPr>
              <w:spacing w:after="0"/>
              <w:ind w:right="-115"/>
              <w:jc w:val="center"/>
              <w:rPr>
                <w:rFonts w:eastAsia="Times New Roman" w:cs="Arial"/>
                <w:sz w:val="20"/>
                <w:szCs w:val="20"/>
              </w:rPr>
            </w:pPr>
            <w:r w:rsidRPr="009F72AA">
              <w:rPr>
                <w:rFonts w:eastAsia="Times New Roman" w:cs="Arial"/>
                <w:sz w:val="20"/>
                <w:szCs w:val="20"/>
              </w:rPr>
              <w:t>204</w:t>
            </w:r>
            <w:r w:rsidR="0087718C">
              <w:rPr>
                <w:rFonts w:eastAsia="Times New Roman" w:cs="Arial"/>
                <w:sz w:val="20"/>
                <w:szCs w:val="20"/>
              </w:rPr>
              <w:t>1</w:t>
            </w:r>
          </w:p>
        </w:tc>
        <w:tc>
          <w:tcPr>
            <w:tcW w:w="2126" w:type="dxa"/>
            <w:shd w:val="clear" w:color="auto" w:fill="FAE2D5" w:themeFill="accent2" w:themeFillTint="33"/>
          </w:tcPr>
          <w:p w14:paraId="03B493F8" w14:textId="0EFD56E0" w:rsidR="006D115F" w:rsidRPr="009F72AA" w:rsidRDefault="005F6B5A" w:rsidP="006D115F">
            <w:pPr>
              <w:spacing w:after="0"/>
              <w:ind w:right="-115"/>
              <w:jc w:val="center"/>
              <w:rPr>
                <w:rFonts w:eastAsia="Times New Roman" w:cs="Arial"/>
                <w:sz w:val="20"/>
                <w:szCs w:val="20"/>
              </w:rPr>
            </w:pPr>
            <w:r>
              <w:rPr>
                <w:rFonts w:eastAsia="Times New Roman" w:cs="Arial"/>
                <w:sz w:val="20"/>
                <w:szCs w:val="20"/>
              </w:rPr>
              <w:t>2332</w:t>
            </w:r>
            <w:r w:rsidR="00847070">
              <w:rPr>
                <w:rFonts w:eastAsia="Times New Roman" w:cs="Arial"/>
                <w:sz w:val="20"/>
                <w:szCs w:val="20"/>
              </w:rPr>
              <w:t xml:space="preserve"> to 2540</w:t>
            </w:r>
          </w:p>
        </w:tc>
        <w:tc>
          <w:tcPr>
            <w:tcW w:w="2126" w:type="dxa"/>
            <w:shd w:val="clear" w:color="auto" w:fill="FAE2D5" w:themeFill="accent2" w:themeFillTint="33"/>
          </w:tcPr>
          <w:p w14:paraId="419D3FED" w14:textId="1AC3FE0F" w:rsidR="006D115F" w:rsidRPr="009F72AA" w:rsidRDefault="00847070" w:rsidP="006D115F">
            <w:pPr>
              <w:spacing w:after="0"/>
              <w:ind w:right="-115"/>
              <w:jc w:val="center"/>
              <w:rPr>
                <w:rFonts w:eastAsia="Times New Roman" w:cs="Arial"/>
                <w:sz w:val="20"/>
                <w:szCs w:val="20"/>
              </w:rPr>
            </w:pPr>
            <w:r>
              <w:rPr>
                <w:rFonts w:eastAsia="Times New Roman" w:cs="Arial"/>
                <w:sz w:val="20"/>
                <w:szCs w:val="20"/>
              </w:rPr>
              <w:t>2561</w:t>
            </w:r>
            <w:r w:rsidR="00502623">
              <w:rPr>
                <w:rFonts w:eastAsia="Times New Roman" w:cs="Arial"/>
                <w:sz w:val="20"/>
                <w:szCs w:val="20"/>
              </w:rPr>
              <w:t xml:space="preserve"> to 2810</w:t>
            </w:r>
          </w:p>
        </w:tc>
      </w:tr>
      <w:tr w:rsidR="00A33831" w:rsidRPr="006A14E9" w14:paraId="3119F599" w14:textId="0BAC35E2" w:rsidTr="00E72753">
        <w:tc>
          <w:tcPr>
            <w:tcW w:w="1980" w:type="dxa"/>
          </w:tcPr>
          <w:p w14:paraId="43544221" w14:textId="77777777" w:rsidR="00A33831" w:rsidRPr="006A14E9" w:rsidRDefault="00A33831" w:rsidP="006D115F">
            <w:pPr>
              <w:spacing w:after="0"/>
              <w:ind w:right="-1346"/>
              <w:rPr>
                <w:rFonts w:eastAsia="Times New Roman" w:cs="Arial"/>
                <w:sz w:val="20"/>
                <w:szCs w:val="20"/>
              </w:rPr>
            </w:pPr>
            <w:r w:rsidRPr="006A14E9">
              <w:rPr>
                <w:rFonts w:eastAsia="Times New Roman" w:cs="Arial"/>
                <w:sz w:val="20"/>
                <w:szCs w:val="20"/>
              </w:rPr>
              <w:t>19-30 yr</w:t>
            </w:r>
          </w:p>
        </w:tc>
        <w:tc>
          <w:tcPr>
            <w:tcW w:w="1701" w:type="dxa"/>
            <w:vMerge/>
            <w:vAlign w:val="center"/>
          </w:tcPr>
          <w:p w14:paraId="1279D33E" w14:textId="53F1E28F" w:rsidR="00A33831" w:rsidRPr="006A14E9" w:rsidRDefault="00A33831" w:rsidP="006D115F">
            <w:pPr>
              <w:spacing w:after="0"/>
              <w:ind w:right="38"/>
              <w:jc w:val="center"/>
              <w:rPr>
                <w:rFonts w:eastAsia="Times New Roman" w:cs="Arial"/>
                <w:sz w:val="20"/>
                <w:szCs w:val="20"/>
              </w:rPr>
            </w:pPr>
          </w:p>
        </w:tc>
        <w:tc>
          <w:tcPr>
            <w:tcW w:w="1984" w:type="dxa"/>
            <w:vMerge/>
            <w:vAlign w:val="center"/>
          </w:tcPr>
          <w:p w14:paraId="66A9B089" w14:textId="1B67611A" w:rsidR="00A33831" w:rsidRPr="006A14E9" w:rsidRDefault="00A33831" w:rsidP="006D115F">
            <w:pPr>
              <w:spacing w:after="0"/>
              <w:jc w:val="center"/>
              <w:rPr>
                <w:rFonts w:eastAsia="Times New Roman" w:cs="Arial"/>
                <w:sz w:val="20"/>
                <w:szCs w:val="20"/>
              </w:rPr>
            </w:pPr>
          </w:p>
        </w:tc>
        <w:tc>
          <w:tcPr>
            <w:tcW w:w="1701" w:type="dxa"/>
            <w:vAlign w:val="center"/>
          </w:tcPr>
          <w:p w14:paraId="16E66EC2" w14:textId="70257570" w:rsidR="00A33831" w:rsidRPr="006A14E9" w:rsidRDefault="00A33831" w:rsidP="006D115F">
            <w:pPr>
              <w:spacing w:after="0"/>
              <w:ind w:right="-115"/>
              <w:jc w:val="center"/>
              <w:rPr>
                <w:rFonts w:eastAsia="Times New Roman" w:cs="Arial"/>
                <w:sz w:val="20"/>
                <w:szCs w:val="20"/>
              </w:rPr>
            </w:pPr>
            <w:r w:rsidRPr="00135FA0">
              <w:rPr>
                <w:rFonts w:eastAsia="Times New Roman" w:cs="Arial"/>
                <w:sz w:val="20"/>
                <w:szCs w:val="20"/>
              </w:rPr>
              <w:t>1783</w:t>
            </w:r>
          </w:p>
        </w:tc>
        <w:tc>
          <w:tcPr>
            <w:tcW w:w="2126" w:type="dxa"/>
            <w:vMerge w:val="restart"/>
            <w:shd w:val="clear" w:color="auto" w:fill="FAE2D5" w:themeFill="accent2" w:themeFillTint="33"/>
          </w:tcPr>
          <w:p w14:paraId="689BDF03" w14:textId="4B3EC525" w:rsidR="00A33831" w:rsidRPr="00135FA0" w:rsidRDefault="00A33831" w:rsidP="00A33831">
            <w:pPr>
              <w:spacing w:after="0"/>
              <w:ind w:right="-115"/>
              <w:jc w:val="center"/>
              <w:rPr>
                <w:rFonts w:eastAsia="Times New Roman" w:cs="Arial"/>
                <w:sz w:val="20"/>
                <w:szCs w:val="20"/>
              </w:rPr>
            </w:pPr>
            <w:r>
              <w:rPr>
                <w:rFonts w:eastAsia="Times New Roman" w:cs="Arial"/>
                <w:sz w:val="20"/>
                <w:szCs w:val="20"/>
              </w:rPr>
              <w:t>2013 to 2173</w:t>
            </w:r>
          </w:p>
        </w:tc>
        <w:tc>
          <w:tcPr>
            <w:tcW w:w="2126" w:type="dxa"/>
            <w:vMerge w:val="restart"/>
            <w:shd w:val="clear" w:color="auto" w:fill="FAE2D5" w:themeFill="accent2" w:themeFillTint="33"/>
          </w:tcPr>
          <w:p w14:paraId="3EC773F8" w14:textId="473B7690" w:rsidR="00F30116" w:rsidRPr="00135FA0" w:rsidRDefault="00A33831" w:rsidP="00E37379">
            <w:pPr>
              <w:tabs>
                <w:tab w:val="center" w:pos="1012"/>
              </w:tabs>
              <w:spacing w:after="0"/>
              <w:ind w:right="-115"/>
              <w:jc w:val="center"/>
              <w:rPr>
                <w:rFonts w:eastAsia="Times New Roman" w:cs="Arial"/>
                <w:sz w:val="20"/>
                <w:szCs w:val="20"/>
              </w:rPr>
            </w:pPr>
            <w:r>
              <w:rPr>
                <w:rFonts w:eastAsia="Times New Roman" w:cs="Arial"/>
                <w:sz w:val="20"/>
                <w:szCs w:val="20"/>
              </w:rPr>
              <w:t>2243</w:t>
            </w:r>
            <w:r w:rsidR="0087718C">
              <w:rPr>
                <w:rFonts w:eastAsia="Times New Roman" w:cs="Arial"/>
                <w:sz w:val="20"/>
                <w:szCs w:val="20"/>
              </w:rPr>
              <w:t xml:space="preserve"> to </w:t>
            </w:r>
            <w:r w:rsidR="00F30116">
              <w:rPr>
                <w:rFonts w:eastAsia="Times New Roman" w:cs="Arial"/>
                <w:sz w:val="20"/>
                <w:szCs w:val="20"/>
              </w:rPr>
              <w:t>2644</w:t>
            </w:r>
          </w:p>
        </w:tc>
      </w:tr>
      <w:tr w:rsidR="00A33831" w:rsidRPr="006A14E9" w14:paraId="726CAFD7" w14:textId="02106CC9" w:rsidTr="00E72753">
        <w:tc>
          <w:tcPr>
            <w:tcW w:w="1980" w:type="dxa"/>
          </w:tcPr>
          <w:p w14:paraId="4BEFBD08" w14:textId="77777777" w:rsidR="00A33831" w:rsidRPr="006A14E9" w:rsidRDefault="00A33831" w:rsidP="006D115F">
            <w:pPr>
              <w:spacing w:after="0"/>
              <w:ind w:right="-1346"/>
              <w:rPr>
                <w:rFonts w:eastAsia="Times New Roman" w:cs="Arial"/>
                <w:sz w:val="20"/>
                <w:szCs w:val="20"/>
              </w:rPr>
            </w:pPr>
            <w:r w:rsidRPr="006A14E9">
              <w:rPr>
                <w:rFonts w:eastAsia="Times New Roman" w:cs="Arial"/>
                <w:sz w:val="20"/>
                <w:szCs w:val="20"/>
              </w:rPr>
              <w:t>31-50 yr</w:t>
            </w:r>
          </w:p>
        </w:tc>
        <w:tc>
          <w:tcPr>
            <w:tcW w:w="1701" w:type="dxa"/>
            <w:vMerge/>
            <w:vAlign w:val="center"/>
          </w:tcPr>
          <w:p w14:paraId="4733BC90" w14:textId="77777777" w:rsidR="00A33831" w:rsidRPr="006A14E9" w:rsidRDefault="00A33831" w:rsidP="006D115F">
            <w:pPr>
              <w:spacing w:after="0"/>
              <w:ind w:right="38"/>
              <w:jc w:val="center"/>
              <w:rPr>
                <w:rFonts w:eastAsia="Times New Roman" w:cs="Arial"/>
                <w:sz w:val="20"/>
                <w:szCs w:val="20"/>
              </w:rPr>
            </w:pPr>
          </w:p>
        </w:tc>
        <w:tc>
          <w:tcPr>
            <w:tcW w:w="1984" w:type="dxa"/>
            <w:vMerge/>
            <w:vAlign w:val="center"/>
          </w:tcPr>
          <w:p w14:paraId="26D5C64B" w14:textId="77777777" w:rsidR="00A33831" w:rsidRPr="006A14E9" w:rsidRDefault="00A33831" w:rsidP="006D115F">
            <w:pPr>
              <w:spacing w:after="0"/>
              <w:ind w:right="-115"/>
              <w:jc w:val="center"/>
              <w:rPr>
                <w:rFonts w:eastAsia="Times New Roman" w:cs="Arial"/>
                <w:sz w:val="20"/>
                <w:szCs w:val="20"/>
              </w:rPr>
            </w:pPr>
          </w:p>
        </w:tc>
        <w:tc>
          <w:tcPr>
            <w:tcW w:w="1701" w:type="dxa"/>
            <w:vAlign w:val="center"/>
          </w:tcPr>
          <w:p w14:paraId="7224E6E3" w14:textId="3F223B63" w:rsidR="00A33831" w:rsidRPr="006A14E9" w:rsidRDefault="00A33831" w:rsidP="006D115F">
            <w:pPr>
              <w:spacing w:after="0"/>
              <w:ind w:right="-115"/>
              <w:jc w:val="center"/>
              <w:rPr>
                <w:rFonts w:eastAsia="Times New Roman" w:cs="Arial"/>
                <w:sz w:val="20"/>
                <w:szCs w:val="20"/>
              </w:rPr>
            </w:pPr>
            <w:r w:rsidRPr="0020266E">
              <w:rPr>
                <w:rFonts w:eastAsia="Times New Roman" w:cs="Arial"/>
                <w:sz w:val="20"/>
                <w:szCs w:val="20"/>
              </w:rPr>
              <w:t>176</w:t>
            </w:r>
            <w:r w:rsidR="0087718C">
              <w:rPr>
                <w:rFonts w:eastAsia="Times New Roman" w:cs="Arial"/>
                <w:sz w:val="20"/>
                <w:szCs w:val="20"/>
              </w:rPr>
              <w:t>2</w:t>
            </w:r>
          </w:p>
        </w:tc>
        <w:tc>
          <w:tcPr>
            <w:tcW w:w="2126" w:type="dxa"/>
            <w:vMerge/>
            <w:shd w:val="clear" w:color="auto" w:fill="FAE2D5" w:themeFill="accent2" w:themeFillTint="33"/>
          </w:tcPr>
          <w:p w14:paraId="4B29FA7D" w14:textId="77777777" w:rsidR="00A33831" w:rsidRPr="0020266E" w:rsidRDefault="00A33831" w:rsidP="006D115F">
            <w:pPr>
              <w:spacing w:after="0"/>
              <w:ind w:right="-115"/>
              <w:jc w:val="center"/>
              <w:rPr>
                <w:rFonts w:eastAsia="Times New Roman" w:cs="Arial"/>
                <w:sz w:val="20"/>
                <w:szCs w:val="20"/>
              </w:rPr>
            </w:pPr>
          </w:p>
        </w:tc>
        <w:tc>
          <w:tcPr>
            <w:tcW w:w="2126" w:type="dxa"/>
            <w:vMerge/>
            <w:shd w:val="clear" w:color="auto" w:fill="FAE2D5" w:themeFill="accent2" w:themeFillTint="33"/>
          </w:tcPr>
          <w:p w14:paraId="247B7258" w14:textId="77777777" w:rsidR="00A33831" w:rsidRPr="0020266E" w:rsidRDefault="00A33831" w:rsidP="006D115F">
            <w:pPr>
              <w:spacing w:after="0"/>
              <w:ind w:right="-115"/>
              <w:jc w:val="center"/>
              <w:rPr>
                <w:rFonts w:eastAsia="Times New Roman" w:cs="Arial"/>
                <w:sz w:val="20"/>
                <w:szCs w:val="20"/>
              </w:rPr>
            </w:pPr>
          </w:p>
        </w:tc>
      </w:tr>
    </w:tbl>
    <w:p w14:paraId="605FE3B3" w14:textId="77777777" w:rsidR="00A904FB" w:rsidRDefault="00A904FB" w:rsidP="00A904FB">
      <w:pPr>
        <w:spacing w:before="120"/>
        <w:ind w:right="172"/>
        <w:rPr>
          <w:rFonts w:eastAsia="Times New Roman" w:cs="Arial"/>
          <w:sz w:val="20"/>
          <w:szCs w:val="20"/>
        </w:rPr>
      </w:pPr>
      <w:r w:rsidRPr="0019392A">
        <w:rPr>
          <w:rFonts w:eastAsia="Times New Roman" w:cs="Arial"/>
          <w:sz w:val="20"/>
          <w:szCs w:val="20"/>
        </w:rPr>
        <w:t>^AGTHE98 age groupings were 19-60y and 60y+</w:t>
      </w:r>
    </w:p>
    <w:p w14:paraId="3906F33B" w14:textId="77777777" w:rsidR="00827D33" w:rsidRDefault="00827D33">
      <w:pPr>
        <w:rPr>
          <w:rFonts w:eastAsiaTheme="majorEastAsia" w:cstheme="majorBidi"/>
          <w:color w:val="0F4761" w:themeColor="accent1" w:themeShade="BF"/>
          <w:sz w:val="24"/>
          <w:szCs w:val="28"/>
        </w:rPr>
      </w:pPr>
      <w:r>
        <w:br w:type="page"/>
      </w:r>
    </w:p>
    <w:p w14:paraId="4062CC96" w14:textId="3656BFC0" w:rsidR="0056711E" w:rsidRPr="008C7C91" w:rsidRDefault="0056711E" w:rsidP="0056711E">
      <w:pPr>
        <w:pStyle w:val="Heading3"/>
      </w:pPr>
      <w:bookmarkStart w:id="100" w:name="_Toc234960876"/>
      <w:r w:rsidRPr="008C7C91">
        <w:lastRenderedPageBreak/>
        <w:t>Children and adolescents</w:t>
      </w:r>
      <w:bookmarkEnd w:id="100"/>
    </w:p>
    <w:p w14:paraId="298AB31E" w14:textId="4C38F0F6" w:rsidR="001779F8" w:rsidRPr="001779F8" w:rsidRDefault="00AB1BDA" w:rsidP="008954EC">
      <w:pPr>
        <w:spacing w:line="276" w:lineRule="auto"/>
      </w:pPr>
      <w:r w:rsidRPr="008C7C91">
        <w:t xml:space="preserve">Modelling for 7-day Total Diets suggests that intakes of sodium less than the </w:t>
      </w:r>
      <w:r w:rsidR="00584DB5" w:rsidRPr="008C7C91">
        <w:t xml:space="preserve">current </w:t>
      </w:r>
      <w:r w:rsidRPr="008C7C91">
        <w:t xml:space="preserve">UL </w:t>
      </w:r>
      <w:r w:rsidR="00687D15" w:rsidRPr="008C7C91">
        <w:t xml:space="preserve">are achievable – although only just - for </w:t>
      </w:r>
      <w:r w:rsidR="00A904FB" w:rsidRPr="008C7C91">
        <w:t xml:space="preserve">most </w:t>
      </w:r>
      <w:r w:rsidR="00687D15" w:rsidRPr="008C7C91">
        <w:t>c</w:t>
      </w:r>
      <w:r w:rsidRPr="008C7C91">
        <w:t>hildren with light to moderate activity</w:t>
      </w:r>
      <w:r w:rsidR="00A904FB" w:rsidRPr="008C7C91">
        <w:t>, except for those aged 2 to 3 years</w:t>
      </w:r>
      <w:r w:rsidR="00687D15" w:rsidRPr="008C7C91">
        <w:t>. However, f</w:t>
      </w:r>
      <w:r w:rsidR="0086646F" w:rsidRPr="008C7C91">
        <w:t>or children with the highest energy needs</w:t>
      </w:r>
      <w:r w:rsidR="00687D15" w:rsidRPr="008C7C91">
        <w:t xml:space="preserve"> modelled intakes </w:t>
      </w:r>
      <w:r w:rsidR="00584DB5" w:rsidRPr="008C7C91">
        <w:t xml:space="preserve">from 7-day Total Diets </w:t>
      </w:r>
      <w:r w:rsidR="0086646F" w:rsidRPr="008C7C91">
        <w:t xml:space="preserve">exceed the </w:t>
      </w:r>
      <w:r w:rsidR="006E458D" w:rsidRPr="008C7C91">
        <w:t xml:space="preserve">current </w:t>
      </w:r>
      <w:r w:rsidR="0086646F" w:rsidRPr="008C7C91">
        <w:t xml:space="preserve">UL for all children except those aged 9-11 </w:t>
      </w:r>
      <w:r w:rsidR="008662AE" w:rsidRPr="008C7C91">
        <w:fldChar w:fldCharType="begin"/>
      </w:r>
      <w:r w:rsidR="006E458D" w:rsidRPr="008C7C91">
        <w:instrText xml:space="preserve"> ADDIN EN.CITE &lt;EndNote&gt;&lt;Cite ExcludeAuth="1"&gt;&lt;Author&gt;National Health and Medical Research Council&lt;/Author&gt;&lt;Year&gt;2011&lt;/Year&gt;&lt;RecNum&gt;4683&lt;/RecNum&gt;&lt;Prefix&gt;NHMRC`, &lt;/Prefix&gt;&lt;DisplayText&gt;(NHMRC, 2011)&lt;/DisplayText&gt;&lt;record&gt;&lt;rec-number&gt;4683&lt;/rec-number&gt;&lt;foreign-keys&gt;&lt;key app="EN" db-id="wwsdv2wwp29fenerv0kx5tw9zxtx2fdrprx2" timestamp="1776057437"&gt;4683&lt;/key&gt;&lt;/foreign-keys&gt;&lt;ref-type name="Generic"&gt;13&lt;/ref-type&gt;&lt;contributors&gt;&lt;authors&gt;&lt;author&gt;National Health and Medical Research Council, NHMRC&lt;/author&gt;&lt;/authors&gt;&lt;secondary-authors&gt;&lt;author&gt;National Health and Medical Research Council, NHMRC&lt;/author&gt;&lt;/secondary-authors&gt;&lt;/contributors&gt;&lt;titles&gt;&lt;title&gt;A Modelling System to Inform the Revision of the Australian Guide to Healthy Eating&lt;/title&gt;&lt;/titles&gt;&lt;dates&gt;&lt;year&gt;2011&lt;/year&gt;&lt;/dates&gt;&lt;pub-location&gt;Canberra, ACT&lt;/pub-location&gt;&lt;urls&gt;&lt;/urls&gt;&lt;/record&gt;&lt;/Cite&gt;&lt;/EndNote&gt;</w:instrText>
      </w:r>
      <w:r w:rsidR="008662AE" w:rsidRPr="008C7C91">
        <w:fldChar w:fldCharType="separate"/>
      </w:r>
      <w:r w:rsidR="006E458D" w:rsidRPr="008C7C91">
        <w:rPr>
          <w:noProof/>
        </w:rPr>
        <w:t>(NHMRC, 2011)</w:t>
      </w:r>
      <w:r w:rsidR="008662AE" w:rsidRPr="008C7C91">
        <w:fldChar w:fldCharType="end"/>
      </w:r>
      <w:r w:rsidR="0086646F" w:rsidRPr="008C7C91">
        <w:t>.</w:t>
      </w:r>
      <w:r w:rsidR="006E458D" w:rsidRPr="008C7C91">
        <w:t xml:space="preserve"> </w:t>
      </w:r>
      <w:r w:rsidR="001D7502" w:rsidRPr="008C7C91">
        <w:t xml:space="preserve">For diets </w:t>
      </w:r>
      <w:r w:rsidR="00AF4688" w:rsidRPr="008C7C91">
        <w:t>with cereal</w:t>
      </w:r>
      <w:r w:rsidR="00AF4688">
        <w:t xml:space="preserve"> intakes in the </w:t>
      </w:r>
      <w:r w:rsidR="001D7502">
        <w:t xml:space="preserve">upper range, all children had </w:t>
      </w:r>
      <w:r w:rsidR="00AF4688">
        <w:t xml:space="preserve">estimated sodium </w:t>
      </w:r>
      <w:r w:rsidR="001D7502">
        <w:t>intakes above the age-relevant UL.</w:t>
      </w:r>
    </w:p>
    <w:p w14:paraId="46E0C9AE" w14:textId="1A21EE86" w:rsidR="00425FE9" w:rsidRDefault="00425FE9" w:rsidP="00425FE9">
      <w:pPr>
        <w:pStyle w:val="Caption"/>
        <w:keepNext/>
      </w:pPr>
      <w:bookmarkStart w:id="101" w:name="_Ref231317442"/>
      <w:r>
        <w:t xml:space="preserve">Table </w:t>
      </w:r>
      <w:r>
        <w:fldChar w:fldCharType="begin"/>
      </w:r>
      <w:r>
        <w:instrText>SEQ Table \* ARABIC</w:instrText>
      </w:r>
      <w:r>
        <w:fldChar w:fldCharType="separate"/>
      </w:r>
      <w:r w:rsidR="00B90577">
        <w:rPr>
          <w:noProof/>
        </w:rPr>
        <w:t>19</w:t>
      </w:r>
      <w:r>
        <w:fldChar w:fldCharType="end"/>
      </w:r>
      <w:bookmarkEnd w:id="101"/>
      <w:r>
        <w:t xml:space="preserve"> - </w:t>
      </w:r>
      <w:r w:rsidRPr="00C40B05">
        <w:t xml:space="preserve">Food modelling data – </w:t>
      </w:r>
      <w:r>
        <w:t>children and adolescents</w:t>
      </w:r>
      <w:r w:rsidRPr="00C40B05">
        <w:t xml:space="preserve"> (NHMRC, 2011)</w:t>
      </w:r>
    </w:p>
    <w:tbl>
      <w:tblPr>
        <w:tblStyle w:val="TableGrid2"/>
        <w:tblW w:w="13948" w:type="dxa"/>
        <w:tblLook w:val="04A0" w:firstRow="1" w:lastRow="0" w:firstColumn="1" w:lastColumn="0" w:noHBand="0" w:noVBand="1"/>
      </w:tblPr>
      <w:tblGrid>
        <w:gridCol w:w="1105"/>
        <w:gridCol w:w="1035"/>
        <w:gridCol w:w="1166"/>
        <w:gridCol w:w="764"/>
        <w:gridCol w:w="765"/>
        <w:gridCol w:w="765"/>
        <w:gridCol w:w="765"/>
        <w:gridCol w:w="766"/>
        <w:gridCol w:w="765"/>
        <w:gridCol w:w="765"/>
        <w:gridCol w:w="766"/>
        <w:gridCol w:w="1218"/>
        <w:gridCol w:w="1101"/>
        <w:gridCol w:w="1101"/>
        <w:gridCol w:w="1101"/>
      </w:tblGrid>
      <w:tr w:rsidR="00461E42" w:rsidRPr="000D2DF6" w14:paraId="2A9A976F" w14:textId="45B4F672">
        <w:tc>
          <w:tcPr>
            <w:tcW w:w="1118" w:type="dxa"/>
            <w:vMerge w:val="restart"/>
            <w:shd w:val="clear" w:color="auto" w:fill="005F85"/>
            <w:vAlign w:val="bottom"/>
          </w:tcPr>
          <w:p w14:paraId="5717A93F" w14:textId="51F6DE75" w:rsidR="00461E42" w:rsidRPr="000D2DF6" w:rsidRDefault="00461E42" w:rsidP="00403D85">
            <w:pPr>
              <w:spacing w:after="0"/>
              <w:ind w:left="-88" w:right="33"/>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Age group (years)</w:t>
            </w:r>
          </w:p>
        </w:tc>
        <w:tc>
          <w:tcPr>
            <w:tcW w:w="1037" w:type="dxa"/>
            <w:vMerge w:val="restart"/>
            <w:shd w:val="clear" w:color="auto" w:fill="005F85"/>
          </w:tcPr>
          <w:p w14:paraId="23B4064B" w14:textId="77777777" w:rsidR="00461E42" w:rsidRPr="000D2DF6" w:rsidRDefault="00461E42" w:rsidP="00403D85">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Core food groups^</w:t>
            </w:r>
          </w:p>
          <w:p w14:paraId="41C4B2A6" w14:textId="4C622790" w:rsidR="00461E42" w:rsidRPr="000D2DF6" w:rsidRDefault="00461E42" w:rsidP="00403D85">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1059" w:type="dxa"/>
            <w:vMerge w:val="restart"/>
            <w:shd w:val="clear" w:color="auto" w:fill="156082" w:themeFill="accent1"/>
          </w:tcPr>
          <w:p w14:paraId="05978BC8" w14:textId="1299BB33" w:rsidR="00461E42" w:rsidRPr="000D2DF6" w:rsidRDefault="00461E42" w:rsidP="00403D85">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Intake from AGTHE98</w:t>
            </w:r>
            <w:r w:rsidR="00DE0124">
              <w:rPr>
                <w:rFonts w:ascii="Aptos" w:eastAsia="Times New Roman" w:hAnsi="Aptos" w:cs="Arial"/>
                <w:b/>
                <w:bCs/>
                <w:color w:val="FFFFFF"/>
                <w:sz w:val="20"/>
                <w:szCs w:val="20"/>
              </w:rPr>
              <w:t>^</w:t>
            </w:r>
          </w:p>
          <w:p w14:paraId="32065F33" w14:textId="21DA1E65" w:rsidR="00461E42" w:rsidRPr="000D2DF6" w:rsidRDefault="00461E42" w:rsidP="00403D85">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6149" w:type="dxa"/>
            <w:gridSpan w:val="8"/>
            <w:shd w:val="clear" w:color="auto" w:fill="005F85"/>
          </w:tcPr>
          <w:p w14:paraId="637F6D8D" w14:textId="5FBC6D3B" w:rsidR="00461E42" w:rsidRPr="000D2DF6" w:rsidRDefault="00461E42">
            <w:pPr>
              <w:spacing w:after="0"/>
              <w:ind w:right="34"/>
              <w:jc w:val="center"/>
              <w:rPr>
                <w:rFonts w:ascii="Aptos" w:eastAsia="Times New Roman" w:hAnsi="Aptos" w:cs="Arial"/>
                <w:b/>
                <w:bCs/>
                <w:color w:val="FFFFFF"/>
                <w:sz w:val="20"/>
                <w:szCs w:val="20"/>
              </w:rPr>
            </w:pPr>
            <w:r>
              <w:rPr>
                <w:rFonts w:ascii="Aptos" w:eastAsia="Times New Roman" w:hAnsi="Aptos" w:cs="Arial"/>
                <w:b/>
                <w:bCs/>
                <w:color w:val="FFFFFF"/>
                <w:sz w:val="20"/>
                <w:szCs w:val="20"/>
              </w:rPr>
              <w:t>Foundation diets</w:t>
            </w:r>
          </w:p>
        </w:tc>
        <w:tc>
          <w:tcPr>
            <w:tcW w:w="4585" w:type="dxa"/>
            <w:gridSpan w:val="4"/>
            <w:shd w:val="clear" w:color="auto" w:fill="005F85"/>
          </w:tcPr>
          <w:p w14:paraId="4A5F4C0E" w14:textId="54B54066" w:rsidR="00461E42" w:rsidRDefault="00461E42">
            <w:pPr>
              <w:spacing w:after="0"/>
              <w:ind w:right="34"/>
              <w:jc w:val="center"/>
              <w:rPr>
                <w:rFonts w:ascii="Aptos" w:eastAsia="Times New Roman" w:hAnsi="Aptos" w:cs="Arial"/>
                <w:b/>
                <w:bCs/>
                <w:color w:val="FFFFFF"/>
                <w:sz w:val="20"/>
                <w:szCs w:val="20"/>
              </w:rPr>
            </w:pPr>
            <w:r>
              <w:rPr>
                <w:rFonts w:ascii="Aptos" w:eastAsia="Times New Roman" w:hAnsi="Aptos" w:cs="Arial"/>
                <w:b/>
                <w:bCs/>
                <w:color w:val="FFFFFF"/>
                <w:sz w:val="20"/>
                <w:szCs w:val="20"/>
              </w:rPr>
              <w:t>7-day Total Diet</w:t>
            </w:r>
          </w:p>
        </w:tc>
      </w:tr>
      <w:tr w:rsidR="00461E42" w:rsidRPr="000D2DF6" w14:paraId="3834D27E" w14:textId="423282A0">
        <w:tc>
          <w:tcPr>
            <w:tcW w:w="1118" w:type="dxa"/>
            <w:vMerge/>
            <w:shd w:val="clear" w:color="auto" w:fill="005F85"/>
            <w:vAlign w:val="bottom"/>
          </w:tcPr>
          <w:p w14:paraId="644E098A" w14:textId="0E87B44F" w:rsidR="00461E42" w:rsidRPr="000D2DF6" w:rsidRDefault="00461E42" w:rsidP="00403D85">
            <w:pPr>
              <w:spacing w:after="0"/>
              <w:ind w:left="-88" w:right="33"/>
              <w:jc w:val="center"/>
              <w:rPr>
                <w:rFonts w:ascii="Aptos" w:eastAsia="Times New Roman" w:hAnsi="Aptos" w:cs="Arial"/>
                <w:b/>
                <w:bCs/>
                <w:color w:val="FFFFFF"/>
                <w:sz w:val="20"/>
                <w:szCs w:val="20"/>
              </w:rPr>
            </w:pPr>
          </w:p>
        </w:tc>
        <w:tc>
          <w:tcPr>
            <w:tcW w:w="1037" w:type="dxa"/>
            <w:vMerge/>
            <w:shd w:val="clear" w:color="auto" w:fill="005F85"/>
          </w:tcPr>
          <w:p w14:paraId="089B985F" w14:textId="05725D8F" w:rsidR="00461E42" w:rsidRPr="000D2DF6" w:rsidRDefault="00461E42" w:rsidP="00403D85">
            <w:pPr>
              <w:spacing w:after="0"/>
              <w:jc w:val="center"/>
              <w:rPr>
                <w:rFonts w:ascii="Aptos" w:eastAsia="Times New Roman" w:hAnsi="Aptos" w:cs="Arial"/>
                <w:b/>
                <w:bCs/>
                <w:color w:val="FFFFFF"/>
                <w:sz w:val="20"/>
                <w:szCs w:val="20"/>
              </w:rPr>
            </w:pPr>
          </w:p>
        </w:tc>
        <w:tc>
          <w:tcPr>
            <w:tcW w:w="1059" w:type="dxa"/>
            <w:vMerge/>
            <w:shd w:val="clear" w:color="auto" w:fill="156082" w:themeFill="accent1"/>
          </w:tcPr>
          <w:p w14:paraId="13CAE481" w14:textId="795C1615" w:rsidR="00461E42" w:rsidRPr="000D2DF6" w:rsidRDefault="00461E42" w:rsidP="00403D85">
            <w:pPr>
              <w:spacing w:after="0"/>
              <w:jc w:val="center"/>
              <w:rPr>
                <w:rFonts w:ascii="Aptos" w:eastAsia="Times New Roman" w:hAnsi="Aptos" w:cs="Arial"/>
                <w:b/>
                <w:bCs/>
                <w:color w:val="FFFFFF"/>
                <w:sz w:val="20"/>
                <w:szCs w:val="20"/>
              </w:rPr>
            </w:pPr>
          </w:p>
        </w:tc>
        <w:tc>
          <w:tcPr>
            <w:tcW w:w="1537" w:type="dxa"/>
            <w:gridSpan w:val="2"/>
            <w:shd w:val="clear" w:color="auto" w:fill="005F85"/>
          </w:tcPr>
          <w:p w14:paraId="70597CBA" w14:textId="2B18DE5E" w:rsidR="00461E42" w:rsidRPr="000D2DF6" w:rsidRDefault="00461E42" w:rsidP="00403D85">
            <w:pPr>
              <w:spacing w:after="0"/>
              <w:jc w:val="center"/>
              <w:rPr>
                <w:rFonts w:ascii="Aptos" w:eastAsia="Times New Roman" w:hAnsi="Aptos" w:cs="Arial"/>
                <w:b/>
                <w:bCs/>
                <w:color w:val="FFFFFF"/>
                <w:sz w:val="20"/>
                <w:szCs w:val="20"/>
              </w:rPr>
            </w:pPr>
            <w:r>
              <w:rPr>
                <w:rFonts w:ascii="Aptos" w:eastAsia="Times New Roman" w:hAnsi="Aptos" w:cs="Arial"/>
                <w:b/>
                <w:bCs/>
                <w:color w:val="FFFFFF"/>
                <w:sz w:val="20"/>
                <w:szCs w:val="20"/>
              </w:rPr>
              <w:t>O</w:t>
            </w:r>
            <w:r w:rsidRPr="000D2DF6">
              <w:rPr>
                <w:rFonts w:ascii="Aptos" w:eastAsia="Times New Roman" w:hAnsi="Aptos" w:cs="Arial"/>
                <w:b/>
                <w:bCs/>
                <w:color w:val="FFFFFF"/>
                <w:sz w:val="20"/>
                <w:szCs w:val="20"/>
              </w:rPr>
              <w:t>verall</w:t>
            </w:r>
          </w:p>
          <w:p w14:paraId="3412E448" w14:textId="77777777" w:rsidR="00461E42" w:rsidRPr="000D2DF6" w:rsidRDefault="00461E42" w:rsidP="00403D85">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1537" w:type="dxa"/>
            <w:gridSpan w:val="2"/>
            <w:shd w:val="clear" w:color="auto" w:fill="005F85"/>
          </w:tcPr>
          <w:p w14:paraId="53CC699C" w14:textId="77777777" w:rsidR="00461E42" w:rsidRPr="000D2DF6" w:rsidRDefault="00461E42" w:rsidP="00403D85">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Intake from rice-based diets</w:t>
            </w:r>
          </w:p>
          <w:p w14:paraId="63FC5C23" w14:textId="77777777" w:rsidR="00461E42" w:rsidRPr="000D2DF6" w:rsidRDefault="00461E42" w:rsidP="00403D85">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1537" w:type="dxa"/>
            <w:gridSpan w:val="2"/>
            <w:shd w:val="clear" w:color="auto" w:fill="005F85"/>
          </w:tcPr>
          <w:p w14:paraId="63679C14" w14:textId="77777777" w:rsidR="00461E42" w:rsidRPr="000D2DF6" w:rsidRDefault="00461E42" w:rsidP="00403D85">
            <w:pPr>
              <w:spacing w:after="0"/>
              <w:ind w:right="27"/>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Intake from pasta-based diets</w:t>
            </w:r>
          </w:p>
          <w:p w14:paraId="18DBA4A7" w14:textId="77777777" w:rsidR="00461E42" w:rsidRPr="000D2DF6" w:rsidRDefault="00461E42" w:rsidP="00403D85">
            <w:pPr>
              <w:spacing w:after="0"/>
              <w:ind w:right="27"/>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1538" w:type="dxa"/>
            <w:gridSpan w:val="2"/>
            <w:shd w:val="clear" w:color="auto" w:fill="005F85"/>
          </w:tcPr>
          <w:p w14:paraId="3D485809" w14:textId="77777777" w:rsidR="00461E42" w:rsidRPr="000D2DF6" w:rsidRDefault="00461E42" w:rsidP="00403D85">
            <w:pPr>
              <w:spacing w:after="0"/>
              <w:ind w:right="3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 xml:space="preserve">Intake from </w:t>
            </w:r>
            <w:proofErr w:type="spellStart"/>
            <w:r w:rsidRPr="000D2DF6">
              <w:rPr>
                <w:rFonts w:ascii="Aptos" w:eastAsia="Times New Roman" w:hAnsi="Aptos" w:cs="Arial"/>
                <w:b/>
                <w:bCs/>
                <w:color w:val="FFFFFF"/>
                <w:sz w:val="20"/>
                <w:szCs w:val="20"/>
              </w:rPr>
              <w:t>lacto</w:t>
            </w:r>
            <w:proofErr w:type="spellEnd"/>
            <w:r w:rsidRPr="000D2DF6">
              <w:rPr>
                <w:rFonts w:ascii="Aptos" w:eastAsia="Times New Roman" w:hAnsi="Aptos" w:cs="Arial"/>
                <w:b/>
                <w:bCs/>
                <w:color w:val="FFFFFF"/>
                <w:sz w:val="20"/>
                <w:szCs w:val="20"/>
              </w:rPr>
              <w:t>-ovo-vego diets</w:t>
            </w:r>
          </w:p>
          <w:p w14:paraId="1B66220B" w14:textId="77777777" w:rsidR="00461E42" w:rsidRPr="000D2DF6" w:rsidRDefault="00461E42" w:rsidP="00403D85">
            <w:pPr>
              <w:spacing w:after="0"/>
              <w:ind w:right="3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2353" w:type="dxa"/>
            <w:gridSpan w:val="2"/>
            <w:shd w:val="clear" w:color="auto" w:fill="005F85"/>
          </w:tcPr>
          <w:p w14:paraId="5B0EB83A" w14:textId="77777777" w:rsidR="00461E42" w:rsidRDefault="00461E42" w:rsidP="00403D85">
            <w:pPr>
              <w:spacing w:after="0"/>
              <w:ind w:right="34"/>
              <w:jc w:val="center"/>
              <w:rPr>
                <w:rFonts w:eastAsia="Times New Roman" w:cs="Arial"/>
                <w:b/>
                <w:bCs/>
                <w:color w:val="FFFFFF"/>
                <w:sz w:val="20"/>
                <w:szCs w:val="20"/>
              </w:rPr>
            </w:pPr>
            <w:r>
              <w:rPr>
                <w:rFonts w:eastAsia="Times New Roman" w:cs="Arial"/>
                <w:b/>
                <w:bCs/>
                <w:color w:val="FFFFFF"/>
                <w:sz w:val="20"/>
                <w:szCs w:val="20"/>
              </w:rPr>
              <w:t>Mid energy level</w:t>
            </w:r>
          </w:p>
          <w:p w14:paraId="73AFD314" w14:textId="77777777" w:rsidR="00461E42" w:rsidRDefault="00461E42" w:rsidP="00403D85">
            <w:pPr>
              <w:spacing w:after="0"/>
              <w:ind w:right="34"/>
              <w:jc w:val="center"/>
              <w:rPr>
                <w:rFonts w:eastAsia="Times New Roman" w:cs="Arial"/>
                <w:b/>
                <w:bCs/>
                <w:color w:val="FFFFFF"/>
                <w:sz w:val="20"/>
                <w:szCs w:val="20"/>
              </w:rPr>
            </w:pPr>
            <w:r>
              <w:rPr>
                <w:rFonts w:eastAsia="Times New Roman" w:cs="Arial"/>
                <w:b/>
                <w:bCs/>
                <w:color w:val="FFFFFF"/>
                <w:sz w:val="20"/>
                <w:szCs w:val="20"/>
              </w:rPr>
              <w:t>(average height, light-moderate activity)</w:t>
            </w:r>
          </w:p>
          <w:p w14:paraId="43D24CAC" w14:textId="3B419409" w:rsidR="00461E42" w:rsidRPr="000D2DF6" w:rsidRDefault="00461E42" w:rsidP="00403D85">
            <w:pPr>
              <w:spacing w:after="0"/>
              <w:ind w:right="3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2232" w:type="dxa"/>
            <w:gridSpan w:val="2"/>
            <w:shd w:val="clear" w:color="auto" w:fill="005F85"/>
          </w:tcPr>
          <w:p w14:paraId="5D6E3717" w14:textId="77777777" w:rsidR="00461E42" w:rsidRDefault="00461E42" w:rsidP="00403D85">
            <w:pPr>
              <w:spacing w:after="0"/>
              <w:ind w:right="34"/>
              <w:jc w:val="center"/>
              <w:rPr>
                <w:rFonts w:eastAsia="Times New Roman" w:cs="Arial"/>
                <w:b/>
                <w:bCs/>
                <w:color w:val="FFFFFF"/>
                <w:sz w:val="20"/>
                <w:szCs w:val="20"/>
              </w:rPr>
            </w:pPr>
            <w:r>
              <w:rPr>
                <w:rFonts w:eastAsia="Times New Roman" w:cs="Arial"/>
                <w:b/>
                <w:bCs/>
                <w:color w:val="FFFFFF"/>
                <w:sz w:val="20"/>
                <w:szCs w:val="20"/>
              </w:rPr>
              <w:t xml:space="preserve">High energy level </w:t>
            </w:r>
          </w:p>
          <w:p w14:paraId="6827F7DC" w14:textId="77777777" w:rsidR="00461E42" w:rsidRDefault="00461E42" w:rsidP="00403D85">
            <w:pPr>
              <w:spacing w:after="0"/>
              <w:ind w:right="34"/>
              <w:jc w:val="center"/>
              <w:rPr>
                <w:rFonts w:eastAsia="Times New Roman" w:cs="Arial"/>
                <w:b/>
                <w:bCs/>
                <w:color w:val="FFFFFF"/>
                <w:sz w:val="20"/>
                <w:szCs w:val="20"/>
              </w:rPr>
            </w:pPr>
            <w:r>
              <w:rPr>
                <w:rFonts w:eastAsia="Times New Roman" w:cs="Arial"/>
                <w:b/>
                <w:bCs/>
                <w:color w:val="FFFFFF"/>
                <w:sz w:val="20"/>
                <w:szCs w:val="20"/>
              </w:rPr>
              <w:t>(tallest, highest activity)</w:t>
            </w:r>
          </w:p>
          <w:p w14:paraId="26CA11DD" w14:textId="605C93F4" w:rsidR="00461E42" w:rsidRPr="000D2DF6" w:rsidRDefault="00461E42" w:rsidP="00403D85">
            <w:pPr>
              <w:spacing w:after="0"/>
              <w:ind w:right="3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r>
      <w:tr w:rsidR="00461E42" w:rsidRPr="000D2DF6" w14:paraId="5098CDB1" w14:textId="351DC3F8" w:rsidTr="00403D85">
        <w:trPr>
          <w:trHeight w:val="321"/>
        </w:trPr>
        <w:tc>
          <w:tcPr>
            <w:tcW w:w="1118" w:type="dxa"/>
            <w:vMerge/>
            <w:shd w:val="clear" w:color="auto" w:fill="005F85"/>
          </w:tcPr>
          <w:p w14:paraId="5D7C0516" w14:textId="77777777" w:rsidR="00461E42" w:rsidRPr="000D2DF6" w:rsidRDefault="00461E42" w:rsidP="00403D85">
            <w:pPr>
              <w:spacing w:after="0"/>
              <w:ind w:right="-1346"/>
              <w:rPr>
                <w:rFonts w:ascii="Aptos" w:eastAsia="Times New Roman" w:hAnsi="Aptos" w:cs="Arial"/>
                <w:b/>
                <w:bCs/>
                <w:color w:val="FFFFFF"/>
                <w:sz w:val="20"/>
                <w:szCs w:val="20"/>
              </w:rPr>
            </w:pPr>
          </w:p>
        </w:tc>
        <w:tc>
          <w:tcPr>
            <w:tcW w:w="1037" w:type="dxa"/>
            <w:shd w:val="clear" w:color="auto" w:fill="005F85"/>
            <w:vAlign w:val="bottom"/>
          </w:tcPr>
          <w:p w14:paraId="79DC0A9C" w14:textId="284422B0" w:rsidR="00461E42" w:rsidRPr="000D2DF6" w:rsidRDefault="00461E42" w:rsidP="00403D85">
            <w:pPr>
              <w:spacing w:after="0"/>
              <w:jc w:val="center"/>
              <w:rPr>
                <w:rFonts w:ascii="Aptos" w:eastAsia="Times New Roman" w:hAnsi="Aptos" w:cs="Arial"/>
                <w:b/>
                <w:bCs/>
                <w:color w:val="FFFFFF"/>
                <w:sz w:val="20"/>
                <w:szCs w:val="20"/>
              </w:rPr>
            </w:pPr>
            <w:r>
              <w:rPr>
                <w:rFonts w:ascii="Aptos" w:eastAsia="Times New Roman" w:hAnsi="Aptos" w:cs="Arial"/>
                <w:b/>
                <w:bCs/>
                <w:color w:val="FFFFFF"/>
                <w:sz w:val="20"/>
                <w:szCs w:val="20"/>
              </w:rPr>
              <w:t>All</w:t>
            </w:r>
          </w:p>
        </w:tc>
        <w:tc>
          <w:tcPr>
            <w:tcW w:w="1059" w:type="dxa"/>
            <w:shd w:val="clear" w:color="auto" w:fill="156082" w:themeFill="accent1"/>
            <w:vAlign w:val="bottom"/>
          </w:tcPr>
          <w:p w14:paraId="098FF8EA" w14:textId="473DA57A" w:rsidR="00461E42" w:rsidRPr="000D2DF6" w:rsidRDefault="00461E42" w:rsidP="00403D85">
            <w:pPr>
              <w:spacing w:after="0"/>
              <w:jc w:val="center"/>
              <w:rPr>
                <w:rFonts w:ascii="Aptos" w:eastAsia="Times New Roman" w:hAnsi="Aptos" w:cs="Arial"/>
                <w:b/>
                <w:bCs/>
                <w:color w:val="FFFFFF"/>
                <w:sz w:val="20"/>
                <w:szCs w:val="20"/>
              </w:rPr>
            </w:pPr>
            <w:r>
              <w:rPr>
                <w:rFonts w:ascii="Aptos" w:eastAsia="Times New Roman" w:hAnsi="Aptos" w:cs="Arial"/>
                <w:b/>
                <w:bCs/>
                <w:color w:val="FFFFFF"/>
                <w:sz w:val="20"/>
                <w:szCs w:val="20"/>
              </w:rPr>
              <w:t>All</w:t>
            </w:r>
          </w:p>
        </w:tc>
        <w:tc>
          <w:tcPr>
            <w:tcW w:w="768" w:type="dxa"/>
            <w:shd w:val="clear" w:color="auto" w:fill="005F85"/>
            <w:vAlign w:val="bottom"/>
          </w:tcPr>
          <w:p w14:paraId="6496EB08" w14:textId="77777777" w:rsidR="00461E42" w:rsidRPr="000D2DF6" w:rsidRDefault="00461E42" w:rsidP="00403D85">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769" w:type="dxa"/>
            <w:shd w:val="clear" w:color="auto" w:fill="005F85"/>
            <w:vAlign w:val="bottom"/>
          </w:tcPr>
          <w:p w14:paraId="0CC372F1" w14:textId="77777777" w:rsidR="00461E42" w:rsidRPr="000D2DF6" w:rsidRDefault="00461E42" w:rsidP="00403D85">
            <w:pPr>
              <w:spacing w:after="0"/>
              <w:ind w:right="-112"/>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c>
          <w:tcPr>
            <w:tcW w:w="768" w:type="dxa"/>
            <w:shd w:val="clear" w:color="auto" w:fill="005F85"/>
            <w:vAlign w:val="bottom"/>
          </w:tcPr>
          <w:p w14:paraId="411D43A5" w14:textId="77777777" w:rsidR="00461E42" w:rsidRPr="000D2DF6" w:rsidRDefault="00461E42" w:rsidP="00403D85">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769" w:type="dxa"/>
            <w:shd w:val="clear" w:color="auto" w:fill="005F85"/>
            <w:vAlign w:val="bottom"/>
          </w:tcPr>
          <w:p w14:paraId="1AB8DE58" w14:textId="77777777" w:rsidR="00461E42" w:rsidRPr="000D2DF6" w:rsidRDefault="00461E42" w:rsidP="00403D85">
            <w:pPr>
              <w:spacing w:after="0"/>
              <w:ind w:right="-11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c>
          <w:tcPr>
            <w:tcW w:w="769" w:type="dxa"/>
            <w:shd w:val="clear" w:color="auto" w:fill="005F85"/>
            <w:vAlign w:val="bottom"/>
          </w:tcPr>
          <w:p w14:paraId="4136A1CC" w14:textId="77777777" w:rsidR="00461E42" w:rsidRPr="000D2DF6" w:rsidRDefault="00461E42" w:rsidP="00403D85">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768" w:type="dxa"/>
            <w:shd w:val="clear" w:color="auto" w:fill="005F85"/>
            <w:vAlign w:val="bottom"/>
          </w:tcPr>
          <w:p w14:paraId="67E9E20E" w14:textId="77777777" w:rsidR="00461E42" w:rsidRPr="000D2DF6" w:rsidRDefault="00461E42" w:rsidP="00403D85">
            <w:pPr>
              <w:spacing w:after="0"/>
              <w:ind w:right="-108"/>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c>
          <w:tcPr>
            <w:tcW w:w="769" w:type="dxa"/>
            <w:shd w:val="clear" w:color="auto" w:fill="005F85"/>
            <w:vAlign w:val="bottom"/>
          </w:tcPr>
          <w:p w14:paraId="12920FDA" w14:textId="77777777" w:rsidR="00461E42" w:rsidRPr="000D2DF6" w:rsidRDefault="00461E42" w:rsidP="00403D85">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769" w:type="dxa"/>
            <w:shd w:val="clear" w:color="auto" w:fill="005F85"/>
            <w:vAlign w:val="bottom"/>
          </w:tcPr>
          <w:p w14:paraId="0876CCBB" w14:textId="77777777" w:rsidR="00461E42" w:rsidRPr="000D2DF6" w:rsidRDefault="00461E42" w:rsidP="00403D85">
            <w:pPr>
              <w:spacing w:after="0"/>
              <w:ind w:right="-10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c>
          <w:tcPr>
            <w:tcW w:w="1237" w:type="dxa"/>
            <w:shd w:val="clear" w:color="auto" w:fill="005F85"/>
            <w:vAlign w:val="bottom"/>
          </w:tcPr>
          <w:p w14:paraId="5DCA6A33" w14:textId="2A34BF99" w:rsidR="00461E42" w:rsidRPr="000D2DF6" w:rsidRDefault="00461E42" w:rsidP="00403D85">
            <w:pPr>
              <w:spacing w:after="0"/>
              <w:ind w:right="-10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1116" w:type="dxa"/>
            <w:shd w:val="clear" w:color="auto" w:fill="005F85"/>
            <w:vAlign w:val="bottom"/>
          </w:tcPr>
          <w:p w14:paraId="3A624B82" w14:textId="44A71823" w:rsidR="00461E42" w:rsidRPr="000D2DF6" w:rsidRDefault="00461E42" w:rsidP="00403D85">
            <w:pPr>
              <w:spacing w:after="0"/>
              <w:ind w:right="-10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c>
          <w:tcPr>
            <w:tcW w:w="1116" w:type="dxa"/>
            <w:shd w:val="clear" w:color="auto" w:fill="005F85"/>
            <w:vAlign w:val="bottom"/>
          </w:tcPr>
          <w:p w14:paraId="5A69D972" w14:textId="5955E276" w:rsidR="00461E42" w:rsidRPr="000D2DF6" w:rsidRDefault="00461E42" w:rsidP="00403D85">
            <w:pPr>
              <w:spacing w:after="0"/>
              <w:ind w:right="-10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1116" w:type="dxa"/>
            <w:shd w:val="clear" w:color="auto" w:fill="005F85"/>
            <w:vAlign w:val="bottom"/>
          </w:tcPr>
          <w:p w14:paraId="51F3D58A" w14:textId="4EDDAA59" w:rsidR="00461E42" w:rsidRPr="000D2DF6" w:rsidRDefault="00461E42" w:rsidP="00403D85">
            <w:pPr>
              <w:spacing w:after="0"/>
              <w:ind w:right="-10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r>
      <w:tr w:rsidR="00403D85" w:rsidRPr="000D2DF6" w14:paraId="3FECFDBC" w14:textId="2C81ABAC" w:rsidTr="00403D85">
        <w:tc>
          <w:tcPr>
            <w:tcW w:w="1118" w:type="dxa"/>
            <w:vAlign w:val="center"/>
          </w:tcPr>
          <w:p w14:paraId="1117DC24" w14:textId="79009C98" w:rsidR="00403D85" w:rsidRPr="000D2DF6" w:rsidRDefault="00403D85" w:rsidP="00403D85">
            <w:pPr>
              <w:spacing w:after="0"/>
              <w:ind w:right="-1346"/>
              <w:rPr>
                <w:rFonts w:ascii="Aptos" w:eastAsia="Times New Roman" w:hAnsi="Aptos" w:cs="Arial"/>
                <w:sz w:val="20"/>
                <w:szCs w:val="20"/>
              </w:rPr>
            </w:pPr>
            <w:r w:rsidRPr="000D2DF6">
              <w:rPr>
                <w:rFonts w:ascii="Aptos" w:eastAsia="Times New Roman" w:hAnsi="Aptos" w:cs="Arial"/>
                <w:sz w:val="20"/>
                <w:szCs w:val="20"/>
              </w:rPr>
              <w:t xml:space="preserve">13-23 </w:t>
            </w:r>
            <w:proofErr w:type="spellStart"/>
            <w:r w:rsidRPr="000D2DF6">
              <w:rPr>
                <w:rFonts w:ascii="Aptos" w:eastAsia="Times New Roman" w:hAnsi="Aptos" w:cs="Arial"/>
                <w:sz w:val="20"/>
                <w:szCs w:val="20"/>
              </w:rPr>
              <w:t>mo</w:t>
            </w:r>
            <w:proofErr w:type="spellEnd"/>
          </w:p>
        </w:tc>
        <w:tc>
          <w:tcPr>
            <w:tcW w:w="1037" w:type="dxa"/>
            <w:vAlign w:val="center"/>
          </w:tcPr>
          <w:p w14:paraId="5B650693" w14:textId="3F249CB8" w:rsidR="00403D85" w:rsidRPr="000D2DF6" w:rsidRDefault="00461E42" w:rsidP="00403D85">
            <w:pPr>
              <w:spacing w:after="0"/>
              <w:ind w:right="38"/>
              <w:jc w:val="center"/>
              <w:rPr>
                <w:rFonts w:ascii="Aptos" w:eastAsia="Times New Roman" w:hAnsi="Aptos" w:cs="Arial"/>
                <w:sz w:val="20"/>
                <w:szCs w:val="20"/>
              </w:rPr>
            </w:pPr>
            <w:r>
              <w:rPr>
                <w:rFonts w:ascii="Aptos" w:eastAsia="Times New Roman" w:hAnsi="Aptos" w:cs="Arial"/>
                <w:sz w:val="20"/>
                <w:szCs w:val="20"/>
              </w:rPr>
              <w:t>NR</w:t>
            </w:r>
          </w:p>
        </w:tc>
        <w:tc>
          <w:tcPr>
            <w:tcW w:w="1059" w:type="dxa"/>
            <w:vAlign w:val="center"/>
          </w:tcPr>
          <w:p w14:paraId="4DBA29C4" w14:textId="098B46B7" w:rsidR="00403D85" w:rsidRPr="000D2DF6" w:rsidRDefault="00461E42" w:rsidP="00403D85">
            <w:pPr>
              <w:spacing w:after="0"/>
              <w:ind w:right="-115"/>
              <w:jc w:val="center"/>
              <w:rPr>
                <w:rFonts w:ascii="Aptos" w:eastAsia="Times New Roman" w:hAnsi="Aptos" w:cs="Arial"/>
                <w:sz w:val="20"/>
                <w:szCs w:val="20"/>
              </w:rPr>
            </w:pPr>
            <w:r>
              <w:rPr>
                <w:rFonts w:ascii="Aptos" w:eastAsia="Times New Roman" w:hAnsi="Aptos" w:cs="Arial"/>
                <w:sz w:val="20"/>
                <w:szCs w:val="20"/>
              </w:rPr>
              <w:t>NR</w:t>
            </w:r>
          </w:p>
        </w:tc>
        <w:tc>
          <w:tcPr>
            <w:tcW w:w="768" w:type="dxa"/>
            <w:vAlign w:val="center"/>
          </w:tcPr>
          <w:p w14:paraId="4CCBB7D9" w14:textId="59F81AC4" w:rsidR="00403D85" w:rsidRPr="000D2DF6" w:rsidRDefault="00403D85" w:rsidP="00403D85">
            <w:pPr>
              <w:spacing w:after="0"/>
              <w:ind w:right="-115"/>
              <w:jc w:val="center"/>
              <w:rPr>
                <w:rFonts w:ascii="Aptos" w:eastAsia="Times New Roman" w:hAnsi="Aptos" w:cs="Arial"/>
                <w:sz w:val="20"/>
                <w:szCs w:val="20"/>
              </w:rPr>
            </w:pPr>
            <w:r>
              <w:rPr>
                <w:rFonts w:ascii="Aptos" w:eastAsia="Times New Roman" w:hAnsi="Aptos" w:cs="Arial"/>
                <w:sz w:val="20"/>
                <w:szCs w:val="20"/>
              </w:rPr>
              <w:t>701</w:t>
            </w:r>
          </w:p>
        </w:tc>
        <w:tc>
          <w:tcPr>
            <w:tcW w:w="769" w:type="dxa"/>
            <w:vAlign w:val="center"/>
          </w:tcPr>
          <w:p w14:paraId="3E58DFAA" w14:textId="4ADE805E"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716</w:t>
            </w:r>
          </w:p>
        </w:tc>
        <w:tc>
          <w:tcPr>
            <w:tcW w:w="768" w:type="dxa"/>
            <w:vAlign w:val="center"/>
          </w:tcPr>
          <w:p w14:paraId="728962CF" w14:textId="61C3271D" w:rsidR="00403D85" w:rsidRPr="000D2DF6" w:rsidRDefault="00461E42" w:rsidP="00403D85">
            <w:pPr>
              <w:spacing w:after="0"/>
              <w:ind w:right="36"/>
              <w:jc w:val="center"/>
              <w:rPr>
                <w:rFonts w:ascii="Aptos" w:eastAsia="Times New Roman" w:hAnsi="Aptos" w:cs="Arial"/>
                <w:sz w:val="20"/>
                <w:szCs w:val="20"/>
              </w:rPr>
            </w:pPr>
            <w:r>
              <w:rPr>
                <w:rFonts w:ascii="Aptos" w:eastAsia="Times New Roman" w:hAnsi="Aptos" w:cs="Arial"/>
                <w:sz w:val="20"/>
                <w:szCs w:val="20"/>
              </w:rPr>
              <w:t>NR</w:t>
            </w:r>
          </w:p>
        </w:tc>
        <w:tc>
          <w:tcPr>
            <w:tcW w:w="769" w:type="dxa"/>
            <w:vAlign w:val="center"/>
          </w:tcPr>
          <w:p w14:paraId="1BA0882D" w14:textId="16C07DD2" w:rsidR="00403D85" w:rsidRPr="000D2DF6" w:rsidRDefault="00461E42" w:rsidP="00403D85">
            <w:pPr>
              <w:spacing w:after="0"/>
              <w:ind w:right="-115"/>
              <w:jc w:val="center"/>
              <w:rPr>
                <w:rFonts w:ascii="Aptos" w:eastAsia="Times New Roman" w:hAnsi="Aptos" w:cs="Arial"/>
                <w:sz w:val="20"/>
                <w:szCs w:val="20"/>
              </w:rPr>
            </w:pPr>
            <w:r>
              <w:rPr>
                <w:rFonts w:ascii="Aptos" w:eastAsia="Times New Roman" w:hAnsi="Aptos" w:cs="Arial"/>
                <w:sz w:val="20"/>
                <w:szCs w:val="20"/>
              </w:rPr>
              <w:t>NR</w:t>
            </w:r>
          </w:p>
        </w:tc>
        <w:tc>
          <w:tcPr>
            <w:tcW w:w="769" w:type="dxa"/>
            <w:vAlign w:val="center"/>
          </w:tcPr>
          <w:p w14:paraId="7894EC41" w14:textId="71A7A58C" w:rsidR="00403D85" w:rsidRPr="000D2DF6" w:rsidRDefault="00461E42" w:rsidP="00403D85">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768" w:type="dxa"/>
            <w:vAlign w:val="center"/>
          </w:tcPr>
          <w:p w14:paraId="04386584" w14:textId="4786D7E8" w:rsidR="00403D85" w:rsidRPr="000D2DF6" w:rsidRDefault="00461E42" w:rsidP="00403D85">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769" w:type="dxa"/>
            <w:vAlign w:val="center"/>
          </w:tcPr>
          <w:p w14:paraId="029B1BA6" w14:textId="1B15B66D" w:rsidR="00403D85" w:rsidRPr="000D2DF6" w:rsidRDefault="00461E42" w:rsidP="00403D85">
            <w:pPr>
              <w:spacing w:after="0"/>
              <w:ind w:right="34"/>
              <w:jc w:val="center"/>
              <w:rPr>
                <w:rFonts w:ascii="Aptos" w:eastAsia="Times New Roman" w:hAnsi="Aptos" w:cs="Arial"/>
                <w:sz w:val="20"/>
                <w:szCs w:val="20"/>
              </w:rPr>
            </w:pPr>
            <w:r>
              <w:rPr>
                <w:rFonts w:ascii="Aptos" w:eastAsia="Times New Roman" w:hAnsi="Aptos" w:cs="Arial"/>
                <w:sz w:val="20"/>
                <w:szCs w:val="20"/>
              </w:rPr>
              <w:t>NR</w:t>
            </w:r>
          </w:p>
        </w:tc>
        <w:tc>
          <w:tcPr>
            <w:tcW w:w="769" w:type="dxa"/>
            <w:vAlign w:val="center"/>
          </w:tcPr>
          <w:p w14:paraId="1380669B" w14:textId="2B043097" w:rsidR="00403D85" w:rsidRPr="000D2DF6" w:rsidRDefault="00461E42" w:rsidP="00403D85">
            <w:pPr>
              <w:spacing w:after="0"/>
              <w:ind w:right="34"/>
              <w:jc w:val="center"/>
              <w:rPr>
                <w:rFonts w:ascii="Aptos" w:eastAsia="Times New Roman" w:hAnsi="Aptos" w:cs="Arial"/>
                <w:sz w:val="20"/>
                <w:szCs w:val="20"/>
              </w:rPr>
            </w:pPr>
            <w:r>
              <w:rPr>
                <w:rFonts w:ascii="Aptos" w:eastAsia="Times New Roman" w:hAnsi="Aptos" w:cs="Arial"/>
                <w:sz w:val="20"/>
                <w:szCs w:val="20"/>
              </w:rPr>
              <w:t>NR</w:t>
            </w:r>
          </w:p>
        </w:tc>
        <w:tc>
          <w:tcPr>
            <w:tcW w:w="1237" w:type="dxa"/>
          </w:tcPr>
          <w:p w14:paraId="726CD870" w14:textId="5AC8E526" w:rsidR="00403D85" w:rsidRPr="000D2DF6" w:rsidRDefault="00461E42" w:rsidP="00403D85">
            <w:pPr>
              <w:spacing w:after="0"/>
              <w:ind w:right="34"/>
              <w:jc w:val="center"/>
              <w:rPr>
                <w:rFonts w:ascii="Aptos" w:eastAsia="Times New Roman" w:hAnsi="Aptos" w:cs="Arial"/>
                <w:sz w:val="20"/>
                <w:szCs w:val="20"/>
              </w:rPr>
            </w:pPr>
            <w:r>
              <w:rPr>
                <w:rFonts w:ascii="Aptos" w:eastAsia="Times New Roman" w:hAnsi="Aptos" w:cs="Arial"/>
                <w:sz w:val="20"/>
                <w:szCs w:val="20"/>
              </w:rPr>
              <w:t>NR</w:t>
            </w:r>
          </w:p>
        </w:tc>
        <w:tc>
          <w:tcPr>
            <w:tcW w:w="1116" w:type="dxa"/>
          </w:tcPr>
          <w:p w14:paraId="47726307" w14:textId="680BC9E7" w:rsidR="00403D85" w:rsidRPr="000D2DF6" w:rsidRDefault="00461E42" w:rsidP="00403D85">
            <w:pPr>
              <w:spacing w:after="0"/>
              <w:ind w:right="34"/>
              <w:jc w:val="center"/>
              <w:rPr>
                <w:rFonts w:ascii="Aptos" w:eastAsia="Times New Roman" w:hAnsi="Aptos" w:cs="Arial"/>
                <w:sz w:val="20"/>
                <w:szCs w:val="20"/>
              </w:rPr>
            </w:pPr>
            <w:r>
              <w:rPr>
                <w:rFonts w:ascii="Aptos" w:eastAsia="Times New Roman" w:hAnsi="Aptos" w:cs="Arial"/>
                <w:sz w:val="20"/>
                <w:szCs w:val="20"/>
              </w:rPr>
              <w:t>NR</w:t>
            </w:r>
          </w:p>
        </w:tc>
        <w:tc>
          <w:tcPr>
            <w:tcW w:w="1116" w:type="dxa"/>
          </w:tcPr>
          <w:p w14:paraId="6E8D3645" w14:textId="274DA0B9" w:rsidR="00403D85" w:rsidRPr="000D2DF6" w:rsidRDefault="00461E42" w:rsidP="00403D85">
            <w:pPr>
              <w:spacing w:after="0"/>
              <w:ind w:right="34"/>
              <w:jc w:val="center"/>
              <w:rPr>
                <w:rFonts w:ascii="Aptos" w:eastAsia="Times New Roman" w:hAnsi="Aptos" w:cs="Arial"/>
                <w:sz w:val="20"/>
                <w:szCs w:val="20"/>
              </w:rPr>
            </w:pPr>
            <w:r>
              <w:rPr>
                <w:rFonts w:ascii="Aptos" w:eastAsia="Times New Roman" w:hAnsi="Aptos" w:cs="Arial"/>
                <w:sz w:val="20"/>
                <w:szCs w:val="20"/>
              </w:rPr>
              <w:t>NR</w:t>
            </w:r>
          </w:p>
        </w:tc>
        <w:tc>
          <w:tcPr>
            <w:tcW w:w="1116" w:type="dxa"/>
          </w:tcPr>
          <w:p w14:paraId="05A3A241" w14:textId="681BB212" w:rsidR="00403D85" w:rsidRPr="000D2DF6" w:rsidRDefault="00461E42" w:rsidP="00403D85">
            <w:pPr>
              <w:spacing w:after="0"/>
              <w:ind w:right="34"/>
              <w:jc w:val="center"/>
              <w:rPr>
                <w:rFonts w:ascii="Aptos" w:eastAsia="Times New Roman" w:hAnsi="Aptos" w:cs="Arial"/>
                <w:sz w:val="20"/>
                <w:szCs w:val="20"/>
              </w:rPr>
            </w:pPr>
            <w:r>
              <w:rPr>
                <w:rFonts w:ascii="Aptos" w:eastAsia="Times New Roman" w:hAnsi="Aptos" w:cs="Arial"/>
                <w:sz w:val="20"/>
                <w:szCs w:val="20"/>
              </w:rPr>
              <w:t>NR</w:t>
            </w:r>
          </w:p>
        </w:tc>
      </w:tr>
      <w:tr w:rsidR="00403D85" w:rsidRPr="000D2DF6" w14:paraId="008E3AEA" w14:textId="7598419F" w:rsidTr="00A45008">
        <w:tc>
          <w:tcPr>
            <w:tcW w:w="1118" w:type="dxa"/>
            <w:vAlign w:val="center"/>
          </w:tcPr>
          <w:p w14:paraId="01CEF356" w14:textId="1D0DE1D9" w:rsidR="00403D85" w:rsidRPr="000D2DF6" w:rsidRDefault="00403D85" w:rsidP="00403D85">
            <w:pPr>
              <w:spacing w:after="0"/>
              <w:ind w:right="-1346"/>
              <w:rPr>
                <w:rFonts w:ascii="Aptos" w:eastAsia="Times New Roman" w:hAnsi="Aptos" w:cs="Arial"/>
                <w:sz w:val="20"/>
                <w:szCs w:val="20"/>
              </w:rPr>
            </w:pPr>
            <w:r w:rsidRPr="000D2DF6">
              <w:rPr>
                <w:rFonts w:ascii="Aptos" w:eastAsia="Times New Roman" w:hAnsi="Aptos" w:cs="Arial"/>
                <w:sz w:val="20"/>
                <w:szCs w:val="20"/>
              </w:rPr>
              <w:t>2 - 3 yr</w:t>
            </w:r>
          </w:p>
        </w:tc>
        <w:tc>
          <w:tcPr>
            <w:tcW w:w="1037" w:type="dxa"/>
            <w:vAlign w:val="center"/>
          </w:tcPr>
          <w:p w14:paraId="7B59DC24" w14:textId="7A9D0832" w:rsidR="00403D85" w:rsidRPr="000D2DF6" w:rsidRDefault="00461E42" w:rsidP="00403D85">
            <w:pPr>
              <w:spacing w:after="0"/>
              <w:ind w:right="38"/>
              <w:jc w:val="center"/>
              <w:rPr>
                <w:rFonts w:ascii="Aptos" w:eastAsia="Times New Roman" w:hAnsi="Aptos" w:cs="Arial"/>
                <w:sz w:val="20"/>
                <w:szCs w:val="20"/>
              </w:rPr>
            </w:pPr>
            <w:r>
              <w:rPr>
                <w:rFonts w:ascii="Aptos" w:eastAsia="Times New Roman" w:hAnsi="Aptos" w:cs="Arial"/>
                <w:sz w:val="20"/>
                <w:szCs w:val="20"/>
              </w:rPr>
              <w:t>NR</w:t>
            </w:r>
          </w:p>
        </w:tc>
        <w:tc>
          <w:tcPr>
            <w:tcW w:w="1059" w:type="dxa"/>
            <w:vAlign w:val="center"/>
          </w:tcPr>
          <w:p w14:paraId="415F503C" w14:textId="75505FB2" w:rsidR="00403D85" w:rsidRPr="000D2DF6" w:rsidRDefault="00461E42" w:rsidP="00403D85">
            <w:pPr>
              <w:spacing w:after="0"/>
              <w:ind w:right="-115"/>
              <w:jc w:val="center"/>
              <w:rPr>
                <w:rFonts w:ascii="Aptos" w:eastAsia="Times New Roman" w:hAnsi="Aptos" w:cs="Arial"/>
                <w:sz w:val="20"/>
                <w:szCs w:val="20"/>
              </w:rPr>
            </w:pPr>
            <w:r>
              <w:rPr>
                <w:rFonts w:ascii="Aptos" w:eastAsia="Times New Roman" w:hAnsi="Aptos" w:cs="Arial"/>
                <w:sz w:val="20"/>
                <w:szCs w:val="20"/>
              </w:rPr>
              <w:t>NR</w:t>
            </w:r>
          </w:p>
        </w:tc>
        <w:tc>
          <w:tcPr>
            <w:tcW w:w="768" w:type="dxa"/>
            <w:vAlign w:val="center"/>
          </w:tcPr>
          <w:p w14:paraId="10FE343C" w14:textId="469F7862"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80</w:t>
            </w:r>
            <w:r>
              <w:rPr>
                <w:rFonts w:ascii="Aptos" w:eastAsia="Times New Roman" w:hAnsi="Aptos" w:cs="Arial"/>
                <w:sz w:val="20"/>
                <w:szCs w:val="20"/>
              </w:rPr>
              <w:t>6</w:t>
            </w:r>
          </w:p>
        </w:tc>
        <w:tc>
          <w:tcPr>
            <w:tcW w:w="769" w:type="dxa"/>
            <w:vAlign w:val="center"/>
          </w:tcPr>
          <w:p w14:paraId="0326AB9B" w14:textId="38A9CA84"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821</w:t>
            </w:r>
          </w:p>
        </w:tc>
        <w:tc>
          <w:tcPr>
            <w:tcW w:w="768" w:type="dxa"/>
            <w:vAlign w:val="center"/>
          </w:tcPr>
          <w:p w14:paraId="7D92150F" w14:textId="1C7F7BF5" w:rsidR="00403D85" w:rsidRPr="000D2DF6" w:rsidRDefault="00461E42" w:rsidP="00403D85">
            <w:pPr>
              <w:spacing w:after="0"/>
              <w:ind w:right="36"/>
              <w:jc w:val="center"/>
              <w:rPr>
                <w:rFonts w:ascii="Aptos" w:eastAsia="Times New Roman" w:hAnsi="Aptos" w:cs="Arial"/>
                <w:sz w:val="20"/>
                <w:szCs w:val="20"/>
              </w:rPr>
            </w:pPr>
            <w:r>
              <w:rPr>
                <w:rFonts w:ascii="Aptos" w:eastAsia="Times New Roman" w:hAnsi="Aptos" w:cs="Arial"/>
                <w:sz w:val="20"/>
                <w:szCs w:val="20"/>
              </w:rPr>
              <w:t>NR</w:t>
            </w:r>
          </w:p>
        </w:tc>
        <w:tc>
          <w:tcPr>
            <w:tcW w:w="769" w:type="dxa"/>
            <w:vAlign w:val="center"/>
          </w:tcPr>
          <w:p w14:paraId="683EEE67" w14:textId="33D20E68" w:rsidR="00403D85" w:rsidRPr="000D2DF6" w:rsidRDefault="00461E42" w:rsidP="00403D85">
            <w:pPr>
              <w:spacing w:after="0"/>
              <w:ind w:right="-115"/>
              <w:jc w:val="center"/>
              <w:rPr>
                <w:rFonts w:ascii="Aptos" w:eastAsia="Times New Roman" w:hAnsi="Aptos" w:cs="Arial"/>
                <w:sz w:val="20"/>
                <w:szCs w:val="20"/>
              </w:rPr>
            </w:pPr>
            <w:r>
              <w:rPr>
                <w:rFonts w:ascii="Aptos" w:eastAsia="Times New Roman" w:hAnsi="Aptos" w:cs="Arial"/>
                <w:sz w:val="20"/>
                <w:szCs w:val="20"/>
              </w:rPr>
              <w:t>NR</w:t>
            </w:r>
          </w:p>
        </w:tc>
        <w:tc>
          <w:tcPr>
            <w:tcW w:w="769" w:type="dxa"/>
            <w:vAlign w:val="center"/>
          </w:tcPr>
          <w:p w14:paraId="514CC7A6" w14:textId="6A46A919" w:rsidR="00403D85" w:rsidRPr="000D2DF6" w:rsidRDefault="00461E42" w:rsidP="00403D85">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768" w:type="dxa"/>
            <w:vAlign w:val="center"/>
          </w:tcPr>
          <w:p w14:paraId="09940A2B" w14:textId="7AFBAFF4" w:rsidR="00403D85" w:rsidRPr="000D2DF6" w:rsidRDefault="00461E42" w:rsidP="00403D85">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769" w:type="dxa"/>
            <w:vAlign w:val="center"/>
          </w:tcPr>
          <w:p w14:paraId="0F56C574" w14:textId="39B2BE0F"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666</w:t>
            </w:r>
          </w:p>
        </w:tc>
        <w:tc>
          <w:tcPr>
            <w:tcW w:w="769" w:type="dxa"/>
            <w:vAlign w:val="center"/>
          </w:tcPr>
          <w:p w14:paraId="0EE19E9A" w14:textId="2330221E" w:rsidR="00403D85" w:rsidRPr="000D2DF6" w:rsidRDefault="00403D85" w:rsidP="00403D85">
            <w:pPr>
              <w:spacing w:after="0"/>
              <w:ind w:right="34"/>
              <w:jc w:val="center"/>
              <w:rPr>
                <w:rFonts w:ascii="Aptos" w:eastAsia="Times New Roman" w:hAnsi="Aptos" w:cs="Arial"/>
                <w:sz w:val="20"/>
                <w:szCs w:val="20"/>
              </w:rPr>
            </w:pPr>
            <w:r w:rsidRPr="000D2DF6">
              <w:rPr>
                <w:rFonts w:ascii="Aptos" w:eastAsia="Times New Roman" w:hAnsi="Aptos" w:cs="Arial"/>
                <w:sz w:val="20"/>
                <w:szCs w:val="20"/>
              </w:rPr>
              <w:t>79</w:t>
            </w:r>
            <w:r>
              <w:rPr>
                <w:rFonts w:ascii="Aptos" w:eastAsia="Times New Roman" w:hAnsi="Aptos" w:cs="Arial"/>
                <w:sz w:val="20"/>
                <w:szCs w:val="20"/>
              </w:rPr>
              <w:t>8</w:t>
            </w:r>
          </w:p>
        </w:tc>
        <w:tc>
          <w:tcPr>
            <w:tcW w:w="1237" w:type="dxa"/>
          </w:tcPr>
          <w:p w14:paraId="71B89B85" w14:textId="3379E49A" w:rsidR="00403D85" w:rsidRPr="000D2DF6" w:rsidRDefault="001958C5" w:rsidP="00403D85">
            <w:pPr>
              <w:spacing w:after="0"/>
              <w:ind w:right="34"/>
              <w:jc w:val="center"/>
              <w:rPr>
                <w:rFonts w:ascii="Aptos" w:eastAsia="Times New Roman" w:hAnsi="Aptos" w:cs="Arial"/>
                <w:sz w:val="20"/>
                <w:szCs w:val="20"/>
              </w:rPr>
            </w:pPr>
            <w:r>
              <w:rPr>
                <w:rFonts w:ascii="Aptos" w:eastAsia="Times New Roman" w:hAnsi="Aptos" w:cs="Arial"/>
                <w:sz w:val="20"/>
                <w:szCs w:val="20"/>
              </w:rPr>
              <w:t>8</w:t>
            </w:r>
            <w:r w:rsidR="00026359">
              <w:rPr>
                <w:rFonts w:ascii="Aptos" w:eastAsia="Times New Roman" w:hAnsi="Aptos" w:cs="Arial"/>
                <w:sz w:val="20"/>
                <w:szCs w:val="20"/>
              </w:rPr>
              <w:t>49 to 946</w:t>
            </w:r>
          </w:p>
        </w:tc>
        <w:tc>
          <w:tcPr>
            <w:tcW w:w="1116" w:type="dxa"/>
            <w:shd w:val="clear" w:color="auto" w:fill="FAE2D5" w:themeFill="accent2" w:themeFillTint="33"/>
          </w:tcPr>
          <w:p w14:paraId="2C4BA1CC" w14:textId="2288247C" w:rsidR="00FA3DF6" w:rsidRPr="000D2DF6" w:rsidRDefault="00FA3DF6" w:rsidP="00FA5D9F">
            <w:pPr>
              <w:spacing w:after="0"/>
              <w:ind w:right="34"/>
              <w:jc w:val="center"/>
              <w:rPr>
                <w:rFonts w:ascii="Aptos" w:eastAsia="Times New Roman" w:hAnsi="Aptos" w:cs="Arial"/>
                <w:sz w:val="20"/>
                <w:szCs w:val="20"/>
              </w:rPr>
            </w:pPr>
            <w:r>
              <w:rPr>
                <w:rFonts w:ascii="Aptos" w:eastAsia="Times New Roman" w:hAnsi="Aptos" w:cs="Arial"/>
                <w:sz w:val="20"/>
                <w:szCs w:val="20"/>
              </w:rPr>
              <w:t>9</w:t>
            </w:r>
            <w:r w:rsidR="00FA5D9F">
              <w:rPr>
                <w:rFonts w:ascii="Aptos" w:eastAsia="Times New Roman" w:hAnsi="Aptos" w:cs="Arial"/>
                <w:sz w:val="20"/>
                <w:szCs w:val="20"/>
              </w:rPr>
              <w:t xml:space="preserve">50 to </w:t>
            </w:r>
            <w:r>
              <w:rPr>
                <w:rFonts w:ascii="Aptos" w:eastAsia="Times New Roman" w:hAnsi="Aptos" w:cs="Arial"/>
                <w:sz w:val="20"/>
                <w:szCs w:val="20"/>
              </w:rPr>
              <w:t>1077</w:t>
            </w:r>
          </w:p>
        </w:tc>
        <w:tc>
          <w:tcPr>
            <w:tcW w:w="1116" w:type="dxa"/>
            <w:shd w:val="clear" w:color="auto" w:fill="FAE2D5" w:themeFill="accent2" w:themeFillTint="33"/>
          </w:tcPr>
          <w:p w14:paraId="2B8C1A46" w14:textId="0AF693BB" w:rsidR="00403D85" w:rsidRPr="000D2DF6" w:rsidRDefault="00026359" w:rsidP="00403D85">
            <w:pPr>
              <w:spacing w:after="0"/>
              <w:ind w:right="34"/>
              <w:jc w:val="center"/>
              <w:rPr>
                <w:rFonts w:ascii="Aptos" w:eastAsia="Times New Roman" w:hAnsi="Aptos" w:cs="Arial"/>
                <w:sz w:val="20"/>
                <w:szCs w:val="20"/>
              </w:rPr>
            </w:pPr>
            <w:r>
              <w:rPr>
                <w:rFonts w:ascii="Aptos" w:eastAsia="Times New Roman" w:hAnsi="Aptos" w:cs="Arial"/>
                <w:sz w:val="20"/>
                <w:szCs w:val="20"/>
              </w:rPr>
              <w:t>10</w:t>
            </w:r>
            <w:r w:rsidR="003C0391">
              <w:rPr>
                <w:rFonts w:ascii="Aptos" w:eastAsia="Times New Roman" w:hAnsi="Aptos" w:cs="Arial"/>
                <w:sz w:val="20"/>
                <w:szCs w:val="20"/>
              </w:rPr>
              <w:t>27 to 1178</w:t>
            </w:r>
          </w:p>
        </w:tc>
        <w:tc>
          <w:tcPr>
            <w:tcW w:w="1116" w:type="dxa"/>
            <w:shd w:val="clear" w:color="auto" w:fill="FAE2D5" w:themeFill="accent2" w:themeFillTint="33"/>
          </w:tcPr>
          <w:p w14:paraId="6D1A5B28" w14:textId="2ABEAA26" w:rsidR="00403D85" w:rsidRPr="000D2DF6" w:rsidRDefault="00E82973" w:rsidP="00E82973">
            <w:pPr>
              <w:spacing w:after="0"/>
              <w:ind w:right="34"/>
              <w:jc w:val="center"/>
              <w:rPr>
                <w:rFonts w:ascii="Aptos" w:eastAsia="Times New Roman" w:hAnsi="Aptos" w:cs="Arial"/>
                <w:sz w:val="20"/>
                <w:szCs w:val="20"/>
              </w:rPr>
            </w:pPr>
            <w:r>
              <w:rPr>
                <w:rFonts w:ascii="Aptos" w:eastAsia="Times New Roman" w:hAnsi="Aptos" w:cs="Arial"/>
                <w:sz w:val="20"/>
                <w:szCs w:val="20"/>
              </w:rPr>
              <w:t xml:space="preserve">1196 to </w:t>
            </w:r>
            <w:r w:rsidR="00FA5D9F">
              <w:rPr>
                <w:rFonts w:ascii="Aptos" w:eastAsia="Times New Roman" w:hAnsi="Aptos" w:cs="Arial"/>
                <w:sz w:val="20"/>
                <w:szCs w:val="20"/>
              </w:rPr>
              <w:t>1329</w:t>
            </w:r>
          </w:p>
        </w:tc>
      </w:tr>
      <w:tr w:rsidR="00403D85" w:rsidRPr="000D2DF6" w14:paraId="4C95E471" w14:textId="0FCB1D4B" w:rsidTr="008F3585">
        <w:tc>
          <w:tcPr>
            <w:tcW w:w="1118" w:type="dxa"/>
            <w:vAlign w:val="center"/>
          </w:tcPr>
          <w:p w14:paraId="1A563D41" w14:textId="389E0E69" w:rsidR="00403D85" w:rsidRPr="000D2DF6" w:rsidRDefault="00403D85" w:rsidP="00403D85">
            <w:pPr>
              <w:spacing w:after="0"/>
              <w:ind w:right="-1346"/>
              <w:rPr>
                <w:rFonts w:ascii="Aptos" w:eastAsia="Times New Roman" w:hAnsi="Aptos" w:cs="Arial"/>
                <w:sz w:val="20"/>
                <w:szCs w:val="20"/>
              </w:rPr>
            </w:pPr>
            <w:r w:rsidRPr="000D2DF6">
              <w:rPr>
                <w:rFonts w:ascii="Aptos" w:eastAsia="Times New Roman" w:hAnsi="Aptos" w:cs="Arial"/>
                <w:sz w:val="20"/>
                <w:szCs w:val="20"/>
              </w:rPr>
              <w:t>4 - 8 yr</w:t>
            </w:r>
          </w:p>
        </w:tc>
        <w:tc>
          <w:tcPr>
            <w:tcW w:w="1037" w:type="dxa"/>
            <w:vAlign w:val="center"/>
          </w:tcPr>
          <w:p w14:paraId="7978A1BB" w14:textId="4D15113B" w:rsidR="00403D85" w:rsidRPr="000D2DF6" w:rsidRDefault="00403D85" w:rsidP="00403D85">
            <w:pPr>
              <w:spacing w:after="0"/>
              <w:ind w:right="38"/>
              <w:jc w:val="center"/>
              <w:rPr>
                <w:rFonts w:ascii="Aptos" w:eastAsia="Times New Roman" w:hAnsi="Aptos" w:cs="Arial"/>
                <w:sz w:val="20"/>
                <w:szCs w:val="20"/>
              </w:rPr>
            </w:pPr>
            <w:r w:rsidRPr="000D2DF6">
              <w:rPr>
                <w:rFonts w:ascii="Aptos" w:eastAsia="Times New Roman" w:hAnsi="Aptos" w:cs="Arial"/>
                <w:sz w:val="20"/>
                <w:szCs w:val="20"/>
              </w:rPr>
              <w:t>441^</w:t>
            </w:r>
          </w:p>
        </w:tc>
        <w:tc>
          <w:tcPr>
            <w:tcW w:w="1059" w:type="dxa"/>
            <w:shd w:val="clear" w:color="auto" w:fill="FAE2D5" w:themeFill="accent2" w:themeFillTint="33"/>
            <w:vAlign w:val="center"/>
          </w:tcPr>
          <w:p w14:paraId="23E168D7" w14:textId="444B4153"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1321 to 170</w:t>
            </w:r>
            <w:r>
              <w:rPr>
                <w:rFonts w:ascii="Aptos" w:eastAsia="Times New Roman" w:hAnsi="Aptos" w:cs="Arial"/>
                <w:sz w:val="20"/>
                <w:szCs w:val="20"/>
              </w:rPr>
              <w:t>5</w:t>
            </w:r>
          </w:p>
        </w:tc>
        <w:tc>
          <w:tcPr>
            <w:tcW w:w="768" w:type="dxa"/>
            <w:vAlign w:val="center"/>
          </w:tcPr>
          <w:p w14:paraId="53472ABB" w14:textId="0ED3F28D"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95</w:t>
            </w:r>
            <w:r>
              <w:rPr>
                <w:rFonts w:ascii="Aptos" w:eastAsia="Times New Roman" w:hAnsi="Aptos" w:cs="Arial"/>
                <w:sz w:val="20"/>
                <w:szCs w:val="20"/>
              </w:rPr>
              <w:t>2</w:t>
            </w:r>
          </w:p>
        </w:tc>
        <w:tc>
          <w:tcPr>
            <w:tcW w:w="769" w:type="dxa"/>
            <w:vAlign w:val="center"/>
          </w:tcPr>
          <w:p w14:paraId="6C3F2C1C" w14:textId="04F01E1C"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1007</w:t>
            </w:r>
          </w:p>
        </w:tc>
        <w:tc>
          <w:tcPr>
            <w:tcW w:w="768" w:type="dxa"/>
            <w:vAlign w:val="center"/>
          </w:tcPr>
          <w:p w14:paraId="4E8C28C1" w14:textId="5B6B033A" w:rsidR="00403D85" w:rsidRPr="000D2DF6" w:rsidRDefault="00461E42" w:rsidP="00403D85">
            <w:pPr>
              <w:spacing w:after="0"/>
              <w:ind w:right="36"/>
              <w:jc w:val="center"/>
              <w:rPr>
                <w:rFonts w:ascii="Aptos" w:eastAsia="Times New Roman" w:hAnsi="Aptos" w:cs="Arial"/>
                <w:sz w:val="20"/>
                <w:szCs w:val="20"/>
              </w:rPr>
            </w:pPr>
            <w:r>
              <w:rPr>
                <w:rFonts w:ascii="Aptos" w:eastAsia="Times New Roman" w:hAnsi="Aptos" w:cs="Arial"/>
                <w:sz w:val="20"/>
                <w:szCs w:val="20"/>
              </w:rPr>
              <w:t>NR</w:t>
            </w:r>
          </w:p>
        </w:tc>
        <w:tc>
          <w:tcPr>
            <w:tcW w:w="769" w:type="dxa"/>
            <w:vAlign w:val="center"/>
          </w:tcPr>
          <w:p w14:paraId="7204543E" w14:textId="37F8C471" w:rsidR="00403D85" w:rsidRPr="000D2DF6" w:rsidRDefault="00461E42" w:rsidP="00403D85">
            <w:pPr>
              <w:spacing w:after="0"/>
              <w:ind w:right="-115"/>
              <w:jc w:val="center"/>
              <w:rPr>
                <w:rFonts w:ascii="Aptos" w:eastAsia="Times New Roman" w:hAnsi="Aptos" w:cs="Arial"/>
                <w:sz w:val="20"/>
                <w:szCs w:val="20"/>
              </w:rPr>
            </w:pPr>
            <w:r>
              <w:rPr>
                <w:rFonts w:ascii="Aptos" w:eastAsia="Times New Roman" w:hAnsi="Aptos" w:cs="Arial"/>
                <w:sz w:val="20"/>
                <w:szCs w:val="20"/>
              </w:rPr>
              <w:t>NR</w:t>
            </w:r>
          </w:p>
        </w:tc>
        <w:tc>
          <w:tcPr>
            <w:tcW w:w="769" w:type="dxa"/>
            <w:vAlign w:val="center"/>
          </w:tcPr>
          <w:p w14:paraId="2B20D073" w14:textId="5D94E848" w:rsidR="00403D85" w:rsidRPr="000D2DF6" w:rsidRDefault="00461E42" w:rsidP="00403D85">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768" w:type="dxa"/>
            <w:vAlign w:val="center"/>
          </w:tcPr>
          <w:p w14:paraId="24E9A46B" w14:textId="34A00C11" w:rsidR="00403D85" w:rsidRPr="000D2DF6" w:rsidRDefault="00461E42" w:rsidP="00403D85">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769" w:type="dxa"/>
            <w:vAlign w:val="center"/>
          </w:tcPr>
          <w:p w14:paraId="32557224" w14:textId="4C3CB460"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776</w:t>
            </w:r>
          </w:p>
        </w:tc>
        <w:tc>
          <w:tcPr>
            <w:tcW w:w="769" w:type="dxa"/>
            <w:vAlign w:val="center"/>
          </w:tcPr>
          <w:p w14:paraId="13089DAE" w14:textId="66E21F61" w:rsidR="00403D85" w:rsidRPr="000D2DF6" w:rsidRDefault="00403D85" w:rsidP="00403D85">
            <w:pPr>
              <w:spacing w:after="0"/>
              <w:ind w:right="34"/>
              <w:jc w:val="center"/>
              <w:rPr>
                <w:rFonts w:ascii="Aptos" w:eastAsia="Times New Roman" w:hAnsi="Aptos" w:cs="Arial"/>
                <w:sz w:val="20"/>
                <w:szCs w:val="20"/>
              </w:rPr>
            </w:pPr>
            <w:r w:rsidRPr="000D2DF6">
              <w:rPr>
                <w:rFonts w:ascii="Aptos" w:eastAsia="Times New Roman" w:hAnsi="Aptos" w:cs="Arial"/>
                <w:sz w:val="20"/>
                <w:szCs w:val="20"/>
              </w:rPr>
              <w:t>86</w:t>
            </w:r>
            <w:r>
              <w:rPr>
                <w:rFonts w:ascii="Aptos" w:eastAsia="Times New Roman" w:hAnsi="Aptos" w:cs="Arial"/>
                <w:sz w:val="20"/>
                <w:szCs w:val="20"/>
              </w:rPr>
              <w:t>5</w:t>
            </w:r>
          </w:p>
        </w:tc>
        <w:tc>
          <w:tcPr>
            <w:tcW w:w="1237" w:type="dxa"/>
          </w:tcPr>
          <w:p w14:paraId="0FBAAA93" w14:textId="0BF3F0AC" w:rsidR="00403D85" w:rsidRPr="000D2DF6" w:rsidRDefault="00314C16" w:rsidP="00314C16">
            <w:pPr>
              <w:spacing w:after="0"/>
              <w:ind w:right="34"/>
              <w:jc w:val="center"/>
              <w:rPr>
                <w:rFonts w:ascii="Aptos" w:eastAsia="Times New Roman" w:hAnsi="Aptos" w:cs="Arial"/>
                <w:sz w:val="20"/>
                <w:szCs w:val="20"/>
              </w:rPr>
            </w:pPr>
            <w:r>
              <w:rPr>
                <w:rFonts w:ascii="Aptos" w:eastAsia="Times New Roman" w:hAnsi="Aptos" w:cs="Arial"/>
                <w:sz w:val="20"/>
                <w:szCs w:val="20"/>
              </w:rPr>
              <w:t xml:space="preserve">1090 to </w:t>
            </w:r>
            <w:r w:rsidR="003C0391">
              <w:rPr>
                <w:rFonts w:ascii="Aptos" w:eastAsia="Times New Roman" w:hAnsi="Aptos" w:cs="Arial"/>
                <w:sz w:val="20"/>
                <w:szCs w:val="20"/>
              </w:rPr>
              <w:t>1282</w:t>
            </w:r>
          </w:p>
        </w:tc>
        <w:tc>
          <w:tcPr>
            <w:tcW w:w="1116" w:type="dxa"/>
          </w:tcPr>
          <w:p w14:paraId="27EA7D37" w14:textId="53732F3F" w:rsidR="00403D85" w:rsidRPr="000D2DF6" w:rsidRDefault="008A0064" w:rsidP="007C2CFE">
            <w:pPr>
              <w:spacing w:after="0"/>
              <w:ind w:right="34"/>
              <w:jc w:val="center"/>
              <w:rPr>
                <w:rFonts w:ascii="Aptos" w:eastAsia="Times New Roman" w:hAnsi="Aptos" w:cs="Arial"/>
                <w:sz w:val="20"/>
                <w:szCs w:val="20"/>
              </w:rPr>
            </w:pPr>
            <w:r>
              <w:rPr>
                <w:rFonts w:ascii="Aptos" w:eastAsia="Times New Roman" w:hAnsi="Aptos" w:cs="Arial"/>
                <w:sz w:val="20"/>
                <w:szCs w:val="20"/>
              </w:rPr>
              <w:t>1131</w:t>
            </w:r>
            <w:r w:rsidR="007C2CFE">
              <w:rPr>
                <w:rFonts w:ascii="Aptos" w:eastAsia="Times New Roman" w:hAnsi="Aptos" w:cs="Arial"/>
                <w:sz w:val="20"/>
                <w:szCs w:val="20"/>
              </w:rPr>
              <w:t xml:space="preserve"> to </w:t>
            </w:r>
            <w:r>
              <w:rPr>
                <w:rFonts w:ascii="Aptos" w:eastAsia="Times New Roman" w:hAnsi="Aptos" w:cs="Arial"/>
                <w:sz w:val="20"/>
                <w:szCs w:val="20"/>
              </w:rPr>
              <w:t>1406</w:t>
            </w:r>
          </w:p>
        </w:tc>
        <w:tc>
          <w:tcPr>
            <w:tcW w:w="1116" w:type="dxa"/>
            <w:shd w:val="clear" w:color="auto" w:fill="FAE2D5" w:themeFill="accent2" w:themeFillTint="33"/>
          </w:tcPr>
          <w:p w14:paraId="6BC4C293" w14:textId="22B0D671" w:rsidR="00403D85" w:rsidRPr="000D2DF6" w:rsidRDefault="00A537CF" w:rsidP="00A537CF">
            <w:pPr>
              <w:spacing w:after="0"/>
              <w:ind w:right="34"/>
              <w:jc w:val="center"/>
              <w:rPr>
                <w:rFonts w:ascii="Aptos" w:eastAsia="Times New Roman" w:hAnsi="Aptos" w:cs="Arial"/>
                <w:sz w:val="20"/>
                <w:szCs w:val="20"/>
              </w:rPr>
            </w:pPr>
            <w:r>
              <w:rPr>
                <w:rFonts w:ascii="Aptos" w:eastAsia="Times New Roman" w:hAnsi="Aptos" w:cs="Arial"/>
                <w:sz w:val="20"/>
                <w:szCs w:val="20"/>
              </w:rPr>
              <w:t>1408 to 1621</w:t>
            </w:r>
          </w:p>
        </w:tc>
        <w:tc>
          <w:tcPr>
            <w:tcW w:w="1116" w:type="dxa"/>
            <w:shd w:val="clear" w:color="auto" w:fill="FAE2D5" w:themeFill="accent2" w:themeFillTint="33"/>
          </w:tcPr>
          <w:p w14:paraId="7E2F82DC" w14:textId="7EFC7600" w:rsidR="007C2CFE" w:rsidRPr="000D2DF6" w:rsidRDefault="007C2CFE" w:rsidP="00EE60DA">
            <w:pPr>
              <w:spacing w:after="0"/>
              <w:ind w:right="34"/>
              <w:jc w:val="center"/>
              <w:rPr>
                <w:rFonts w:ascii="Aptos" w:eastAsia="Times New Roman" w:hAnsi="Aptos" w:cs="Arial"/>
                <w:sz w:val="20"/>
                <w:szCs w:val="20"/>
              </w:rPr>
            </w:pPr>
            <w:r>
              <w:rPr>
                <w:rFonts w:ascii="Aptos" w:eastAsia="Times New Roman" w:hAnsi="Aptos" w:cs="Arial"/>
                <w:sz w:val="20"/>
                <w:szCs w:val="20"/>
              </w:rPr>
              <w:t>1</w:t>
            </w:r>
            <w:r w:rsidR="00EE60DA">
              <w:rPr>
                <w:rFonts w:ascii="Aptos" w:eastAsia="Times New Roman" w:hAnsi="Aptos" w:cs="Arial"/>
                <w:sz w:val="20"/>
                <w:szCs w:val="20"/>
              </w:rPr>
              <w:t xml:space="preserve">529 to </w:t>
            </w:r>
            <w:r>
              <w:rPr>
                <w:rFonts w:ascii="Aptos" w:eastAsia="Times New Roman" w:hAnsi="Aptos" w:cs="Arial"/>
                <w:sz w:val="20"/>
                <w:szCs w:val="20"/>
              </w:rPr>
              <w:t>1790</w:t>
            </w:r>
          </w:p>
        </w:tc>
      </w:tr>
      <w:tr w:rsidR="00403D85" w:rsidRPr="000D2DF6" w14:paraId="19B8C73D" w14:textId="760C5D06" w:rsidTr="008F3585">
        <w:tc>
          <w:tcPr>
            <w:tcW w:w="1118" w:type="dxa"/>
            <w:vAlign w:val="center"/>
          </w:tcPr>
          <w:p w14:paraId="300C07FD" w14:textId="229B9E0D" w:rsidR="00403D85" w:rsidRPr="000D2DF6" w:rsidRDefault="00403D85" w:rsidP="00403D85">
            <w:pPr>
              <w:spacing w:after="0"/>
              <w:ind w:right="-1346"/>
              <w:rPr>
                <w:rFonts w:ascii="Aptos" w:eastAsia="Times New Roman" w:hAnsi="Aptos" w:cs="Arial"/>
                <w:sz w:val="20"/>
                <w:szCs w:val="20"/>
              </w:rPr>
            </w:pPr>
            <w:r w:rsidRPr="000D2DF6">
              <w:rPr>
                <w:rFonts w:ascii="Aptos" w:eastAsia="Times New Roman" w:hAnsi="Aptos" w:cs="Arial"/>
                <w:sz w:val="20"/>
                <w:szCs w:val="20"/>
              </w:rPr>
              <w:t>9 - 11 yr</w:t>
            </w:r>
          </w:p>
        </w:tc>
        <w:tc>
          <w:tcPr>
            <w:tcW w:w="1037" w:type="dxa"/>
            <w:shd w:val="clear" w:color="auto" w:fill="F2CEED" w:themeFill="accent5" w:themeFillTint="33"/>
            <w:vAlign w:val="center"/>
          </w:tcPr>
          <w:p w14:paraId="589B4742" w14:textId="6CB7B0B4" w:rsidR="00403D85" w:rsidRPr="000D2DF6" w:rsidRDefault="00403D85" w:rsidP="00403D85">
            <w:pPr>
              <w:spacing w:after="0"/>
              <w:ind w:right="38"/>
              <w:jc w:val="center"/>
              <w:rPr>
                <w:rFonts w:ascii="Aptos" w:eastAsia="Times New Roman" w:hAnsi="Aptos" w:cs="Arial"/>
                <w:sz w:val="20"/>
                <w:szCs w:val="20"/>
              </w:rPr>
            </w:pPr>
            <w:r w:rsidRPr="000D2DF6">
              <w:rPr>
                <w:rFonts w:ascii="Aptos" w:eastAsia="Times New Roman" w:hAnsi="Aptos" w:cs="Arial"/>
                <w:sz w:val="20"/>
                <w:szCs w:val="20"/>
              </w:rPr>
              <w:t>556^</w:t>
            </w:r>
          </w:p>
        </w:tc>
        <w:tc>
          <w:tcPr>
            <w:tcW w:w="1059" w:type="dxa"/>
            <w:shd w:val="clear" w:color="auto" w:fill="FAE2D5" w:themeFill="accent2" w:themeFillTint="33"/>
            <w:vAlign w:val="center"/>
          </w:tcPr>
          <w:p w14:paraId="580985DB" w14:textId="271B6D68"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1571 to 214</w:t>
            </w:r>
            <w:r>
              <w:rPr>
                <w:rFonts w:ascii="Aptos" w:eastAsia="Times New Roman" w:hAnsi="Aptos" w:cs="Arial"/>
                <w:sz w:val="20"/>
                <w:szCs w:val="20"/>
              </w:rPr>
              <w:t>7</w:t>
            </w:r>
          </w:p>
        </w:tc>
        <w:tc>
          <w:tcPr>
            <w:tcW w:w="768" w:type="dxa"/>
            <w:vAlign w:val="center"/>
          </w:tcPr>
          <w:p w14:paraId="24637F5B" w14:textId="333E5AC1"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1189</w:t>
            </w:r>
          </w:p>
        </w:tc>
        <w:tc>
          <w:tcPr>
            <w:tcW w:w="769" w:type="dxa"/>
            <w:vAlign w:val="center"/>
          </w:tcPr>
          <w:p w14:paraId="18199ABB" w14:textId="223F7A63"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1175</w:t>
            </w:r>
          </w:p>
        </w:tc>
        <w:tc>
          <w:tcPr>
            <w:tcW w:w="768" w:type="dxa"/>
            <w:vAlign w:val="center"/>
          </w:tcPr>
          <w:p w14:paraId="2951C38A" w14:textId="13D60DC8" w:rsidR="00403D85" w:rsidRPr="000D2DF6" w:rsidRDefault="00403D85" w:rsidP="00403D85">
            <w:pPr>
              <w:spacing w:after="0"/>
              <w:ind w:right="36"/>
              <w:jc w:val="center"/>
              <w:rPr>
                <w:rFonts w:ascii="Aptos" w:eastAsia="Times New Roman" w:hAnsi="Aptos" w:cs="Arial"/>
                <w:sz w:val="20"/>
                <w:szCs w:val="20"/>
              </w:rPr>
            </w:pPr>
            <w:r w:rsidRPr="000D2DF6">
              <w:rPr>
                <w:rFonts w:ascii="Aptos" w:eastAsia="Times New Roman" w:hAnsi="Aptos" w:cs="Arial"/>
                <w:sz w:val="20"/>
                <w:szCs w:val="20"/>
              </w:rPr>
              <w:t>831</w:t>
            </w:r>
          </w:p>
        </w:tc>
        <w:tc>
          <w:tcPr>
            <w:tcW w:w="769" w:type="dxa"/>
            <w:vAlign w:val="center"/>
          </w:tcPr>
          <w:p w14:paraId="40C7432C" w14:textId="5D8C2750"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751</w:t>
            </w:r>
          </w:p>
        </w:tc>
        <w:tc>
          <w:tcPr>
            <w:tcW w:w="769" w:type="dxa"/>
            <w:vAlign w:val="center"/>
          </w:tcPr>
          <w:p w14:paraId="3768D81C" w14:textId="3D5A75A0" w:rsidR="00403D85" w:rsidRPr="000D2DF6" w:rsidRDefault="00403D85" w:rsidP="00403D85">
            <w:pPr>
              <w:spacing w:after="0"/>
              <w:ind w:right="27"/>
              <w:jc w:val="center"/>
              <w:rPr>
                <w:rFonts w:ascii="Aptos" w:eastAsia="Times New Roman" w:hAnsi="Aptos" w:cs="Arial"/>
                <w:sz w:val="20"/>
                <w:szCs w:val="20"/>
              </w:rPr>
            </w:pPr>
            <w:r w:rsidRPr="000D2DF6">
              <w:rPr>
                <w:rFonts w:ascii="Aptos" w:eastAsia="Times New Roman" w:hAnsi="Aptos" w:cs="Arial"/>
                <w:sz w:val="20"/>
                <w:szCs w:val="20"/>
              </w:rPr>
              <w:t>1048</w:t>
            </w:r>
          </w:p>
        </w:tc>
        <w:tc>
          <w:tcPr>
            <w:tcW w:w="768" w:type="dxa"/>
            <w:vAlign w:val="center"/>
          </w:tcPr>
          <w:p w14:paraId="4C377DF1" w14:textId="64B2EECA" w:rsidR="00403D85" w:rsidRPr="000D2DF6" w:rsidRDefault="00403D85" w:rsidP="00403D85">
            <w:pPr>
              <w:spacing w:after="0"/>
              <w:ind w:right="27"/>
              <w:jc w:val="center"/>
              <w:rPr>
                <w:rFonts w:ascii="Aptos" w:eastAsia="Times New Roman" w:hAnsi="Aptos" w:cs="Arial"/>
                <w:sz w:val="20"/>
                <w:szCs w:val="20"/>
              </w:rPr>
            </w:pPr>
            <w:r w:rsidRPr="000D2DF6">
              <w:rPr>
                <w:rFonts w:ascii="Aptos" w:eastAsia="Times New Roman" w:hAnsi="Aptos" w:cs="Arial"/>
                <w:sz w:val="20"/>
                <w:szCs w:val="20"/>
              </w:rPr>
              <w:t>989</w:t>
            </w:r>
          </w:p>
        </w:tc>
        <w:tc>
          <w:tcPr>
            <w:tcW w:w="769" w:type="dxa"/>
            <w:vAlign w:val="center"/>
          </w:tcPr>
          <w:p w14:paraId="07E7633E" w14:textId="221E108C"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1054</w:t>
            </w:r>
          </w:p>
        </w:tc>
        <w:tc>
          <w:tcPr>
            <w:tcW w:w="769" w:type="dxa"/>
            <w:vAlign w:val="center"/>
          </w:tcPr>
          <w:p w14:paraId="52D6E916" w14:textId="55FAE2CC" w:rsidR="00403D85" w:rsidRPr="000D2DF6" w:rsidRDefault="00403D85" w:rsidP="00403D85">
            <w:pPr>
              <w:spacing w:after="0"/>
              <w:ind w:right="34"/>
              <w:jc w:val="center"/>
              <w:rPr>
                <w:rFonts w:ascii="Aptos" w:eastAsia="Times New Roman" w:hAnsi="Aptos" w:cs="Arial"/>
                <w:sz w:val="20"/>
                <w:szCs w:val="20"/>
              </w:rPr>
            </w:pPr>
            <w:r w:rsidRPr="000D2DF6">
              <w:rPr>
                <w:rFonts w:ascii="Aptos" w:eastAsia="Times New Roman" w:hAnsi="Aptos" w:cs="Arial"/>
                <w:sz w:val="20"/>
                <w:szCs w:val="20"/>
              </w:rPr>
              <w:t>91</w:t>
            </w:r>
            <w:r>
              <w:rPr>
                <w:rFonts w:ascii="Aptos" w:eastAsia="Times New Roman" w:hAnsi="Aptos" w:cs="Arial"/>
                <w:sz w:val="20"/>
                <w:szCs w:val="20"/>
              </w:rPr>
              <w:t>6</w:t>
            </w:r>
          </w:p>
        </w:tc>
        <w:tc>
          <w:tcPr>
            <w:tcW w:w="1237" w:type="dxa"/>
          </w:tcPr>
          <w:p w14:paraId="4C514C4F" w14:textId="2668082F" w:rsidR="00403D85" w:rsidRPr="000D2DF6" w:rsidRDefault="00450438" w:rsidP="00450438">
            <w:pPr>
              <w:spacing w:after="0"/>
              <w:ind w:right="34"/>
              <w:jc w:val="center"/>
              <w:rPr>
                <w:rFonts w:ascii="Aptos" w:eastAsia="Times New Roman" w:hAnsi="Aptos" w:cs="Arial"/>
                <w:sz w:val="20"/>
                <w:szCs w:val="20"/>
              </w:rPr>
            </w:pPr>
            <w:r>
              <w:rPr>
                <w:rFonts w:ascii="Aptos" w:eastAsia="Times New Roman" w:hAnsi="Aptos" w:cs="Arial"/>
                <w:sz w:val="20"/>
                <w:szCs w:val="20"/>
              </w:rPr>
              <w:t>1231 to 1458</w:t>
            </w:r>
          </w:p>
        </w:tc>
        <w:tc>
          <w:tcPr>
            <w:tcW w:w="1116" w:type="dxa"/>
          </w:tcPr>
          <w:p w14:paraId="25FC9D61" w14:textId="1C0E6A01" w:rsidR="00403D85" w:rsidRPr="000D2DF6" w:rsidRDefault="00B7621E" w:rsidP="00B7621E">
            <w:pPr>
              <w:spacing w:after="0"/>
              <w:ind w:right="34"/>
              <w:jc w:val="center"/>
              <w:rPr>
                <w:rFonts w:ascii="Aptos" w:eastAsia="Times New Roman" w:hAnsi="Aptos" w:cs="Arial"/>
                <w:sz w:val="20"/>
                <w:szCs w:val="20"/>
              </w:rPr>
            </w:pPr>
            <w:r>
              <w:rPr>
                <w:rFonts w:ascii="Aptos" w:eastAsia="Times New Roman" w:hAnsi="Aptos" w:cs="Arial"/>
                <w:sz w:val="20"/>
                <w:szCs w:val="20"/>
              </w:rPr>
              <w:t xml:space="preserve">1330 to </w:t>
            </w:r>
            <w:r w:rsidR="00EE60DA">
              <w:rPr>
                <w:rFonts w:ascii="Aptos" w:eastAsia="Times New Roman" w:hAnsi="Aptos" w:cs="Arial"/>
                <w:sz w:val="20"/>
                <w:szCs w:val="20"/>
              </w:rPr>
              <w:t>1434</w:t>
            </w:r>
          </w:p>
        </w:tc>
        <w:tc>
          <w:tcPr>
            <w:tcW w:w="1116" w:type="dxa"/>
          </w:tcPr>
          <w:p w14:paraId="60317614" w14:textId="6C1815A8" w:rsidR="00403D85" w:rsidRPr="000D2DF6" w:rsidRDefault="00EE7FE7" w:rsidP="00EE7FE7">
            <w:pPr>
              <w:spacing w:after="0"/>
              <w:ind w:right="34"/>
              <w:jc w:val="center"/>
              <w:rPr>
                <w:rFonts w:ascii="Aptos" w:eastAsia="Times New Roman" w:hAnsi="Aptos" w:cs="Arial"/>
                <w:sz w:val="20"/>
                <w:szCs w:val="20"/>
              </w:rPr>
            </w:pPr>
            <w:r>
              <w:rPr>
                <w:rFonts w:ascii="Aptos" w:eastAsia="Times New Roman" w:hAnsi="Aptos" w:cs="Arial"/>
                <w:sz w:val="20"/>
                <w:szCs w:val="20"/>
              </w:rPr>
              <w:t>1502 to 1811</w:t>
            </w:r>
          </w:p>
        </w:tc>
        <w:tc>
          <w:tcPr>
            <w:tcW w:w="1116" w:type="dxa"/>
          </w:tcPr>
          <w:p w14:paraId="5359A0B2" w14:textId="3234DFFF" w:rsidR="00403D85" w:rsidRPr="000D2DF6" w:rsidRDefault="00003FB8" w:rsidP="00BA08B9">
            <w:pPr>
              <w:spacing w:after="0"/>
              <w:ind w:right="34"/>
              <w:jc w:val="center"/>
              <w:rPr>
                <w:rFonts w:ascii="Aptos" w:eastAsia="Times New Roman" w:hAnsi="Aptos" w:cs="Arial"/>
                <w:sz w:val="20"/>
                <w:szCs w:val="20"/>
              </w:rPr>
            </w:pPr>
            <w:r>
              <w:rPr>
                <w:rFonts w:ascii="Aptos" w:eastAsia="Times New Roman" w:hAnsi="Aptos" w:cs="Arial"/>
                <w:sz w:val="20"/>
                <w:szCs w:val="20"/>
              </w:rPr>
              <w:t>1613</w:t>
            </w:r>
            <w:r w:rsidR="00BA08B9">
              <w:rPr>
                <w:rFonts w:ascii="Aptos" w:eastAsia="Times New Roman" w:hAnsi="Aptos" w:cs="Arial"/>
                <w:sz w:val="20"/>
                <w:szCs w:val="20"/>
              </w:rPr>
              <w:t xml:space="preserve"> to </w:t>
            </w:r>
            <w:r>
              <w:rPr>
                <w:rFonts w:ascii="Aptos" w:eastAsia="Times New Roman" w:hAnsi="Aptos" w:cs="Arial"/>
                <w:sz w:val="20"/>
                <w:szCs w:val="20"/>
              </w:rPr>
              <w:t>1987</w:t>
            </w:r>
          </w:p>
        </w:tc>
      </w:tr>
      <w:tr w:rsidR="00403D85" w:rsidRPr="000D2DF6" w14:paraId="618D4659" w14:textId="15913AAA" w:rsidTr="008F3585">
        <w:tc>
          <w:tcPr>
            <w:tcW w:w="1118" w:type="dxa"/>
            <w:vAlign w:val="center"/>
          </w:tcPr>
          <w:p w14:paraId="2D69796A" w14:textId="470B0C46" w:rsidR="00403D85" w:rsidRPr="000D2DF6" w:rsidRDefault="00403D85" w:rsidP="00403D85">
            <w:pPr>
              <w:spacing w:after="0"/>
              <w:ind w:right="-1346"/>
              <w:rPr>
                <w:rFonts w:ascii="Aptos" w:eastAsia="Times New Roman" w:hAnsi="Aptos" w:cs="Arial"/>
                <w:sz w:val="20"/>
                <w:szCs w:val="20"/>
              </w:rPr>
            </w:pPr>
            <w:r w:rsidRPr="000D2DF6">
              <w:rPr>
                <w:rFonts w:ascii="Aptos" w:eastAsia="Times New Roman" w:hAnsi="Aptos" w:cs="Arial"/>
                <w:sz w:val="20"/>
                <w:szCs w:val="20"/>
              </w:rPr>
              <w:t>12 - 13 yr</w:t>
            </w:r>
          </w:p>
        </w:tc>
        <w:tc>
          <w:tcPr>
            <w:tcW w:w="1037" w:type="dxa"/>
            <w:vMerge w:val="restart"/>
            <w:shd w:val="clear" w:color="auto" w:fill="F2CEED" w:themeFill="accent5" w:themeFillTint="33"/>
            <w:vAlign w:val="center"/>
          </w:tcPr>
          <w:p w14:paraId="426393AD" w14:textId="27EE7085" w:rsidR="00403D85" w:rsidRPr="000D2DF6" w:rsidRDefault="00403D85" w:rsidP="00403D85">
            <w:pPr>
              <w:spacing w:after="0"/>
              <w:ind w:right="38"/>
              <w:jc w:val="center"/>
              <w:rPr>
                <w:rFonts w:ascii="Aptos" w:eastAsia="Times New Roman" w:hAnsi="Aptos" w:cs="Arial"/>
                <w:sz w:val="20"/>
                <w:szCs w:val="20"/>
              </w:rPr>
            </w:pPr>
            <w:r w:rsidRPr="000D2DF6">
              <w:rPr>
                <w:rFonts w:ascii="Aptos" w:eastAsia="Times New Roman" w:hAnsi="Aptos" w:cs="Arial"/>
                <w:sz w:val="20"/>
                <w:szCs w:val="20"/>
              </w:rPr>
              <w:t>68</w:t>
            </w:r>
            <w:r>
              <w:rPr>
                <w:rFonts w:ascii="Aptos" w:eastAsia="Times New Roman" w:hAnsi="Aptos" w:cs="Arial"/>
                <w:sz w:val="20"/>
                <w:szCs w:val="20"/>
              </w:rPr>
              <w:t>8</w:t>
            </w:r>
            <w:r w:rsidRPr="000D2DF6">
              <w:rPr>
                <w:rFonts w:ascii="Aptos" w:eastAsia="Times New Roman" w:hAnsi="Aptos" w:cs="Arial"/>
                <w:sz w:val="20"/>
                <w:szCs w:val="20"/>
              </w:rPr>
              <w:t>^</w:t>
            </w:r>
          </w:p>
        </w:tc>
        <w:tc>
          <w:tcPr>
            <w:tcW w:w="1059" w:type="dxa"/>
            <w:vMerge w:val="restart"/>
            <w:shd w:val="clear" w:color="auto" w:fill="FAE2D5" w:themeFill="accent2" w:themeFillTint="33"/>
            <w:vAlign w:val="center"/>
          </w:tcPr>
          <w:p w14:paraId="01252839" w14:textId="1829247E"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150</w:t>
            </w:r>
            <w:r>
              <w:rPr>
                <w:rFonts w:ascii="Aptos" w:eastAsia="Times New Roman" w:hAnsi="Aptos" w:cs="Arial"/>
                <w:sz w:val="20"/>
                <w:szCs w:val="20"/>
              </w:rPr>
              <w:t>4</w:t>
            </w:r>
            <w:r w:rsidRPr="000D2DF6">
              <w:rPr>
                <w:rFonts w:ascii="Aptos" w:eastAsia="Times New Roman" w:hAnsi="Aptos" w:cs="Arial"/>
                <w:sz w:val="20"/>
                <w:szCs w:val="20"/>
              </w:rPr>
              <w:t xml:space="preserve"> to 2654</w:t>
            </w:r>
          </w:p>
        </w:tc>
        <w:tc>
          <w:tcPr>
            <w:tcW w:w="768" w:type="dxa"/>
            <w:vAlign w:val="center"/>
          </w:tcPr>
          <w:p w14:paraId="42FC2A0B" w14:textId="12AFEF1B"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1379</w:t>
            </w:r>
          </w:p>
        </w:tc>
        <w:tc>
          <w:tcPr>
            <w:tcW w:w="769" w:type="dxa"/>
            <w:vAlign w:val="center"/>
          </w:tcPr>
          <w:p w14:paraId="5EE5CCBC" w14:textId="7435941C"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145</w:t>
            </w:r>
            <w:r>
              <w:rPr>
                <w:rFonts w:ascii="Aptos" w:eastAsia="Times New Roman" w:hAnsi="Aptos" w:cs="Arial"/>
                <w:sz w:val="20"/>
                <w:szCs w:val="20"/>
              </w:rPr>
              <w:t>6</w:t>
            </w:r>
          </w:p>
        </w:tc>
        <w:tc>
          <w:tcPr>
            <w:tcW w:w="768" w:type="dxa"/>
            <w:vAlign w:val="center"/>
          </w:tcPr>
          <w:p w14:paraId="30EC3DA3" w14:textId="1D5ED40B" w:rsidR="00403D85" w:rsidRPr="000D2DF6" w:rsidRDefault="00403D85" w:rsidP="00403D85">
            <w:pPr>
              <w:spacing w:after="0"/>
              <w:ind w:right="36"/>
              <w:jc w:val="center"/>
              <w:rPr>
                <w:rFonts w:ascii="Aptos" w:eastAsia="Times New Roman" w:hAnsi="Aptos" w:cs="Arial"/>
                <w:sz w:val="20"/>
                <w:szCs w:val="20"/>
              </w:rPr>
            </w:pPr>
            <w:r w:rsidRPr="000D2DF6">
              <w:rPr>
                <w:rFonts w:ascii="Aptos" w:eastAsia="Times New Roman" w:hAnsi="Aptos" w:cs="Arial"/>
                <w:sz w:val="20"/>
                <w:szCs w:val="20"/>
              </w:rPr>
              <w:t>1017</w:t>
            </w:r>
          </w:p>
        </w:tc>
        <w:tc>
          <w:tcPr>
            <w:tcW w:w="769" w:type="dxa"/>
            <w:vAlign w:val="center"/>
          </w:tcPr>
          <w:p w14:paraId="72055AEC" w14:textId="331C0768"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97</w:t>
            </w:r>
            <w:r>
              <w:rPr>
                <w:rFonts w:ascii="Aptos" w:eastAsia="Times New Roman" w:hAnsi="Aptos" w:cs="Arial"/>
                <w:sz w:val="20"/>
                <w:szCs w:val="20"/>
              </w:rPr>
              <w:t>0</w:t>
            </w:r>
          </w:p>
        </w:tc>
        <w:tc>
          <w:tcPr>
            <w:tcW w:w="769" w:type="dxa"/>
            <w:vAlign w:val="center"/>
          </w:tcPr>
          <w:p w14:paraId="527DFF3A" w14:textId="66264AAA" w:rsidR="00403D85" w:rsidRPr="000D2DF6" w:rsidRDefault="00403D85" w:rsidP="00403D85">
            <w:pPr>
              <w:spacing w:after="0"/>
              <w:ind w:right="27"/>
              <w:jc w:val="center"/>
              <w:rPr>
                <w:rFonts w:ascii="Aptos" w:eastAsia="Times New Roman" w:hAnsi="Aptos" w:cs="Arial"/>
                <w:sz w:val="20"/>
                <w:szCs w:val="20"/>
              </w:rPr>
            </w:pPr>
            <w:r w:rsidRPr="000D2DF6">
              <w:rPr>
                <w:rFonts w:ascii="Aptos" w:eastAsia="Times New Roman" w:hAnsi="Aptos" w:cs="Arial"/>
                <w:sz w:val="20"/>
                <w:szCs w:val="20"/>
              </w:rPr>
              <w:t>120</w:t>
            </w:r>
            <w:r>
              <w:rPr>
                <w:rFonts w:ascii="Aptos" w:eastAsia="Times New Roman" w:hAnsi="Aptos" w:cs="Arial"/>
                <w:sz w:val="20"/>
                <w:szCs w:val="20"/>
              </w:rPr>
              <w:t>4</w:t>
            </w:r>
          </w:p>
        </w:tc>
        <w:tc>
          <w:tcPr>
            <w:tcW w:w="768" w:type="dxa"/>
            <w:vAlign w:val="center"/>
          </w:tcPr>
          <w:p w14:paraId="46B538B3" w14:textId="3C89DAB0" w:rsidR="00403D85" w:rsidRPr="000D2DF6" w:rsidRDefault="00403D85" w:rsidP="00403D85">
            <w:pPr>
              <w:spacing w:after="0"/>
              <w:ind w:right="27"/>
              <w:jc w:val="center"/>
              <w:rPr>
                <w:rFonts w:ascii="Aptos" w:eastAsia="Times New Roman" w:hAnsi="Aptos" w:cs="Arial"/>
                <w:sz w:val="20"/>
                <w:szCs w:val="20"/>
              </w:rPr>
            </w:pPr>
            <w:r w:rsidRPr="000D2DF6">
              <w:rPr>
                <w:rFonts w:ascii="Aptos" w:eastAsia="Times New Roman" w:hAnsi="Aptos" w:cs="Arial"/>
                <w:sz w:val="20"/>
                <w:szCs w:val="20"/>
              </w:rPr>
              <w:t>1094</w:t>
            </w:r>
          </w:p>
        </w:tc>
        <w:tc>
          <w:tcPr>
            <w:tcW w:w="769" w:type="dxa"/>
            <w:vAlign w:val="center"/>
          </w:tcPr>
          <w:p w14:paraId="314D02B2" w14:textId="244C0B0D"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110</w:t>
            </w:r>
            <w:r>
              <w:rPr>
                <w:rFonts w:ascii="Aptos" w:eastAsia="Times New Roman" w:hAnsi="Aptos" w:cs="Arial"/>
                <w:sz w:val="20"/>
                <w:szCs w:val="20"/>
              </w:rPr>
              <w:t>7</w:t>
            </w:r>
          </w:p>
        </w:tc>
        <w:tc>
          <w:tcPr>
            <w:tcW w:w="769" w:type="dxa"/>
            <w:vAlign w:val="center"/>
          </w:tcPr>
          <w:p w14:paraId="726D2E11" w14:textId="5B3D3E3A" w:rsidR="00403D85" w:rsidRPr="000D2DF6" w:rsidRDefault="00403D85" w:rsidP="00403D85">
            <w:pPr>
              <w:spacing w:after="0"/>
              <w:ind w:right="34"/>
              <w:jc w:val="center"/>
              <w:rPr>
                <w:rFonts w:ascii="Aptos" w:eastAsia="Times New Roman" w:hAnsi="Aptos" w:cs="Arial"/>
                <w:sz w:val="20"/>
                <w:szCs w:val="20"/>
              </w:rPr>
            </w:pPr>
            <w:r w:rsidRPr="000D2DF6">
              <w:rPr>
                <w:rFonts w:ascii="Aptos" w:eastAsia="Times New Roman" w:hAnsi="Aptos" w:cs="Arial"/>
                <w:sz w:val="20"/>
                <w:szCs w:val="20"/>
              </w:rPr>
              <w:t>112</w:t>
            </w:r>
            <w:r>
              <w:rPr>
                <w:rFonts w:ascii="Aptos" w:eastAsia="Times New Roman" w:hAnsi="Aptos" w:cs="Arial"/>
                <w:sz w:val="20"/>
                <w:szCs w:val="20"/>
              </w:rPr>
              <w:t>4</w:t>
            </w:r>
          </w:p>
        </w:tc>
        <w:tc>
          <w:tcPr>
            <w:tcW w:w="1237" w:type="dxa"/>
          </w:tcPr>
          <w:p w14:paraId="484C8CB6" w14:textId="383FA9AD" w:rsidR="00403D85" w:rsidRPr="000D2DF6" w:rsidRDefault="0096231E" w:rsidP="0096231E">
            <w:pPr>
              <w:spacing w:after="0"/>
              <w:ind w:right="34"/>
              <w:jc w:val="center"/>
              <w:rPr>
                <w:rFonts w:ascii="Aptos" w:eastAsia="Times New Roman" w:hAnsi="Aptos" w:cs="Arial"/>
                <w:sz w:val="20"/>
                <w:szCs w:val="20"/>
              </w:rPr>
            </w:pPr>
            <w:r>
              <w:rPr>
                <w:rFonts w:ascii="Aptos" w:eastAsia="Times New Roman" w:hAnsi="Aptos" w:cs="Arial"/>
                <w:sz w:val="20"/>
                <w:szCs w:val="20"/>
              </w:rPr>
              <w:t>1470 to 1749</w:t>
            </w:r>
          </w:p>
        </w:tc>
        <w:tc>
          <w:tcPr>
            <w:tcW w:w="1116" w:type="dxa"/>
          </w:tcPr>
          <w:p w14:paraId="7E194DED" w14:textId="38642AE6" w:rsidR="00403D85" w:rsidRPr="000D2DF6" w:rsidRDefault="00E7234E" w:rsidP="00E7234E">
            <w:pPr>
              <w:spacing w:after="0"/>
              <w:ind w:right="34"/>
              <w:jc w:val="center"/>
              <w:rPr>
                <w:rFonts w:ascii="Aptos" w:eastAsia="Times New Roman" w:hAnsi="Aptos" w:cs="Arial"/>
                <w:sz w:val="20"/>
                <w:szCs w:val="20"/>
              </w:rPr>
            </w:pPr>
            <w:r>
              <w:rPr>
                <w:rFonts w:ascii="Aptos" w:eastAsia="Times New Roman" w:hAnsi="Aptos" w:cs="Arial"/>
                <w:sz w:val="20"/>
                <w:szCs w:val="20"/>
              </w:rPr>
              <w:t xml:space="preserve">1563 to </w:t>
            </w:r>
            <w:r w:rsidR="009559D4">
              <w:rPr>
                <w:rFonts w:ascii="Aptos" w:eastAsia="Times New Roman" w:hAnsi="Aptos" w:cs="Arial"/>
                <w:sz w:val="20"/>
                <w:szCs w:val="20"/>
              </w:rPr>
              <w:t>18</w:t>
            </w:r>
            <w:r>
              <w:rPr>
                <w:rFonts w:ascii="Aptos" w:eastAsia="Times New Roman" w:hAnsi="Aptos" w:cs="Arial"/>
                <w:sz w:val="20"/>
                <w:szCs w:val="20"/>
              </w:rPr>
              <w:t>78</w:t>
            </w:r>
          </w:p>
        </w:tc>
        <w:tc>
          <w:tcPr>
            <w:tcW w:w="1116" w:type="dxa"/>
            <w:shd w:val="clear" w:color="auto" w:fill="FAE2D5" w:themeFill="accent2" w:themeFillTint="33"/>
          </w:tcPr>
          <w:p w14:paraId="2C242E81" w14:textId="08A07705" w:rsidR="006C4AE1" w:rsidRPr="000D2DF6" w:rsidRDefault="006C4AE1" w:rsidP="006C4AE1">
            <w:pPr>
              <w:spacing w:after="0"/>
              <w:ind w:right="34"/>
              <w:jc w:val="center"/>
              <w:rPr>
                <w:rFonts w:ascii="Aptos" w:eastAsia="Times New Roman" w:hAnsi="Aptos" w:cs="Arial"/>
                <w:sz w:val="20"/>
                <w:szCs w:val="20"/>
              </w:rPr>
            </w:pPr>
            <w:r>
              <w:rPr>
                <w:rFonts w:ascii="Aptos" w:eastAsia="Times New Roman" w:hAnsi="Aptos" w:cs="Arial"/>
                <w:sz w:val="20"/>
                <w:szCs w:val="20"/>
              </w:rPr>
              <w:t>1819 to 2127</w:t>
            </w:r>
          </w:p>
        </w:tc>
        <w:tc>
          <w:tcPr>
            <w:tcW w:w="1116" w:type="dxa"/>
            <w:shd w:val="clear" w:color="auto" w:fill="FAE2D5" w:themeFill="accent2" w:themeFillTint="33"/>
          </w:tcPr>
          <w:p w14:paraId="7F845795" w14:textId="7E58B870" w:rsidR="00BD0754" w:rsidRPr="000D2DF6" w:rsidRDefault="00BD0754" w:rsidP="00392603">
            <w:pPr>
              <w:spacing w:after="0"/>
              <w:ind w:right="34"/>
              <w:jc w:val="center"/>
              <w:rPr>
                <w:rFonts w:ascii="Aptos" w:eastAsia="Times New Roman" w:hAnsi="Aptos" w:cs="Arial"/>
                <w:sz w:val="20"/>
                <w:szCs w:val="20"/>
              </w:rPr>
            </w:pPr>
            <w:r>
              <w:rPr>
                <w:rFonts w:ascii="Aptos" w:eastAsia="Times New Roman" w:hAnsi="Aptos" w:cs="Arial"/>
                <w:sz w:val="20"/>
                <w:szCs w:val="20"/>
              </w:rPr>
              <w:t>1978</w:t>
            </w:r>
            <w:r w:rsidR="00392603">
              <w:rPr>
                <w:rFonts w:ascii="Aptos" w:eastAsia="Times New Roman" w:hAnsi="Aptos" w:cs="Arial"/>
                <w:sz w:val="20"/>
                <w:szCs w:val="20"/>
              </w:rPr>
              <w:t xml:space="preserve"> to </w:t>
            </w:r>
            <w:r>
              <w:rPr>
                <w:rFonts w:ascii="Aptos" w:eastAsia="Times New Roman" w:hAnsi="Aptos" w:cs="Arial"/>
                <w:sz w:val="20"/>
                <w:szCs w:val="20"/>
              </w:rPr>
              <w:t>2184</w:t>
            </w:r>
          </w:p>
        </w:tc>
      </w:tr>
      <w:tr w:rsidR="00403D85" w:rsidRPr="000D2DF6" w14:paraId="6EE22253" w14:textId="4382098B" w:rsidTr="008F3585">
        <w:tc>
          <w:tcPr>
            <w:tcW w:w="1118" w:type="dxa"/>
            <w:vAlign w:val="center"/>
          </w:tcPr>
          <w:p w14:paraId="6B76C2A0" w14:textId="4CD631CF" w:rsidR="00403D85" w:rsidRPr="000D2DF6" w:rsidRDefault="00403D85" w:rsidP="00403D85">
            <w:pPr>
              <w:spacing w:after="0"/>
              <w:ind w:right="-1346"/>
              <w:rPr>
                <w:rFonts w:ascii="Aptos" w:eastAsia="Times New Roman" w:hAnsi="Aptos" w:cs="Arial"/>
                <w:sz w:val="20"/>
                <w:szCs w:val="20"/>
              </w:rPr>
            </w:pPr>
            <w:r w:rsidRPr="000D2DF6">
              <w:rPr>
                <w:rFonts w:ascii="Aptos" w:eastAsia="Times New Roman" w:hAnsi="Aptos" w:cs="Arial"/>
                <w:sz w:val="20"/>
                <w:szCs w:val="20"/>
              </w:rPr>
              <w:t>14 - 18 yr</w:t>
            </w:r>
          </w:p>
        </w:tc>
        <w:tc>
          <w:tcPr>
            <w:tcW w:w="1037" w:type="dxa"/>
            <w:vMerge/>
            <w:shd w:val="clear" w:color="auto" w:fill="F2CEED" w:themeFill="accent5" w:themeFillTint="33"/>
            <w:vAlign w:val="center"/>
          </w:tcPr>
          <w:p w14:paraId="461566FE" w14:textId="77777777" w:rsidR="00403D85" w:rsidRPr="000D2DF6" w:rsidRDefault="00403D85" w:rsidP="00403D85">
            <w:pPr>
              <w:spacing w:after="0"/>
              <w:ind w:right="38"/>
              <w:jc w:val="center"/>
              <w:rPr>
                <w:rFonts w:ascii="Aptos" w:eastAsia="Times New Roman" w:hAnsi="Aptos" w:cs="Arial"/>
                <w:sz w:val="20"/>
                <w:szCs w:val="20"/>
              </w:rPr>
            </w:pPr>
          </w:p>
        </w:tc>
        <w:tc>
          <w:tcPr>
            <w:tcW w:w="1059" w:type="dxa"/>
            <w:vMerge/>
            <w:shd w:val="clear" w:color="auto" w:fill="FAE2D5" w:themeFill="accent2" w:themeFillTint="33"/>
            <w:vAlign w:val="center"/>
          </w:tcPr>
          <w:p w14:paraId="3E1CEED2" w14:textId="5A004065" w:rsidR="00403D85" w:rsidRPr="000D2DF6" w:rsidRDefault="00403D85" w:rsidP="00403D85">
            <w:pPr>
              <w:spacing w:after="0"/>
              <w:ind w:right="-115"/>
              <w:jc w:val="center"/>
              <w:rPr>
                <w:rFonts w:ascii="Aptos" w:eastAsia="Times New Roman" w:hAnsi="Aptos" w:cs="Arial"/>
                <w:sz w:val="20"/>
                <w:szCs w:val="20"/>
              </w:rPr>
            </w:pPr>
          </w:p>
        </w:tc>
        <w:tc>
          <w:tcPr>
            <w:tcW w:w="768" w:type="dxa"/>
            <w:vAlign w:val="center"/>
          </w:tcPr>
          <w:p w14:paraId="42487A34" w14:textId="11C7EDBC"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1723</w:t>
            </w:r>
          </w:p>
        </w:tc>
        <w:tc>
          <w:tcPr>
            <w:tcW w:w="769" w:type="dxa"/>
            <w:vAlign w:val="center"/>
          </w:tcPr>
          <w:p w14:paraId="7184E319" w14:textId="43475EB6"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1635</w:t>
            </w:r>
          </w:p>
        </w:tc>
        <w:tc>
          <w:tcPr>
            <w:tcW w:w="768" w:type="dxa"/>
            <w:vAlign w:val="center"/>
          </w:tcPr>
          <w:p w14:paraId="1209177E" w14:textId="4F97B037" w:rsidR="00403D85" w:rsidRPr="000D2DF6" w:rsidRDefault="00403D85" w:rsidP="00403D85">
            <w:pPr>
              <w:spacing w:after="0"/>
              <w:ind w:right="36"/>
              <w:jc w:val="center"/>
              <w:rPr>
                <w:rFonts w:ascii="Aptos" w:eastAsia="Times New Roman" w:hAnsi="Aptos" w:cs="Arial"/>
                <w:sz w:val="20"/>
                <w:szCs w:val="20"/>
              </w:rPr>
            </w:pPr>
            <w:r w:rsidRPr="000D2DF6">
              <w:rPr>
                <w:rFonts w:ascii="Aptos" w:eastAsia="Times New Roman" w:hAnsi="Aptos" w:cs="Arial"/>
                <w:sz w:val="20"/>
                <w:szCs w:val="20"/>
              </w:rPr>
              <w:t>1151</w:t>
            </w:r>
          </w:p>
        </w:tc>
        <w:tc>
          <w:tcPr>
            <w:tcW w:w="769" w:type="dxa"/>
            <w:vAlign w:val="center"/>
          </w:tcPr>
          <w:p w14:paraId="01D6F559" w14:textId="34C487E4"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106</w:t>
            </w:r>
            <w:r>
              <w:rPr>
                <w:rFonts w:ascii="Aptos" w:eastAsia="Times New Roman" w:hAnsi="Aptos" w:cs="Arial"/>
                <w:sz w:val="20"/>
                <w:szCs w:val="20"/>
              </w:rPr>
              <w:t>2</w:t>
            </w:r>
          </w:p>
        </w:tc>
        <w:tc>
          <w:tcPr>
            <w:tcW w:w="769" w:type="dxa"/>
            <w:vAlign w:val="center"/>
          </w:tcPr>
          <w:p w14:paraId="2E8F1021" w14:textId="562C3084" w:rsidR="00403D85" w:rsidRPr="000D2DF6" w:rsidRDefault="00403D85" w:rsidP="00403D85">
            <w:pPr>
              <w:spacing w:after="0"/>
              <w:ind w:right="27"/>
              <w:jc w:val="center"/>
              <w:rPr>
                <w:rFonts w:ascii="Aptos" w:eastAsia="Times New Roman" w:hAnsi="Aptos" w:cs="Arial"/>
                <w:sz w:val="20"/>
                <w:szCs w:val="20"/>
              </w:rPr>
            </w:pPr>
            <w:r w:rsidRPr="000D2DF6">
              <w:rPr>
                <w:rFonts w:ascii="Aptos" w:eastAsia="Times New Roman" w:hAnsi="Aptos" w:cs="Arial"/>
                <w:sz w:val="20"/>
                <w:szCs w:val="20"/>
              </w:rPr>
              <w:t>1414</w:t>
            </w:r>
          </w:p>
        </w:tc>
        <w:tc>
          <w:tcPr>
            <w:tcW w:w="768" w:type="dxa"/>
            <w:vAlign w:val="center"/>
          </w:tcPr>
          <w:p w14:paraId="416A8FB1" w14:textId="46D8ED4C" w:rsidR="00403D85" w:rsidRPr="000D2DF6" w:rsidRDefault="00403D85" w:rsidP="00403D85">
            <w:pPr>
              <w:spacing w:after="0"/>
              <w:ind w:right="27"/>
              <w:jc w:val="center"/>
              <w:rPr>
                <w:rFonts w:ascii="Aptos" w:eastAsia="Times New Roman" w:hAnsi="Aptos" w:cs="Arial"/>
                <w:sz w:val="20"/>
                <w:szCs w:val="20"/>
              </w:rPr>
            </w:pPr>
            <w:r w:rsidRPr="000D2DF6">
              <w:rPr>
                <w:rFonts w:ascii="Aptos" w:eastAsia="Times New Roman" w:hAnsi="Aptos" w:cs="Arial"/>
                <w:sz w:val="20"/>
                <w:szCs w:val="20"/>
              </w:rPr>
              <w:t>1271</w:t>
            </w:r>
          </w:p>
        </w:tc>
        <w:tc>
          <w:tcPr>
            <w:tcW w:w="769" w:type="dxa"/>
            <w:vAlign w:val="center"/>
          </w:tcPr>
          <w:p w14:paraId="301751A4" w14:textId="5FA5D070" w:rsidR="00403D85" w:rsidRPr="000D2DF6" w:rsidRDefault="00403D85" w:rsidP="00403D85">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1579</w:t>
            </w:r>
          </w:p>
        </w:tc>
        <w:tc>
          <w:tcPr>
            <w:tcW w:w="769" w:type="dxa"/>
            <w:vAlign w:val="center"/>
          </w:tcPr>
          <w:p w14:paraId="09A3E057" w14:textId="294FF130" w:rsidR="00403D85" w:rsidRPr="000D2DF6" w:rsidRDefault="00403D85" w:rsidP="00403D85">
            <w:pPr>
              <w:spacing w:after="0"/>
              <w:ind w:right="34"/>
              <w:jc w:val="center"/>
              <w:rPr>
                <w:rFonts w:ascii="Aptos" w:eastAsia="Times New Roman" w:hAnsi="Aptos" w:cs="Arial"/>
                <w:sz w:val="20"/>
                <w:szCs w:val="20"/>
              </w:rPr>
            </w:pPr>
            <w:r w:rsidRPr="000D2DF6">
              <w:rPr>
                <w:rFonts w:ascii="Aptos" w:eastAsia="Times New Roman" w:hAnsi="Aptos" w:cs="Arial"/>
                <w:sz w:val="20"/>
                <w:szCs w:val="20"/>
              </w:rPr>
              <w:t>1375</w:t>
            </w:r>
          </w:p>
        </w:tc>
        <w:tc>
          <w:tcPr>
            <w:tcW w:w="1237" w:type="dxa"/>
          </w:tcPr>
          <w:p w14:paraId="6E97C8E0" w14:textId="18C337B5" w:rsidR="00B37E68" w:rsidRPr="000D2DF6" w:rsidRDefault="006C4AE1" w:rsidP="00B37E68">
            <w:pPr>
              <w:spacing w:after="0"/>
              <w:ind w:right="34"/>
              <w:jc w:val="center"/>
              <w:rPr>
                <w:rFonts w:ascii="Aptos" w:eastAsia="Times New Roman" w:hAnsi="Aptos" w:cs="Arial"/>
                <w:sz w:val="20"/>
                <w:szCs w:val="20"/>
              </w:rPr>
            </w:pPr>
            <w:r>
              <w:rPr>
                <w:rFonts w:ascii="Aptos" w:eastAsia="Times New Roman" w:hAnsi="Aptos" w:cs="Arial"/>
                <w:sz w:val="20"/>
                <w:szCs w:val="20"/>
              </w:rPr>
              <w:t>1770</w:t>
            </w:r>
            <w:r w:rsidR="00B37E68">
              <w:rPr>
                <w:rFonts w:ascii="Aptos" w:eastAsia="Times New Roman" w:hAnsi="Aptos" w:cs="Arial"/>
                <w:sz w:val="20"/>
                <w:szCs w:val="20"/>
              </w:rPr>
              <w:t xml:space="preserve"> to 2137</w:t>
            </w:r>
          </w:p>
        </w:tc>
        <w:tc>
          <w:tcPr>
            <w:tcW w:w="1116" w:type="dxa"/>
          </w:tcPr>
          <w:p w14:paraId="1C371C0B" w14:textId="4E490CB8" w:rsidR="00392603" w:rsidRPr="000D2DF6" w:rsidRDefault="007E243C" w:rsidP="007E243C">
            <w:pPr>
              <w:spacing w:after="0"/>
              <w:ind w:right="34"/>
              <w:jc w:val="center"/>
              <w:rPr>
                <w:rFonts w:ascii="Aptos" w:eastAsia="Times New Roman" w:hAnsi="Aptos" w:cs="Arial"/>
                <w:sz w:val="20"/>
                <w:szCs w:val="20"/>
              </w:rPr>
            </w:pPr>
            <w:r>
              <w:rPr>
                <w:rFonts w:ascii="Aptos" w:eastAsia="Times New Roman" w:hAnsi="Aptos" w:cs="Arial"/>
                <w:sz w:val="20"/>
                <w:szCs w:val="20"/>
              </w:rPr>
              <w:t xml:space="preserve">2005 to </w:t>
            </w:r>
            <w:r w:rsidR="00392603">
              <w:rPr>
                <w:rFonts w:ascii="Aptos" w:eastAsia="Times New Roman" w:hAnsi="Aptos" w:cs="Arial"/>
                <w:sz w:val="20"/>
                <w:szCs w:val="20"/>
              </w:rPr>
              <w:t>22</w:t>
            </w:r>
            <w:r>
              <w:rPr>
                <w:rFonts w:ascii="Aptos" w:eastAsia="Times New Roman" w:hAnsi="Aptos" w:cs="Arial"/>
                <w:sz w:val="20"/>
                <w:szCs w:val="20"/>
              </w:rPr>
              <w:t>96</w:t>
            </w:r>
          </w:p>
        </w:tc>
        <w:tc>
          <w:tcPr>
            <w:tcW w:w="1116" w:type="dxa"/>
            <w:shd w:val="clear" w:color="auto" w:fill="FAE2D5" w:themeFill="accent2" w:themeFillTint="33"/>
          </w:tcPr>
          <w:p w14:paraId="4CF5638E" w14:textId="209112AC" w:rsidR="00403D85" w:rsidRPr="000D2DF6" w:rsidRDefault="00B37E68" w:rsidP="00403D85">
            <w:pPr>
              <w:spacing w:after="0"/>
              <w:ind w:right="34"/>
              <w:jc w:val="center"/>
              <w:rPr>
                <w:rFonts w:ascii="Aptos" w:eastAsia="Times New Roman" w:hAnsi="Aptos" w:cs="Arial"/>
                <w:sz w:val="20"/>
                <w:szCs w:val="20"/>
              </w:rPr>
            </w:pPr>
            <w:r>
              <w:rPr>
                <w:rFonts w:ascii="Aptos" w:eastAsia="Times New Roman" w:hAnsi="Aptos" w:cs="Arial"/>
                <w:sz w:val="20"/>
                <w:szCs w:val="20"/>
              </w:rPr>
              <w:t>2</w:t>
            </w:r>
            <w:r w:rsidR="00D027C4">
              <w:rPr>
                <w:rFonts w:ascii="Aptos" w:eastAsia="Times New Roman" w:hAnsi="Aptos" w:cs="Arial"/>
                <w:sz w:val="20"/>
                <w:szCs w:val="20"/>
              </w:rPr>
              <w:t>241 to 2559</w:t>
            </w:r>
          </w:p>
        </w:tc>
        <w:tc>
          <w:tcPr>
            <w:tcW w:w="1116" w:type="dxa"/>
            <w:shd w:val="clear" w:color="auto" w:fill="FAE2D5" w:themeFill="accent2" w:themeFillTint="33"/>
          </w:tcPr>
          <w:p w14:paraId="6EB4E7A5" w14:textId="62C74F83" w:rsidR="00403D85" w:rsidRPr="000D2DF6" w:rsidRDefault="00704C13" w:rsidP="001958C5">
            <w:pPr>
              <w:spacing w:after="0"/>
              <w:ind w:right="34"/>
              <w:jc w:val="center"/>
              <w:rPr>
                <w:rFonts w:ascii="Aptos" w:eastAsia="Times New Roman" w:hAnsi="Aptos" w:cs="Arial"/>
                <w:sz w:val="20"/>
                <w:szCs w:val="20"/>
              </w:rPr>
            </w:pPr>
            <w:r>
              <w:rPr>
                <w:rFonts w:ascii="Aptos" w:eastAsia="Times New Roman" w:hAnsi="Aptos" w:cs="Arial"/>
                <w:sz w:val="20"/>
                <w:szCs w:val="20"/>
              </w:rPr>
              <w:t>2499</w:t>
            </w:r>
            <w:r w:rsidR="001958C5">
              <w:rPr>
                <w:rFonts w:ascii="Aptos" w:eastAsia="Times New Roman" w:hAnsi="Aptos" w:cs="Arial"/>
                <w:sz w:val="20"/>
                <w:szCs w:val="20"/>
              </w:rPr>
              <w:t xml:space="preserve"> to </w:t>
            </w:r>
            <w:r>
              <w:rPr>
                <w:rFonts w:ascii="Aptos" w:eastAsia="Times New Roman" w:hAnsi="Aptos" w:cs="Arial"/>
                <w:sz w:val="20"/>
                <w:szCs w:val="20"/>
              </w:rPr>
              <w:t>2644</w:t>
            </w:r>
          </w:p>
        </w:tc>
      </w:tr>
    </w:tbl>
    <w:p w14:paraId="79B121DC" w14:textId="6A4FA562" w:rsidR="0056711E" w:rsidRPr="000D2DF6" w:rsidRDefault="00683E1E" w:rsidP="000D2DF6">
      <w:pPr>
        <w:spacing w:before="120"/>
        <w:ind w:right="172"/>
        <w:rPr>
          <w:rFonts w:eastAsia="Times New Roman" w:cs="Arial"/>
          <w:sz w:val="20"/>
          <w:szCs w:val="20"/>
        </w:rPr>
      </w:pPr>
      <w:r w:rsidRPr="000D2DF6">
        <w:rPr>
          <w:rFonts w:eastAsia="Times New Roman" w:cs="Arial"/>
          <w:sz w:val="20"/>
          <w:szCs w:val="20"/>
        </w:rPr>
        <w:t xml:space="preserve">^ Core food group </w:t>
      </w:r>
      <w:r w:rsidR="00F81A83" w:rsidRPr="000D2DF6">
        <w:rPr>
          <w:rFonts w:eastAsia="Times New Roman" w:cs="Arial"/>
          <w:sz w:val="20"/>
          <w:szCs w:val="20"/>
        </w:rPr>
        <w:t xml:space="preserve">and AGHTE98 </w:t>
      </w:r>
      <w:r w:rsidRPr="000D2DF6">
        <w:rPr>
          <w:rFonts w:eastAsia="Times New Roman" w:cs="Arial"/>
          <w:sz w:val="20"/>
          <w:szCs w:val="20"/>
        </w:rPr>
        <w:t>modelling age groups: 4-7y; 8-11y; 12-18y</w:t>
      </w:r>
      <w:r w:rsidR="00DE0124">
        <w:rPr>
          <w:rFonts w:eastAsia="Times New Roman" w:cs="Arial"/>
          <w:sz w:val="20"/>
          <w:szCs w:val="20"/>
        </w:rPr>
        <w:t>; NR=Not reported</w:t>
      </w:r>
    </w:p>
    <w:p w14:paraId="6B9593A5" w14:textId="77777777" w:rsidR="00EE40B2" w:rsidRDefault="00EE40B2"/>
    <w:p w14:paraId="14D848E6" w14:textId="77777777" w:rsidR="009C51E8" w:rsidRDefault="009C51E8">
      <w:pPr>
        <w:sectPr w:rsidR="009C51E8" w:rsidSect="009C51E8">
          <w:footnotePr>
            <w:pos w:val="beneathText"/>
          </w:footnotePr>
          <w:pgSz w:w="16838" w:h="11906" w:orient="landscape"/>
          <w:pgMar w:top="1440" w:right="1440" w:bottom="1440" w:left="1440" w:header="708" w:footer="708" w:gutter="0"/>
          <w:cols w:space="708"/>
          <w:docGrid w:linePitch="360"/>
        </w:sectPr>
      </w:pPr>
    </w:p>
    <w:p w14:paraId="5ECF5B33" w14:textId="5DC95A89" w:rsidR="00D70ABA" w:rsidRPr="00F82830" w:rsidRDefault="0056711E" w:rsidP="00F82830">
      <w:pPr>
        <w:pStyle w:val="Heading1"/>
        <w:rPr>
          <w:b/>
        </w:rPr>
      </w:pPr>
      <w:bookmarkStart w:id="102" w:name="_Toc234960877"/>
      <w:r w:rsidRPr="005F45FC">
        <w:rPr>
          <w:b/>
          <w:bCs/>
        </w:rPr>
        <w:lastRenderedPageBreak/>
        <w:t>Proposed recommendations</w:t>
      </w:r>
      <w:bookmarkEnd w:id="102"/>
    </w:p>
    <w:p w14:paraId="405B3DAB" w14:textId="154555E9" w:rsidR="00194EF5" w:rsidRDefault="00194EF5" w:rsidP="00194EF5">
      <w:r w:rsidRPr="00EF339B">
        <w:t>A side-by</w:t>
      </w:r>
      <w:r>
        <w:t xml:space="preserve">-side comparison of proposed values is presented at </w:t>
      </w:r>
      <w:r>
        <w:fldChar w:fldCharType="begin"/>
      </w:r>
      <w:r>
        <w:instrText xml:space="preserve"> REF _Ref232670172 \h </w:instrText>
      </w:r>
      <w:r>
        <w:fldChar w:fldCharType="separate"/>
      </w:r>
      <w:r w:rsidR="00D1175D">
        <w:t xml:space="preserve">Table </w:t>
      </w:r>
      <w:r w:rsidR="00D1175D">
        <w:rPr>
          <w:noProof/>
        </w:rPr>
        <w:t>20</w:t>
      </w:r>
      <w:r>
        <w:fldChar w:fldCharType="end"/>
      </w:r>
      <w:r>
        <w:t xml:space="preserve">. </w:t>
      </w:r>
    </w:p>
    <w:p w14:paraId="146E0F7A" w14:textId="075994CD" w:rsidR="00194EF5" w:rsidRPr="000D7471" w:rsidRDefault="00194EF5" w:rsidP="00194EF5">
      <w:pPr>
        <w:rPr>
          <w:highlight w:val="yellow"/>
        </w:rPr>
      </w:pPr>
      <w:r w:rsidRPr="00EF339B">
        <w:t xml:space="preserve">Consideration should be given to the relative proximity of the AI and CDRR values, as insufficient separation between </w:t>
      </w:r>
      <w:r>
        <w:t xml:space="preserve">lower and upper </w:t>
      </w:r>
      <w:r w:rsidRPr="00EF339B">
        <w:t>reference</w:t>
      </w:r>
      <w:r>
        <w:t xml:space="preserve"> </w:t>
      </w:r>
      <w:r w:rsidRPr="00EF339B">
        <w:t xml:space="preserve">values may limit the practical range within which individual dietary variation can occur. </w:t>
      </w:r>
      <w:r>
        <w:t>It shows that the proposed values are sufficiently distanced to support a range of intakes between the AI and CDRR.</w:t>
      </w:r>
    </w:p>
    <w:p w14:paraId="5D547623" w14:textId="54E046CA" w:rsidR="00194EF5" w:rsidRDefault="00194EF5" w:rsidP="00194EF5">
      <w:pPr>
        <w:pStyle w:val="Caption"/>
        <w:keepNext/>
      </w:pPr>
      <w:bookmarkStart w:id="103" w:name="_Ref232670172"/>
      <w:r>
        <w:t xml:space="preserve">Table </w:t>
      </w:r>
      <w:r>
        <w:fldChar w:fldCharType="begin"/>
      </w:r>
      <w:r>
        <w:instrText>SEQ Table \* ARABIC</w:instrText>
      </w:r>
      <w:r>
        <w:fldChar w:fldCharType="separate"/>
      </w:r>
      <w:r w:rsidR="00B90577">
        <w:rPr>
          <w:noProof/>
        </w:rPr>
        <w:t>20</w:t>
      </w:r>
      <w:r>
        <w:fldChar w:fldCharType="end"/>
      </w:r>
      <w:bookmarkEnd w:id="103"/>
      <w:r>
        <w:t xml:space="preserve"> - Side-by-side comparison</w:t>
      </w:r>
      <w:r>
        <w:rPr>
          <w:noProof/>
        </w:rPr>
        <w:t xml:space="preserve"> of proposed NRVs for adequacy and chronic disease risk reduction</w:t>
      </w:r>
    </w:p>
    <w:tbl>
      <w:tblPr>
        <w:tblStyle w:val="TableGrid1"/>
        <w:tblW w:w="9021" w:type="dxa"/>
        <w:tblInd w:w="-5" w:type="dxa"/>
        <w:tblLook w:val="04A0" w:firstRow="1" w:lastRow="0" w:firstColumn="1" w:lastColumn="0" w:noHBand="0" w:noVBand="1"/>
      </w:tblPr>
      <w:tblGrid>
        <w:gridCol w:w="426"/>
        <w:gridCol w:w="3402"/>
        <w:gridCol w:w="1701"/>
        <w:gridCol w:w="1842"/>
        <w:gridCol w:w="1650"/>
      </w:tblGrid>
      <w:tr w:rsidR="00194EF5" w:rsidRPr="0081120C" w14:paraId="17B1F4B3" w14:textId="77777777" w:rsidTr="0039416B">
        <w:trPr>
          <w:trHeight w:val="170"/>
        </w:trPr>
        <w:tc>
          <w:tcPr>
            <w:tcW w:w="3828" w:type="dxa"/>
            <w:gridSpan w:val="2"/>
            <w:shd w:val="clear" w:color="auto" w:fill="156082" w:themeFill="accent1"/>
            <w:noWrap/>
            <w:hideMark/>
          </w:tcPr>
          <w:p w14:paraId="0C450D1C" w14:textId="77777777" w:rsidR="00194EF5" w:rsidRPr="005F0712" w:rsidRDefault="00194EF5" w:rsidP="0039416B">
            <w:pPr>
              <w:rPr>
                <w:rFonts w:ascii="Times New Roman" w:eastAsia="Times New Roman" w:hAnsi="Times New Roman" w:cs="Times New Roman"/>
                <w:b/>
                <w:color w:val="FFFFFF" w:themeColor="background1"/>
                <w:sz w:val="20"/>
                <w:szCs w:val="20"/>
                <w:lang w:eastAsia="en-AU"/>
              </w:rPr>
            </w:pPr>
            <w:r w:rsidRPr="005F0712">
              <w:rPr>
                <w:rFonts w:ascii="Aptos Narrow" w:eastAsia="Times New Roman" w:hAnsi="Aptos Narrow" w:cs="Times New Roman"/>
                <w:b/>
                <w:color w:val="FFFFFF" w:themeColor="background1"/>
                <w:sz w:val="20"/>
                <w:szCs w:val="20"/>
                <w:lang w:eastAsia="en-AU"/>
              </w:rPr>
              <w:t>Population</w:t>
            </w:r>
          </w:p>
        </w:tc>
        <w:tc>
          <w:tcPr>
            <w:tcW w:w="1701" w:type="dxa"/>
            <w:shd w:val="clear" w:color="auto" w:fill="156082" w:themeFill="accent1"/>
            <w:noWrap/>
            <w:hideMark/>
          </w:tcPr>
          <w:p w14:paraId="5014B054" w14:textId="77777777" w:rsidR="00194EF5" w:rsidRPr="005F0712" w:rsidRDefault="00194EF5" w:rsidP="0039416B">
            <w:pPr>
              <w:jc w:val="center"/>
              <w:rPr>
                <w:rFonts w:ascii="Aptos Narrow" w:eastAsia="Times New Roman" w:hAnsi="Aptos Narrow" w:cs="Times New Roman"/>
                <w:b/>
                <w:color w:val="FFFFFF" w:themeColor="background1"/>
                <w:sz w:val="20"/>
                <w:szCs w:val="20"/>
                <w:lang w:eastAsia="en-AU"/>
              </w:rPr>
            </w:pPr>
            <w:r w:rsidRPr="005F0712">
              <w:rPr>
                <w:rFonts w:ascii="Aptos Narrow" w:eastAsia="Times New Roman" w:hAnsi="Aptos Narrow" w:cs="Times New Roman"/>
                <w:b/>
                <w:color w:val="FFFFFF" w:themeColor="background1"/>
                <w:sz w:val="20"/>
                <w:szCs w:val="20"/>
                <w:lang w:eastAsia="en-AU"/>
              </w:rPr>
              <w:t>AI</w:t>
            </w:r>
          </w:p>
        </w:tc>
        <w:tc>
          <w:tcPr>
            <w:tcW w:w="1842" w:type="dxa"/>
            <w:shd w:val="clear" w:color="auto" w:fill="156082" w:themeFill="accent1"/>
            <w:noWrap/>
            <w:hideMark/>
          </w:tcPr>
          <w:p w14:paraId="44BD7975" w14:textId="77777777" w:rsidR="00194EF5" w:rsidRPr="005F0712" w:rsidRDefault="00194EF5" w:rsidP="0039416B">
            <w:pPr>
              <w:jc w:val="center"/>
              <w:rPr>
                <w:rFonts w:ascii="Aptos Narrow" w:eastAsia="Times New Roman" w:hAnsi="Aptos Narrow" w:cs="Times New Roman"/>
                <w:b/>
                <w:color w:val="FFFFFF" w:themeColor="background1"/>
                <w:sz w:val="20"/>
                <w:szCs w:val="20"/>
                <w:lang w:eastAsia="en-AU"/>
              </w:rPr>
            </w:pPr>
            <w:r w:rsidRPr="005F0712">
              <w:rPr>
                <w:rFonts w:ascii="Aptos Narrow" w:eastAsia="Times New Roman" w:hAnsi="Aptos Narrow" w:cs="Times New Roman"/>
                <w:b/>
                <w:color w:val="FFFFFF" w:themeColor="background1"/>
                <w:sz w:val="20"/>
                <w:szCs w:val="20"/>
                <w:lang w:eastAsia="en-AU"/>
              </w:rPr>
              <w:t>CDRR</w:t>
            </w:r>
          </w:p>
        </w:tc>
        <w:tc>
          <w:tcPr>
            <w:tcW w:w="1650" w:type="dxa"/>
            <w:shd w:val="clear" w:color="auto" w:fill="156082" w:themeFill="accent1"/>
          </w:tcPr>
          <w:p w14:paraId="33E94968" w14:textId="77777777" w:rsidR="00194EF5" w:rsidRPr="005F0712" w:rsidRDefault="00194EF5" w:rsidP="0039416B">
            <w:pPr>
              <w:jc w:val="center"/>
              <w:rPr>
                <w:rFonts w:ascii="Aptos Narrow" w:eastAsia="Times New Roman" w:hAnsi="Aptos Narrow" w:cs="Times New Roman"/>
                <w:b/>
                <w:color w:val="FFFFFF" w:themeColor="background1"/>
                <w:sz w:val="20"/>
                <w:szCs w:val="20"/>
                <w:lang w:eastAsia="en-AU"/>
              </w:rPr>
            </w:pPr>
            <w:r>
              <w:rPr>
                <w:rFonts w:ascii="Aptos Narrow" w:eastAsia="Times New Roman" w:hAnsi="Aptos Narrow" w:cs="Times New Roman"/>
                <w:b/>
                <w:color w:val="FFFFFF" w:themeColor="background1"/>
                <w:sz w:val="20"/>
                <w:szCs w:val="20"/>
                <w:lang w:eastAsia="en-AU"/>
              </w:rPr>
              <w:t>UL</w:t>
            </w:r>
          </w:p>
        </w:tc>
      </w:tr>
      <w:tr w:rsidR="001A3578" w:rsidRPr="0081120C" w14:paraId="6A1C8AE8" w14:textId="77777777" w:rsidTr="00635103">
        <w:trPr>
          <w:trHeight w:val="170"/>
        </w:trPr>
        <w:tc>
          <w:tcPr>
            <w:tcW w:w="9021" w:type="dxa"/>
            <w:gridSpan w:val="5"/>
            <w:shd w:val="clear" w:color="auto" w:fill="156082" w:themeFill="accent1"/>
            <w:noWrap/>
            <w:hideMark/>
          </w:tcPr>
          <w:p w14:paraId="5E0E6A9A" w14:textId="3C70C02A" w:rsidR="001A3578" w:rsidRPr="005F0712" w:rsidRDefault="001A3578" w:rsidP="0039416B">
            <w:pPr>
              <w:rPr>
                <w:rFonts w:ascii="Aptos Narrow" w:eastAsia="Times New Roman" w:hAnsi="Aptos Narrow" w:cs="Times New Roman"/>
                <w:b/>
                <w:color w:val="FFFFFF" w:themeColor="background1"/>
                <w:sz w:val="20"/>
                <w:szCs w:val="20"/>
                <w:lang w:eastAsia="en-AU"/>
              </w:rPr>
            </w:pPr>
            <w:r w:rsidRPr="005F0712">
              <w:rPr>
                <w:rFonts w:ascii="Aptos Narrow" w:eastAsia="Times New Roman" w:hAnsi="Aptos Narrow" w:cs="Times New Roman"/>
                <w:b/>
                <w:color w:val="FFFFFF" w:themeColor="background1"/>
                <w:sz w:val="20"/>
                <w:szCs w:val="20"/>
                <w:lang w:eastAsia="en-AU"/>
              </w:rPr>
              <w:t>Adults (including pregnancy and lactation) </w:t>
            </w:r>
          </w:p>
        </w:tc>
      </w:tr>
      <w:tr w:rsidR="00194EF5" w:rsidRPr="0081120C" w14:paraId="6E31FAC9" w14:textId="77777777" w:rsidTr="0039416B">
        <w:trPr>
          <w:trHeight w:val="170"/>
        </w:trPr>
        <w:tc>
          <w:tcPr>
            <w:tcW w:w="426" w:type="dxa"/>
            <w:shd w:val="clear" w:color="auto" w:fill="156082" w:themeFill="accent1"/>
            <w:noWrap/>
            <w:hideMark/>
          </w:tcPr>
          <w:p w14:paraId="6409D4E0" w14:textId="77777777" w:rsidR="00194EF5" w:rsidRPr="005F0712" w:rsidRDefault="00194EF5" w:rsidP="0039416B">
            <w:pP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 </w:t>
            </w:r>
          </w:p>
        </w:tc>
        <w:tc>
          <w:tcPr>
            <w:tcW w:w="3402" w:type="dxa"/>
            <w:noWrap/>
            <w:hideMark/>
          </w:tcPr>
          <w:p w14:paraId="6838731C" w14:textId="77777777" w:rsidR="00194EF5" w:rsidRPr="005F0712" w:rsidRDefault="00194EF5" w:rsidP="0039416B">
            <w:pP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 xml:space="preserve"> 18+ years</w:t>
            </w:r>
          </w:p>
        </w:tc>
        <w:tc>
          <w:tcPr>
            <w:tcW w:w="1701" w:type="dxa"/>
            <w:noWrap/>
            <w:hideMark/>
          </w:tcPr>
          <w:p w14:paraId="58A4DBED" w14:textId="77777777" w:rsidR="00194EF5" w:rsidRPr="005F0712" w:rsidRDefault="00194EF5" w:rsidP="0039416B">
            <w:pPr>
              <w:jc w:val="cente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 xml:space="preserve">920 </w:t>
            </w:r>
          </w:p>
        </w:tc>
        <w:tc>
          <w:tcPr>
            <w:tcW w:w="1842" w:type="dxa"/>
            <w:noWrap/>
            <w:hideMark/>
          </w:tcPr>
          <w:p w14:paraId="4795FC5F" w14:textId="77777777" w:rsidR="00194EF5" w:rsidRPr="005F0712" w:rsidRDefault="00194EF5" w:rsidP="0039416B">
            <w:pPr>
              <w:jc w:val="cente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 xml:space="preserve">2,000 </w:t>
            </w:r>
          </w:p>
        </w:tc>
        <w:tc>
          <w:tcPr>
            <w:tcW w:w="1650" w:type="dxa"/>
          </w:tcPr>
          <w:p w14:paraId="5FFFAA37"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Not set</w:t>
            </w:r>
          </w:p>
        </w:tc>
      </w:tr>
      <w:tr w:rsidR="001A3578" w:rsidRPr="0081120C" w14:paraId="7A9825A8" w14:textId="77777777" w:rsidTr="006864FB">
        <w:trPr>
          <w:trHeight w:val="170"/>
        </w:trPr>
        <w:tc>
          <w:tcPr>
            <w:tcW w:w="9021" w:type="dxa"/>
            <w:gridSpan w:val="5"/>
            <w:shd w:val="clear" w:color="auto" w:fill="156082" w:themeFill="accent1"/>
            <w:noWrap/>
            <w:hideMark/>
          </w:tcPr>
          <w:p w14:paraId="4F7C9CCC" w14:textId="6B0FAF98" w:rsidR="001A3578" w:rsidRPr="005F0712" w:rsidRDefault="001A3578" w:rsidP="0039416B">
            <w:pPr>
              <w:rPr>
                <w:rFonts w:ascii="Aptos Narrow" w:eastAsia="Times New Roman" w:hAnsi="Aptos Narrow" w:cs="Times New Roman"/>
                <w:b/>
                <w:color w:val="FFFFFF" w:themeColor="background1"/>
                <w:sz w:val="20"/>
                <w:szCs w:val="20"/>
                <w:lang w:eastAsia="en-AU"/>
              </w:rPr>
            </w:pPr>
            <w:r w:rsidRPr="005F0712">
              <w:rPr>
                <w:rFonts w:ascii="Aptos Narrow" w:eastAsia="Times New Roman" w:hAnsi="Aptos Narrow" w:cs="Times New Roman"/>
                <w:b/>
                <w:color w:val="FFFFFF" w:themeColor="background1"/>
                <w:sz w:val="20"/>
                <w:szCs w:val="20"/>
                <w:lang w:eastAsia="en-AU"/>
              </w:rPr>
              <w:t>Children and adolescents </w:t>
            </w:r>
          </w:p>
        </w:tc>
      </w:tr>
      <w:tr w:rsidR="00194EF5" w:rsidRPr="0081120C" w14:paraId="4FD8029C" w14:textId="77777777" w:rsidTr="0039416B">
        <w:trPr>
          <w:trHeight w:val="170"/>
        </w:trPr>
        <w:tc>
          <w:tcPr>
            <w:tcW w:w="426" w:type="dxa"/>
            <w:vMerge w:val="restart"/>
            <w:shd w:val="clear" w:color="auto" w:fill="156082" w:themeFill="accent1"/>
            <w:noWrap/>
            <w:hideMark/>
          </w:tcPr>
          <w:p w14:paraId="39E99F49" w14:textId="77777777" w:rsidR="00194EF5" w:rsidRPr="005F0712" w:rsidRDefault="00194EF5" w:rsidP="0039416B">
            <w:pPr>
              <w:jc w:val="cente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 </w:t>
            </w:r>
          </w:p>
        </w:tc>
        <w:tc>
          <w:tcPr>
            <w:tcW w:w="3402" w:type="dxa"/>
            <w:noWrap/>
            <w:hideMark/>
          </w:tcPr>
          <w:p w14:paraId="529073BB" w14:textId="77777777" w:rsidR="00194EF5" w:rsidRPr="005F0712" w:rsidRDefault="00194EF5" w:rsidP="0039416B">
            <w:pP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1 to under 4 years</w:t>
            </w:r>
          </w:p>
        </w:tc>
        <w:tc>
          <w:tcPr>
            <w:tcW w:w="1701" w:type="dxa"/>
            <w:noWrap/>
            <w:hideMark/>
          </w:tcPr>
          <w:p w14:paraId="0AB4C054" w14:textId="77777777" w:rsidR="00194EF5" w:rsidRPr="005F0712" w:rsidRDefault="00194EF5" w:rsidP="0039416B">
            <w:pPr>
              <w:jc w:val="cente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400</w:t>
            </w:r>
          </w:p>
        </w:tc>
        <w:tc>
          <w:tcPr>
            <w:tcW w:w="1842" w:type="dxa"/>
            <w:noWrap/>
            <w:hideMark/>
          </w:tcPr>
          <w:p w14:paraId="5342FF80" w14:textId="77777777" w:rsidR="00194EF5" w:rsidRPr="005F0712" w:rsidRDefault="00194EF5" w:rsidP="0039416B">
            <w:pPr>
              <w:jc w:val="cente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 xml:space="preserve">950 </w:t>
            </w:r>
          </w:p>
        </w:tc>
        <w:tc>
          <w:tcPr>
            <w:tcW w:w="1650" w:type="dxa"/>
          </w:tcPr>
          <w:p w14:paraId="4C50B90D"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Not set</w:t>
            </w:r>
          </w:p>
        </w:tc>
      </w:tr>
      <w:tr w:rsidR="00194EF5" w:rsidRPr="0081120C" w14:paraId="479529C4" w14:textId="77777777" w:rsidTr="0039416B">
        <w:trPr>
          <w:trHeight w:val="170"/>
        </w:trPr>
        <w:tc>
          <w:tcPr>
            <w:tcW w:w="426" w:type="dxa"/>
            <w:vMerge/>
            <w:shd w:val="clear" w:color="auto" w:fill="156082" w:themeFill="accent1"/>
            <w:hideMark/>
          </w:tcPr>
          <w:p w14:paraId="2CE9012D" w14:textId="77777777" w:rsidR="00194EF5" w:rsidRPr="005F0712" w:rsidRDefault="00194EF5" w:rsidP="0039416B">
            <w:pPr>
              <w:rPr>
                <w:rFonts w:ascii="Aptos Narrow" w:eastAsia="Times New Roman" w:hAnsi="Aptos Narrow" w:cs="Times New Roman"/>
                <w:sz w:val="20"/>
                <w:szCs w:val="20"/>
                <w:lang w:eastAsia="en-AU"/>
              </w:rPr>
            </w:pPr>
          </w:p>
        </w:tc>
        <w:tc>
          <w:tcPr>
            <w:tcW w:w="3402" w:type="dxa"/>
            <w:noWrap/>
            <w:hideMark/>
          </w:tcPr>
          <w:p w14:paraId="01DEE169" w14:textId="77777777" w:rsidR="00194EF5" w:rsidRPr="005F0712" w:rsidRDefault="00194EF5" w:rsidP="0039416B">
            <w:pP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4 to under 9 years</w:t>
            </w:r>
          </w:p>
        </w:tc>
        <w:tc>
          <w:tcPr>
            <w:tcW w:w="1701" w:type="dxa"/>
            <w:noWrap/>
            <w:hideMark/>
          </w:tcPr>
          <w:p w14:paraId="5E7A2640" w14:textId="77777777" w:rsidR="00194EF5" w:rsidRPr="005F0712" w:rsidRDefault="00194EF5" w:rsidP="0039416B">
            <w:pPr>
              <w:jc w:val="cente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 xml:space="preserve">600 </w:t>
            </w:r>
          </w:p>
        </w:tc>
        <w:tc>
          <w:tcPr>
            <w:tcW w:w="1842" w:type="dxa"/>
            <w:noWrap/>
            <w:hideMark/>
          </w:tcPr>
          <w:p w14:paraId="0F1A4C6F" w14:textId="77777777" w:rsidR="00194EF5" w:rsidRPr="005F0712" w:rsidRDefault="00194EF5" w:rsidP="0039416B">
            <w:pPr>
              <w:jc w:val="cente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 xml:space="preserve">1,250 </w:t>
            </w:r>
          </w:p>
        </w:tc>
        <w:tc>
          <w:tcPr>
            <w:tcW w:w="1650" w:type="dxa"/>
          </w:tcPr>
          <w:p w14:paraId="7EF2E702"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Not set</w:t>
            </w:r>
          </w:p>
        </w:tc>
      </w:tr>
      <w:tr w:rsidR="00194EF5" w:rsidRPr="0081120C" w14:paraId="4FF7871C" w14:textId="77777777" w:rsidTr="0039416B">
        <w:trPr>
          <w:trHeight w:val="170"/>
        </w:trPr>
        <w:tc>
          <w:tcPr>
            <w:tcW w:w="426" w:type="dxa"/>
            <w:vMerge/>
            <w:shd w:val="clear" w:color="auto" w:fill="156082" w:themeFill="accent1"/>
            <w:hideMark/>
          </w:tcPr>
          <w:p w14:paraId="40702FBA" w14:textId="77777777" w:rsidR="00194EF5" w:rsidRPr="005F0712" w:rsidRDefault="00194EF5" w:rsidP="0039416B">
            <w:pPr>
              <w:rPr>
                <w:rFonts w:ascii="Aptos Narrow" w:eastAsia="Times New Roman" w:hAnsi="Aptos Narrow" w:cs="Times New Roman"/>
                <w:sz w:val="20"/>
                <w:szCs w:val="20"/>
                <w:lang w:eastAsia="en-AU"/>
              </w:rPr>
            </w:pPr>
          </w:p>
        </w:tc>
        <w:tc>
          <w:tcPr>
            <w:tcW w:w="3402" w:type="dxa"/>
            <w:noWrap/>
            <w:hideMark/>
          </w:tcPr>
          <w:p w14:paraId="2AE3BF26" w14:textId="77777777" w:rsidR="00194EF5" w:rsidRPr="005F0712" w:rsidRDefault="00194EF5" w:rsidP="0039416B">
            <w:pP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9 to under 14 years</w:t>
            </w:r>
          </w:p>
        </w:tc>
        <w:tc>
          <w:tcPr>
            <w:tcW w:w="1701" w:type="dxa"/>
            <w:noWrap/>
            <w:hideMark/>
          </w:tcPr>
          <w:p w14:paraId="7E28E0B4" w14:textId="77777777" w:rsidR="00194EF5" w:rsidRPr="005F0712" w:rsidRDefault="00194EF5" w:rsidP="0039416B">
            <w:pPr>
              <w:jc w:val="cente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 xml:space="preserve">800 </w:t>
            </w:r>
          </w:p>
        </w:tc>
        <w:tc>
          <w:tcPr>
            <w:tcW w:w="1842" w:type="dxa"/>
            <w:noWrap/>
            <w:hideMark/>
          </w:tcPr>
          <w:p w14:paraId="014159AC" w14:textId="77777777" w:rsidR="00194EF5" w:rsidRPr="005F0712" w:rsidRDefault="00194EF5" w:rsidP="0039416B">
            <w:pPr>
              <w:jc w:val="cente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 xml:space="preserve">1,750 </w:t>
            </w:r>
          </w:p>
        </w:tc>
        <w:tc>
          <w:tcPr>
            <w:tcW w:w="1650" w:type="dxa"/>
          </w:tcPr>
          <w:p w14:paraId="4319CDC3"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Not set</w:t>
            </w:r>
          </w:p>
        </w:tc>
      </w:tr>
      <w:tr w:rsidR="00194EF5" w:rsidRPr="0081120C" w14:paraId="470F3F80" w14:textId="77777777" w:rsidTr="0039416B">
        <w:trPr>
          <w:trHeight w:val="170"/>
        </w:trPr>
        <w:tc>
          <w:tcPr>
            <w:tcW w:w="426" w:type="dxa"/>
            <w:vMerge/>
            <w:shd w:val="clear" w:color="auto" w:fill="156082" w:themeFill="accent1"/>
            <w:hideMark/>
          </w:tcPr>
          <w:p w14:paraId="6607173C" w14:textId="77777777" w:rsidR="00194EF5" w:rsidRPr="005F0712" w:rsidRDefault="00194EF5" w:rsidP="0039416B">
            <w:pPr>
              <w:rPr>
                <w:rFonts w:ascii="Aptos Narrow" w:eastAsia="Times New Roman" w:hAnsi="Aptos Narrow" w:cs="Times New Roman"/>
                <w:sz w:val="20"/>
                <w:szCs w:val="20"/>
                <w:lang w:eastAsia="en-AU"/>
              </w:rPr>
            </w:pPr>
          </w:p>
        </w:tc>
        <w:tc>
          <w:tcPr>
            <w:tcW w:w="3402" w:type="dxa"/>
            <w:noWrap/>
            <w:hideMark/>
          </w:tcPr>
          <w:p w14:paraId="39133F60" w14:textId="77777777" w:rsidR="00194EF5" w:rsidRPr="005F0712" w:rsidRDefault="00194EF5" w:rsidP="0039416B">
            <w:pP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14 to under 18 years</w:t>
            </w:r>
          </w:p>
        </w:tc>
        <w:tc>
          <w:tcPr>
            <w:tcW w:w="1701" w:type="dxa"/>
            <w:noWrap/>
            <w:hideMark/>
          </w:tcPr>
          <w:p w14:paraId="327312E7" w14:textId="77777777" w:rsidR="00194EF5" w:rsidRPr="005F0712" w:rsidRDefault="00194EF5" w:rsidP="0039416B">
            <w:pPr>
              <w:jc w:val="cente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 xml:space="preserve">920 </w:t>
            </w:r>
          </w:p>
        </w:tc>
        <w:tc>
          <w:tcPr>
            <w:tcW w:w="1842" w:type="dxa"/>
            <w:noWrap/>
            <w:hideMark/>
          </w:tcPr>
          <w:p w14:paraId="03A8F745" w14:textId="77777777" w:rsidR="00194EF5" w:rsidRPr="005F0712" w:rsidRDefault="00194EF5" w:rsidP="0039416B">
            <w:pPr>
              <w:jc w:val="cente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 xml:space="preserve">2,000 </w:t>
            </w:r>
          </w:p>
        </w:tc>
        <w:tc>
          <w:tcPr>
            <w:tcW w:w="1650" w:type="dxa"/>
          </w:tcPr>
          <w:p w14:paraId="0422D342"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Not set</w:t>
            </w:r>
          </w:p>
        </w:tc>
      </w:tr>
      <w:tr w:rsidR="001A3578" w:rsidRPr="0081120C" w14:paraId="3A0C76B5" w14:textId="77777777" w:rsidTr="00531C6A">
        <w:trPr>
          <w:trHeight w:val="170"/>
        </w:trPr>
        <w:tc>
          <w:tcPr>
            <w:tcW w:w="9021" w:type="dxa"/>
            <w:gridSpan w:val="5"/>
            <w:shd w:val="clear" w:color="auto" w:fill="156082" w:themeFill="accent1"/>
            <w:noWrap/>
            <w:hideMark/>
          </w:tcPr>
          <w:p w14:paraId="464E046C" w14:textId="13AD56A3" w:rsidR="001A3578" w:rsidRPr="005F0712" w:rsidRDefault="001A3578" w:rsidP="0039416B">
            <w:pPr>
              <w:rPr>
                <w:rFonts w:ascii="Aptos Narrow" w:eastAsia="Times New Roman" w:hAnsi="Aptos Narrow" w:cs="Times New Roman"/>
                <w:b/>
                <w:color w:val="FFFFFF" w:themeColor="background1"/>
                <w:sz w:val="20"/>
                <w:szCs w:val="20"/>
                <w:lang w:eastAsia="en-AU"/>
              </w:rPr>
            </w:pPr>
            <w:r w:rsidRPr="0048520D">
              <w:rPr>
                <w:rFonts w:ascii="Aptos Narrow" w:eastAsia="Times New Roman" w:hAnsi="Aptos Narrow" w:cs="Times New Roman"/>
                <w:b/>
                <w:i/>
                <w:iCs/>
                <w:color w:val="FFFFFF" w:themeColor="background1"/>
                <w:sz w:val="20"/>
                <w:szCs w:val="20"/>
                <w:lang w:eastAsia="en-AU"/>
              </w:rPr>
              <w:t>Children and adolescents  (alternative age groupings)</w:t>
            </w:r>
          </w:p>
        </w:tc>
      </w:tr>
      <w:tr w:rsidR="00194EF5" w:rsidRPr="0081120C" w14:paraId="3DA5E1F9" w14:textId="77777777" w:rsidTr="0039416B">
        <w:trPr>
          <w:trHeight w:val="170"/>
        </w:trPr>
        <w:tc>
          <w:tcPr>
            <w:tcW w:w="426" w:type="dxa"/>
            <w:vMerge w:val="restart"/>
            <w:shd w:val="clear" w:color="auto" w:fill="156082" w:themeFill="accent1"/>
            <w:noWrap/>
            <w:hideMark/>
          </w:tcPr>
          <w:p w14:paraId="0B32BE92" w14:textId="77777777" w:rsidR="00194EF5" w:rsidRPr="005F0712" w:rsidRDefault="00194EF5" w:rsidP="0039416B">
            <w:pPr>
              <w:jc w:val="center"/>
              <w:rPr>
                <w:rFonts w:ascii="Aptos Narrow" w:eastAsia="Times New Roman" w:hAnsi="Aptos Narrow" w:cs="Times New Roman"/>
                <w:sz w:val="20"/>
                <w:szCs w:val="20"/>
                <w:lang w:eastAsia="en-AU"/>
              </w:rPr>
            </w:pPr>
            <w:r w:rsidRPr="005F0712">
              <w:rPr>
                <w:rFonts w:ascii="Aptos Narrow" w:eastAsia="Times New Roman" w:hAnsi="Aptos Narrow" w:cs="Times New Roman"/>
                <w:sz w:val="20"/>
                <w:szCs w:val="20"/>
                <w:lang w:eastAsia="en-AU"/>
              </w:rPr>
              <w:t> </w:t>
            </w:r>
          </w:p>
        </w:tc>
        <w:tc>
          <w:tcPr>
            <w:tcW w:w="3402" w:type="dxa"/>
            <w:noWrap/>
            <w:hideMark/>
          </w:tcPr>
          <w:p w14:paraId="34C59F16" w14:textId="77777777" w:rsidR="00194EF5" w:rsidRPr="00430CA5" w:rsidRDefault="00194EF5" w:rsidP="0039416B">
            <w:pPr>
              <w:rPr>
                <w:rFonts w:ascii="Aptos Narrow" w:eastAsia="Times New Roman" w:hAnsi="Aptos Narrow" w:cs="Times New Roman"/>
                <w:i/>
                <w:iCs/>
                <w:sz w:val="20"/>
                <w:szCs w:val="20"/>
                <w:lang w:eastAsia="en-AU"/>
              </w:rPr>
            </w:pPr>
            <w:r w:rsidRPr="00430CA5">
              <w:rPr>
                <w:rFonts w:ascii="Aptos Narrow" w:eastAsia="Times New Roman" w:hAnsi="Aptos Narrow" w:cs="Times New Roman"/>
                <w:i/>
                <w:iCs/>
                <w:sz w:val="20"/>
                <w:szCs w:val="20"/>
                <w:lang w:eastAsia="en-AU"/>
              </w:rPr>
              <w:t>12 to under 24 months</w:t>
            </w:r>
          </w:p>
        </w:tc>
        <w:tc>
          <w:tcPr>
            <w:tcW w:w="1701" w:type="dxa"/>
            <w:noWrap/>
          </w:tcPr>
          <w:p w14:paraId="1C74E3BD"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350</w:t>
            </w:r>
          </w:p>
        </w:tc>
        <w:tc>
          <w:tcPr>
            <w:tcW w:w="1842" w:type="dxa"/>
            <w:noWrap/>
          </w:tcPr>
          <w:p w14:paraId="4B518DD8"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850</w:t>
            </w:r>
          </w:p>
        </w:tc>
        <w:tc>
          <w:tcPr>
            <w:tcW w:w="1650" w:type="dxa"/>
          </w:tcPr>
          <w:p w14:paraId="12BB7C8D"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Not set</w:t>
            </w:r>
          </w:p>
        </w:tc>
      </w:tr>
      <w:tr w:rsidR="00194EF5" w:rsidRPr="0081120C" w14:paraId="04F72C5B" w14:textId="77777777" w:rsidTr="0039416B">
        <w:trPr>
          <w:trHeight w:val="170"/>
        </w:trPr>
        <w:tc>
          <w:tcPr>
            <w:tcW w:w="426" w:type="dxa"/>
            <w:vMerge/>
            <w:shd w:val="clear" w:color="auto" w:fill="156082" w:themeFill="accent1"/>
            <w:hideMark/>
          </w:tcPr>
          <w:p w14:paraId="1FDAE281" w14:textId="77777777" w:rsidR="00194EF5" w:rsidRPr="005F0712" w:rsidRDefault="00194EF5" w:rsidP="0039416B">
            <w:pPr>
              <w:rPr>
                <w:rFonts w:ascii="Aptos Narrow" w:eastAsia="Times New Roman" w:hAnsi="Aptos Narrow" w:cs="Times New Roman"/>
                <w:sz w:val="20"/>
                <w:szCs w:val="20"/>
                <w:lang w:eastAsia="en-AU"/>
              </w:rPr>
            </w:pPr>
          </w:p>
        </w:tc>
        <w:tc>
          <w:tcPr>
            <w:tcW w:w="3402" w:type="dxa"/>
            <w:noWrap/>
            <w:hideMark/>
          </w:tcPr>
          <w:p w14:paraId="2B30288F" w14:textId="77777777" w:rsidR="00194EF5" w:rsidRPr="00430CA5" w:rsidRDefault="00194EF5" w:rsidP="0039416B">
            <w:pPr>
              <w:rPr>
                <w:rFonts w:ascii="Aptos Narrow" w:eastAsia="Times New Roman" w:hAnsi="Aptos Narrow" w:cs="Times New Roman"/>
                <w:i/>
                <w:iCs/>
                <w:sz w:val="20"/>
                <w:szCs w:val="20"/>
                <w:lang w:eastAsia="en-AU"/>
              </w:rPr>
            </w:pPr>
            <w:r w:rsidRPr="00430CA5">
              <w:rPr>
                <w:rFonts w:ascii="Aptos Narrow" w:eastAsia="Times New Roman" w:hAnsi="Aptos Narrow" w:cs="Times New Roman"/>
                <w:i/>
                <w:iCs/>
                <w:sz w:val="20"/>
                <w:szCs w:val="20"/>
                <w:lang w:eastAsia="en-AU"/>
              </w:rPr>
              <w:t>2 to under 5 years</w:t>
            </w:r>
          </w:p>
        </w:tc>
        <w:tc>
          <w:tcPr>
            <w:tcW w:w="1701" w:type="dxa"/>
            <w:noWrap/>
          </w:tcPr>
          <w:p w14:paraId="7190CA8A"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500</w:t>
            </w:r>
          </w:p>
        </w:tc>
        <w:tc>
          <w:tcPr>
            <w:tcW w:w="1842" w:type="dxa"/>
            <w:noWrap/>
          </w:tcPr>
          <w:p w14:paraId="5AB7131B"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1,100</w:t>
            </w:r>
          </w:p>
        </w:tc>
        <w:tc>
          <w:tcPr>
            <w:tcW w:w="1650" w:type="dxa"/>
          </w:tcPr>
          <w:p w14:paraId="3C64E021"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Not set</w:t>
            </w:r>
          </w:p>
        </w:tc>
      </w:tr>
      <w:tr w:rsidR="00194EF5" w:rsidRPr="0081120C" w14:paraId="0E47D109" w14:textId="77777777" w:rsidTr="0039416B">
        <w:trPr>
          <w:trHeight w:val="170"/>
        </w:trPr>
        <w:tc>
          <w:tcPr>
            <w:tcW w:w="426" w:type="dxa"/>
            <w:vMerge/>
            <w:shd w:val="clear" w:color="auto" w:fill="156082" w:themeFill="accent1"/>
            <w:hideMark/>
          </w:tcPr>
          <w:p w14:paraId="196D54C9" w14:textId="77777777" w:rsidR="00194EF5" w:rsidRPr="005F0712" w:rsidRDefault="00194EF5" w:rsidP="0039416B">
            <w:pPr>
              <w:rPr>
                <w:rFonts w:ascii="Aptos Narrow" w:eastAsia="Times New Roman" w:hAnsi="Aptos Narrow" w:cs="Times New Roman"/>
                <w:sz w:val="20"/>
                <w:szCs w:val="20"/>
                <w:lang w:eastAsia="en-AU"/>
              </w:rPr>
            </w:pPr>
          </w:p>
        </w:tc>
        <w:tc>
          <w:tcPr>
            <w:tcW w:w="3402" w:type="dxa"/>
            <w:noWrap/>
            <w:hideMark/>
          </w:tcPr>
          <w:p w14:paraId="125A5F91" w14:textId="77777777" w:rsidR="00194EF5" w:rsidRPr="00430CA5" w:rsidRDefault="00194EF5" w:rsidP="0039416B">
            <w:pPr>
              <w:rPr>
                <w:rFonts w:ascii="Aptos Narrow" w:eastAsia="Times New Roman" w:hAnsi="Aptos Narrow" w:cs="Times New Roman"/>
                <w:i/>
                <w:iCs/>
                <w:sz w:val="20"/>
                <w:szCs w:val="20"/>
                <w:lang w:eastAsia="en-AU"/>
              </w:rPr>
            </w:pPr>
            <w:r w:rsidRPr="00430CA5">
              <w:rPr>
                <w:rFonts w:ascii="Aptos Narrow" w:eastAsia="Times New Roman" w:hAnsi="Aptos Narrow" w:cs="Times New Roman"/>
                <w:i/>
                <w:iCs/>
                <w:sz w:val="20"/>
                <w:szCs w:val="20"/>
                <w:lang w:eastAsia="en-AU"/>
              </w:rPr>
              <w:t>5 to under 12 years</w:t>
            </w:r>
          </w:p>
        </w:tc>
        <w:tc>
          <w:tcPr>
            <w:tcW w:w="1701" w:type="dxa"/>
            <w:noWrap/>
          </w:tcPr>
          <w:p w14:paraId="3010E829"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700</w:t>
            </w:r>
          </w:p>
        </w:tc>
        <w:tc>
          <w:tcPr>
            <w:tcW w:w="1842" w:type="dxa"/>
            <w:noWrap/>
          </w:tcPr>
          <w:p w14:paraId="13A7465D"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1,500</w:t>
            </w:r>
          </w:p>
        </w:tc>
        <w:tc>
          <w:tcPr>
            <w:tcW w:w="1650" w:type="dxa"/>
          </w:tcPr>
          <w:p w14:paraId="13430C9E"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Not set</w:t>
            </w:r>
          </w:p>
        </w:tc>
      </w:tr>
      <w:tr w:rsidR="00194EF5" w:rsidRPr="0081120C" w14:paraId="56110413" w14:textId="77777777" w:rsidTr="0039416B">
        <w:trPr>
          <w:trHeight w:val="170"/>
        </w:trPr>
        <w:tc>
          <w:tcPr>
            <w:tcW w:w="426" w:type="dxa"/>
            <w:vMerge/>
            <w:shd w:val="clear" w:color="auto" w:fill="156082" w:themeFill="accent1"/>
            <w:hideMark/>
          </w:tcPr>
          <w:p w14:paraId="742AEC41" w14:textId="77777777" w:rsidR="00194EF5" w:rsidRPr="005F0712" w:rsidRDefault="00194EF5" w:rsidP="0039416B">
            <w:pPr>
              <w:rPr>
                <w:rFonts w:ascii="Aptos Narrow" w:eastAsia="Times New Roman" w:hAnsi="Aptos Narrow" w:cs="Times New Roman"/>
                <w:sz w:val="20"/>
                <w:szCs w:val="20"/>
                <w:lang w:eastAsia="en-AU"/>
              </w:rPr>
            </w:pPr>
          </w:p>
        </w:tc>
        <w:tc>
          <w:tcPr>
            <w:tcW w:w="3402" w:type="dxa"/>
            <w:noWrap/>
            <w:hideMark/>
          </w:tcPr>
          <w:p w14:paraId="2DB67D57" w14:textId="77777777" w:rsidR="00194EF5" w:rsidRPr="00430CA5" w:rsidRDefault="00194EF5" w:rsidP="0039416B">
            <w:pPr>
              <w:rPr>
                <w:rFonts w:ascii="Aptos Narrow" w:eastAsia="Times New Roman" w:hAnsi="Aptos Narrow" w:cs="Times New Roman"/>
                <w:i/>
                <w:iCs/>
                <w:sz w:val="20"/>
                <w:szCs w:val="20"/>
                <w:lang w:eastAsia="en-AU"/>
              </w:rPr>
            </w:pPr>
            <w:r w:rsidRPr="00430CA5">
              <w:rPr>
                <w:rFonts w:ascii="Aptos Narrow" w:eastAsia="Times New Roman" w:hAnsi="Aptos Narrow" w:cs="Times New Roman"/>
                <w:i/>
                <w:iCs/>
                <w:sz w:val="20"/>
                <w:szCs w:val="20"/>
                <w:lang w:eastAsia="en-AU"/>
              </w:rPr>
              <w:t>12 to under 18 years</w:t>
            </w:r>
          </w:p>
        </w:tc>
        <w:tc>
          <w:tcPr>
            <w:tcW w:w="1701" w:type="dxa"/>
            <w:noWrap/>
          </w:tcPr>
          <w:p w14:paraId="4CF332AB"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920</w:t>
            </w:r>
          </w:p>
        </w:tc>
        <w:tc>
          <w:tcPr>
            <w:tcW w:w="1842" w:type="dxa"/>
            <w:noWrap/>
          </w:tcPr>
          <w:p w14:paraId="28EBAF93"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1,950</w:t>
            </w:r>
          </w:p>
        </w:tc>
        <w:tc>
          <w:tcPr>
            <w:tcW w:w="1650" w:type="dxa"/>
          </w:tcPr>
          <w:p w14:paraId="74BB71FE" w14:textId="77777777" w:rsidR="00194EF5" w:rsidRPr="005F0712" w:rsidRDefault="00194EF5" w:rsidP="0039416B">
            <w:pPr>
              <w:jc w:val="center"/>
              <w:rPr>
                <w:rFonts w:ascii="Aptos Narrow" w:eastAsia="Times New Roman" w:hAnsi="Aptos Narrow" w:cs="Times New Roman"/>
                <w:sz w:val="20"/>
                <w:szCs w:val="20"/>
                <w:lang w:eastAsia="en-AU"/>
              </w:rPr>
            </w:pPr>
            <w:r>
              <w:rPr>
                <w:rFonts w:ascii="Aptos Narrow" w:eastAsia="Times New Roman" w:hAnsi="Aptos Narrow" w:cs="Times New Roman"/>
                <w:sz w:val="20"/>
                <w:szCs w:val="20"/>
                <w:lang w:eastAsia="en-AU"/>
              </w:rPr>
              <w:t>Not set</w:t>
            </w:r>
          </w:p>
        </w:tc>
      </w:tr>
    </w:tbl>
    <w:p w14:paraId="65D62ED5" w14:textId="77777777" w:rsidR="00194EF5" w:rsidRDefault="00194EF5" w:rsidP="00194EF5">
      <w:pPr>
        <w:spacing w:line="276" w:lineRule="auto"/>
        <w:rPr>
          <w:b/>
          <w:bCs/>
        </w:rPr>
        <w:sectPr w:rsidR="00194EF5" w:rsidSect="00194EF5">
          <w:footnotePr>
            <w:pos w:val="beneathText"/>
          </w:footnotePr>
          <w:pgSz w:w="11906" w:h="16838"/>
          <w:pgMar w:top="1135" w:right="1440" w:bottom="1134" w:left="1440" w:header="708" w:footer="708" w:gutter="0"/>
          <w:cols w:space="708"/>
          <w:docGrid w:linePitch="360"/>
        </w:sectPr>
      </w:pPr>
      <w:r w:rsidRPr="2145493A">
        <w:rPr>
          <w:b/>
          <w:bCs/>
        </w:rPr>
        <w:br w:type="page"/>
      </w:r>
    </w:p>
    <w:p w14:paraId="68EF245B" w14:textId="736AD224" w:rsidR="00C70A33" w:rsidRPr="007C0669" w:rsidRDefault="001425AD" w:rsidP="005F45FC">
      <w:pPr>
        <w:pStyle w:val="Heading1"/>
        <w:rPr>
          <w:b/>
          <w:bCs/>
        </w:rPr>
      </w:pPr>
      <w:bookmarkStart w:id="104" w:name="_Toc234960878"/>
      <w:r w:rsidRPr="2145493A">
        <w:rPr>
          <w:b/>
          <w:bCs/>
        </w:rPr>
        <w:lastRenderedPageBreak/>
        <w:t>References</w:t>
      </w:r>
      <w:bookmarkEnd w:id="104"/>
    </w:p>
    <w:p w14:paraId="0FBABF52" w14:textId="3BC82059" w:rsidR="00F61D64" w:rsidRPr="00F61D64" w:rsidRDefault="00C70A33" w:rsidP="00F61D64">
      <w:pPr>
        <w:pStyle w:val="EndNoteBibliography"/>
        <w:spacing w:after="0"/>
        <w:ind w:left="720" w:hanging="720"/>
      </w:pPr>
      <w:r w:rsidRPr="009C6E13">
        <w:rPr>
          <w:highlight w:val="yellow"/>
        </w:rPr>
        <w:fldChar w:fldCharType="begin"/>
      </w:r>
      <w:r w:rsidRPr="009C6E13">
        <w:rPr>
          <w:highlight w:val="yellow"/>
        </w:rPr>
        <w:instrText xml:space="preserve"> ADDIN EN.REFLIST </w:instrText>
      </w:r>
      <w:r w:rsidRPr="009C6E13">
        <w:rPr>
          <w:highlight w:val="yellow"/>
        </w:rPr>
        <w:fldChar w:fldCharType="separate"/>
      </w:r>
      <w:r w:rsidR="00F61D64" w:rsidRPr="00F61D64">
        <w:t xml:space="preserve">AIHW. (2022). </w:t>
      </w:r>
      <w:r w:rsidR="00F61D64" w:rsidRPr="00F61D64">
        <w:rPr>
          <w:i/>
        </w:rPr>
        <w:t>Australian Burden of Disease Study: impact and causes of illness and death in Aboriginal and Torres Strait Islander people 2018</w:t>
      </w:r>
      <w:r w:rsidR="00F61D64" w:rsidRPr="00F61D64">
        <w:t xml:space="preserve">. </w:t>
      </w:r>
      <w:hyperlink r:id="rId55" w:history="1">
        <w:r w:rsidR="00F61D64" w:rsidRPr="00F61D64">
          <w:rPr>
            <w:rStyle w:val="Hyperlink"/>
          </w:rPr>
          <w:t>https://www.aihw.gov.au/reports/burden-of-disease/illness-death-indigenous-2018</w:t>
        </w:r>
      </w:hyperlink>
    </w:p>
    <w:p w14:paraId="6480F807" w14:textId="56800679" w:rsidR="00F61D64" w:rsidRPr="00F61D64" w:rsidRDefault="00F61D64" w:rsidP="00F61D64">
      <w:pPr>
        <w:pStyle w:val="EndNoteBibliography"/>
        <w:spacing w:after="0"/>
        <w:ind w:left="720" w:hanging="720"/>
      </w:pPr>
      <w:r w:rsidRPr="00F61D64">
        <w:t xml:space="preserve">AIHW. (2024). </w:t>
      </w:r>
      <w:r w:rsidRPr="00F61D64">
        <w:rPr>
          <w:i/>
        </w:rPr>
        <w:t>Australian Burden of Disease Study 2024</w:t>
      </w:r>
      <w:r w:rsidRPr="00F61D64">
        <w:t xml:space="preserve">. </w:t>
      </w:r>
      <w:hyperlink r:id="rId56" w:history="1">
        <w:r w:rsidRPr="00F61D64">
          <w:rPr>
            <w:rStyle w:val="Hyperlink"/>
          </w:rPr>
          <w:t>https://www.aihw.gov.au/reports/burden-of-disease/australian-burden-of-disease-study-2024</w:t>
        </w:r>
      </w:hyperlink>
    </w:p>
    <w:p w14:paraId="27AC8704" w14:textId="09101EE3" w:rsidR="00F61D64" w:rsidRPr="00F61D64" w:rsidRDefault="00F61D64" w:rsidP="00F61D64">
      <w:pPr>
        <w:pStyle w:val="EndNoteBibliography"/>
        <w:spacing w:after="0"/>
        <w:ind w:left="720" w:hanging="720"/>
      </w:pPr>
      <w:r w:rsidRPr="00F61D64">
        <w:t xml:space="preserve">AIHW. (2025). </w:t>
      </w:r>
      <w:r w:rsidRPr="00F61D64">
        <w:rPr>
          <w:i/>
        </w:rPr>
        <w:t>Heart, stroke and vascular disease: Australian facts</w:t>
      </w:r>
      <w:r w:rsidRPr="00F61D64">
        <w:t xml:space="preserve">. </w:t>
      </w:r>
      <w:hyperlink r:id="rId57" w:history="1">
        <w:r w:rsidRPr="00F61D64">
          <w:rPr>
            <w:rStyle w:val="Hyperlink"/>
          </w:rPr>
          <w:t>https://www.aihw.gov.au/reports/heart-stroke-vascular-diseases/hsvd-facts</w:t>
        </w:r>
      </w:hyperlink>
    </w:p>
    <w:p w14:paraId="2BE063EC" w14:textId="6E94EEF5" w:rsidR="00F61D64" w:rsidRPr="00F61D64" w:rsidRDefault="00F61D64" w:rsidP="00F61D64">
      <w:pPr>
        <w:pStyle w:val="EndNoteBibliography"/>
        <w:spacing w:after="0"/>
        <w:ind w:left="720" w:hanging="720"/>
      </w:pPr>
      <w:r w:rsidRPr="00F61D64">
        <w:t xml:space="preserve">Allen, J. C., Keller, R. P., Archer, P., &amp; Neville, M. C. (1991). Studies in human lactation: milk composition and daily secretion rates of macronutrients in the first year of lactation. </w:t>
      </w:r>
      <w:r w:rsidRPr="00F61D64">
        <w:rPr>
          <w:i/>
        </w:rPr>
        <w:t>Am J Clin Nutr</w:t>
      </w:r>
      <w:r w:rsidRPr="00F61D64">
        <w:t>,</w:t>
      </w:r>
      <w:r w:rsidRPr="00F61D64">
        <w:rPr>
          <w:i/>
        </w:rPr>
        <w:t xml:space="preserve"> 54</w:t>
      </w:r>
      <w:r w:rsidRPr="00F61D64">
        <w:t xml:space="preserve">(1), 69-80. </w:t>
      </w:r>
      <w:hyperlink r:id="rId58" w:history="1">
        <w:r w:rsidRPr="00F61D64">
          <w:rPr>
            <w:rStyle w:val="Hyperlink"/>
          </w:rPr>
          <w:t>https://doi.org/10.1093/ajcn/54.1.69</w:t>
        </w:r>
      </w:hyperlink>
      <w:r w:rsidRPr="00F61D64">
        <w:t xml:space="preserve"> </w:t>
      </w:r>
    </w:p>
    <w:p w14:paraId="19EAF38C" w14:textId="4CAD60FA" w:rsidR="00F61D64" w:rsidRPr="00F61D64" w:rsidRDefault="00F61D64" w:rsidP="00F61D64">
      <w:pPr>
        <w:pStyle w:val="EndNoteBibliography"/>
        <w:spacing w:after="0"/>
        <w:ind w:left="720" w:hanging="720"/>
      </w:pPr>
      <w:r w:rsidRPr="00F61D64">
        <w:t xml:space="preserve">Allsopp, A. J., Sutherland, R., Wood, P., &amp; Wootton, S. A. (1998). The effect of sodium balance on sweat sodium secretion and plasma aldosterone concentration. </w:t>
      </w:r>
      <w:r w:rsidRPr="00F61D64">
        <w:rPr>
          <w:i/>
        </w:rPr>
        <w:t>Eur J Appl Physiol Occup Physiol</w:t>
      </w:r>
      <w:r w:rsidRPr="00F61D64">
        <w:t>,</w:t>
      </w:r>
      <w:r w:rsidRPr="00F61D64">
        <w:rPr>
          <w:i/>
        </w:rPr>
        <w:t xml:space="preserve"> 78</w:t>
      </w:r>
      <w:r w:rsidRPr="00F61D64">
        <w:t xml:space="preserve">(6), 516-521. </w:t>
      </w:r>
      <w:hyperlink r:id="rId59" w:history="1">
        <w:r w:rsidRPr="00F61D64">
          <w:rPr>
            <w:rStyle w:val="Hyperlink"/>
          </w:rPr>
          <w:t>https://doi.org/10.1007/s004210050454</w:t>
        </w:r>
      </w:hyperlink>
      <w:r w:rsidRPr="00F61D64">
        <w:t xml:space="preserve"> </w:t>
      </w:r>
    </w:p>
    <w:p w14:paraId="21303BA8" w14:textId="1409C702" w:rsidR="00F61D64" w:rsidRPr="00F61D64" w:rsidRDefault="00F61D64" w:rsidP="00F61D64">
      <w:pPr>
        <w:pStyle w:val="EndNoteBibliography"/>
        <w:spacing w:after="0"/>
        <w:ind w:left="720" w:hanging="720"/>
      </w:pPr>
      <w:r w:rsidRPr="00F61D64">
        <w:t xml:space="preserve">Australian Bureau of Statistics. (2022). </w:t>
      </w:r>
      <w:r w:rsidRPr="00F61D64">
        <w:rPr>
          <w:i/>
        </w:rPr>
        <w:t>Hypertension and high measured blood pressure</w:t>
      </w:r>
      <w:r w:rsidRPr="00F61D64">
        <w:t xml:space="preserve"> (</w:t>
      </w:r>
      <w:hyperlink r:id="rId60" w:history="1">
        <w:r w:rsidRPr="00F61D64">
          <w:rPr>
            <w:rStyle w:val="Hyperlink"/>
          </w:rPr>
          <w:t>https://www.abs.gov.au/statistics/health/health-conditions-and-risks/hypertension-and-high-measured-blood-pressure/latest-release</w:t>
        </w:r>
      </w:hyperlink>
      <w:r w:rsidRPr="00F61D64">
        <w:t xml:space="preserve"> </w:t>
      </w:r>
    </w:p>
    <w:p w14:paraId="275FF3E3" w14:textId="7F6FE653" w:rsidR="00F61D64" w:rsidRPr="00F61D64" w:rsidRDefault="00F61D64" w:rsidP="00F61D64">
      <w:pPr>
        <w:pStyle w:val="EndNoteBibliography"/>
        <w:spacing w:after="0"/>
        <w:ind w:left="720" w:hanging="720"/>
      </w:pPr>
      <w:r w:rsidRPr="00F61D64">
        <w:t xml:space="preserve">Australian Bureau of Statistics. (2023a). </w:t>
      </w:r>
      <w:r w:rsidRPr="00F61D64">
        <w:rPr>
          <w:i/>
        </w:rPr>
        <w:t>National Aboriginal and Torres Strait Islander Nutrition and Physical Activity Survey: Food and Nutrients, 2023</w:t>
      </w:r>
      <w:r w:rsidRPr="00F61D64">
        <w:t xml:space="preserve"> (</w:t>
      </w:r>
      <w:hyperlink r:id="rId61" w:anchor="about-the-survey" w:history="1">
        <w:r w:rsidRPr="00F61D64">
          <w:rPr>
            <w:rStyle w:val="Hyperlink"/>
          </w:rPr>
          <w:t>https://www.abs.gov.au/statistics/people/aboriginal-and-torres-strait-islander-peoples/national-aboriginal-and-torres-strait-islander-nutrition-and-physical-activity-survey/latest-release#about-the-survey</w:t>
        </w:r>
      </w:hyperlink>
      <w:r w:rsidRPr="00F61D64">
        <w:t xml:space="preserve"> </w:t>
      </w:r>
    </w:p>
    <w:p w14:paraId="59359E04" w14:textId="11B43684" w:rsidR="00F61D64" w:rsidRPr="00F61D64" w:rsidRDefault="00F61D64" w:rsidP="00F61D64">
      <w:pPr>
        <w:pStyle w:val="EndNoteBibliography"/>
        <w:spacing w:after="0"/>
        <w:ind w:left="720" w:hanging="720"/>
      </w:pPr>
      <w:r w:rsidRPr="00F61D64">
        <w:t>Australian Bureau of Statistics. (2023b).</w:t>
      </w:r>
      <w:r w:rsidRPr="00F61D64">
        <w:rPr>
          <w:i/>
        </w:rPr>
        <w:t xml:space="preserve"> National Nutrition and Physical Activity Survey: Food and nutrients</w:t>
      </w:r>
      <w:r w:rsidRPr="00F61D64">
        <w:t xml:space="preserve"> (</w:t>
      </w:r>
      <w:hyperlink r:id="rId62" w:history="1">
        <w:r w:rsidRPr="00F61D64">
          <w:rPr>
            <w:rStyle w:val="Hyperlink"/>
          </w:rPr>
          <w:t>https://www.abs.gov.au/statistics/health/food-and-nutrition/food-and-nutrients/2023</w:t>
        </w:r>
      </w:hyperlink>
      <w:r w:rsidRPr="00F61D64">
        <w:t xml:space="preserve"> </w:t>
      </w:r>
    </w:p>
    <w:p w14:paraId="73F0BFB4" w14:textId="0329DD70" w:rsidR="00F61D64" w:rsidRPr="00F61D64" w:rsidRDefault="00F61D64" w:rsidP="00F61D64">
      <w:pPr>
        <w:pStyle w:val="EndNoteBibliography"/>
        <w:spacing w:after="0"/>
        <w:ind w:left="720" w:hanging="720"/>
      </w:pPr>
      <w:r w:rsidRPr="00F61D64">
        <w:t xml:space="preserve">Australian Bureau of Statistics. (2023c). </w:t>
      </w:r>
      <w:r w:rsidRPr="00F61D64">
        <w:rPr>
          <w:i/>
        </w:rPr>
        <w:t>National Nutrition and Physical Activity Survey: Usual nutrient intakes</w:t>
      </w:r>
      <w:r w:rsidRPr="00F61D64">
        <w:t xml:space="preserve"> (ABS. </w:t>
      </w:r>
      <w:hyperlink r:id="rId63" w:history="1">
        <w:r w:rsidRPr="00F61D64">
          <w:rPr>
            <w:rStyle w:val="Hyperlink"/>
          </w:rPr>
          <w:t>https://www.abs.gov.au/statistics/health/food-and-nutrition/usual-nutrient-intakes/2023</w:t>
        </w:r>
      </w:hyperlink>
      <w:r w:rsidRPr="00F61D64">
        <w:t xml:space="preserve"> </w:t>
      </w:r>
    </w:p>
    <w:p w14:paraId="2DB924FA" w14:textId="2BF6974C" w:rsidR="00F61D64" w:rsidRPr="00F61D64" w:rsidRDefault="00F61D64" w:rsidP="00F61D64">
      <w:pPr>
        <w:pStyle w:val="EndNoteBibliography"/>
        <w:spacing w:after="0"/>
        <w:ind w:left="720" w:hanging="720"/>
      </w:pPr>
      <w:r w:rsidRPr="00F61D64">
        <w:t xml:space="preserve">Australian Bureau of Statistics, A. (2025). </w:t>
      </w:r>
      <w:r w:rsidRPr="00F61D64">
        <w:rPr>
          <w:i/>
        </w:rPr>
        <w:t>Healthy Food Partnership Reformulation Program: Wave 1, four-year progress</w:t>
      </w:r>
      <w:r w:rsidRPr="00F61D64">
        <w:t xml:space="preserve">. ABS Retrieved from </w:t>
      </w:r>
      <w:hyperlink r:id="rId64" w:history="1">
        <w:r w:rsidRPr="00F61D64">
          <w:rPr>
            <w:rStyle w:val="Hyperlink"/>
          </w:rPr>
          <w:t>https://www.abs.gov.au/articles/healthy-food-partnership-reformulation-program-wave-1-four-year-progress</w:t>
        </w:r>
      </w:hyperlink>
    </w:p>
    <w:p w14:paraId="5B05F569" w14:textId="31B5C1F5" w:rsidR="00F61D64" w:rsidRPr="00F61D64" w:rsidRDefault="00F61D64" w:rsidP="00F61D64">
      <w:pPr>
        <w:pStyle w:val="EndNoteBibliography"/>
        <w:spacing w:after="0"/>
        <w:ind w:left="720" w:hanging="720"/>
      </w:pPr>
      <w:r w:rsidRPr="00F61D64">
        <w:t xml:space="preserve">Australian Government. (2026). </w:t>
      </w:r>
      <w:r w:rsidRPr="00F61D64">
        <w:rPr>
          <w:i/>
        </w:rPr>
        <w:t>Proposal on mandating the HSR system</w:t>
      </w:r>
      <w:r w:rsidRPr="00F61D64">
        <w:t xml:space="preserve">. Retrieved 09/07/2026 from </w:t>
      </w:r>
      <w:hyperlink r:id="rId65" w:history="1">
        <w:r w:rsidRPr="00F61D64">
          <w:rPr>
            <w:rStyle w:val="Hyperlink"/>
          </w:rPr>
          <w:t>https://www.healthstarrating.gov.au/monitoring-and-reviews/proposal-mandating-hsr-system</w:t>
        </w:r>
      </w:hyperlink>
    </w:p>
    <w:p w14:paraId="03C12DFF" w14:textId="67C1677E" w:rsidR="00F61D64" w:rsidRPr="00F61D64" w:rsidRDefault="00F61D64" w:rsidP="00F61D64">
      <w:pPr>
        <w:pStyle w:val="EndNoteBibliography"/>
        <w:spacing w:after="0"/>
        <w:ind w:left="720" w:hanging="720"/>
      </w:pPr>
      <w:r w:rsidRPr="00F61D64">
        <w:t xml:space="preserve">Australian Institute of Health and Welfare. (2026a). </w:t>
      </w:r>
      <w:r w:rsidRPr="00F61D64">
        <w:rPr>
          <w:i/>
        </w:rPr>
        <w:t>Heart, stroke and vascular disease: Australian facts</w:t>
      </w:r>
      <w:r w:rsidRPr="00F61D64">
        <w:t xml:space="preserve">. Canberra, ACT: AIHW Retrieved from </w:t>
      </w:r>
      <w:hyperlink r:id="rId66" w:history="1">
        <w:r w:rsidRPr="00F61D64">
          <w:rPr>
            <w:rStyle w:val="Hyperlink"/>
          </w:rPr>
          <w:t>https://www.aihw.gov.au/reports/heart-stroke-vascular-diseases/hsvd-facts</w:t>
        </w:r>
      </w:hyperlink>
    </w:p>
    <w:p w14:paraId="38FB28D8" w14:textId="1CD01153" w:rsidR="00F61D64" w:rsidRPr="00F61D64" w:rsidRDefault="00F61D64" w:rsidP="00F61D64">
      <w:pPr>
        <w:pStyle w:val="EndNoteBibliography"/>
        <w:spacing w:after="0"/>
        <w:ind w:left="720" w:hanging="720"/>
      </w:pPr>
      <w:r w:rsidRPr="00F61D64">
        <w:t xml:space="preserve">Australian Institute of Health and Welfare. (2026b). </w:t>
      </w:r>
      <w:r w:rsidRPr="00F61D64">
        <w:rPr>
          <w:i/>
        </w:rPr>
        <w:t>Hypertension in Australia</w:t>
      </w:r>
      <w:r w:rsidRPr="00F61D64">
        <w:t xml:space="preserve">. Canberra, ACT: AIHW Retrieved from </w:t>
      </w:r>
      <w:hyperlink r:id="rId67" w:history="1">
        <w:r w:rsidRPr="00F61D64">
          <w:rPr>
            <w:rStyle w:val="Hyperlink"/>
          </w:rPr>
          <w:t>https://www.aihw.gov.au/reports/risk-factors/hypertension/</w:t>
        </w:r>
      </w:hyperlink>
    </w:p>
    <w:p w14:paraId="50090EDB" w14:textId="0A80F577" w:rsidR="00F61D64" w:rsidRPr="00F61D64" w:rsidRDefault="00F61D64" w:rsidP="00F61D64">
      <w:pPr>
        <w:pStyle w:val="EndNoteBibliography"/>
        <w:spacing w:after="0"/>
        <w:ind w:left="720" w:hanging="720"/>
      </w:pPr>
      <w:r w:rsidRPr="00F61D64">
        <w:t xml:space="preserve">Bablani, L., Ni Mhurchu, C., Neal, B., Skeels, C. L., Staub, K. E., &amp; Blakely, T. (2020). The impact of voluntary front-of-pack nutrition labelling on packaged food reformulation: A difference-in-differences analysis of the Australasian Health Star Rating scheme. </w:t>
      </w:r>
      <w:r w:rsidRPr="00F61D64">
        <w:rPr>
          <w:i/>
        </w:rPr>
        <w:t>PLoS Med</w:t>
      </w:r>
      <w:r w:rsidRPr="00F61D64">
        <w:t>,</w:t>
      </w:r>
      <w:r w:rsidRPr="00F61D64">
        <w:rPr>
          <w:i/>
        </w:rPr>
        <w:t xml:space="preserve"> 17</w:t>
      </w:r>
      <w:r w:rsidRPr="00F61D64">
        <w:t xml:space="preserve">(11), e1003427. </w:t>
      </w:r>
      <w:hyperlink r:id="rId68" w:history="1">
        <w:r w:rsidRPr="00F61D64">
          <w:rPr>
            <w:rStyle w:val="Hyperlink"/>
          </w:rPr>
          <w:t>https://doi.org/10.1371/journal.pmed.1003427</w:t>
        </w:r>
      </w:hyperlink>
      <w:r w:rsidRPr="00F61D64">
        <w:t xml:space="preserve"> </w:t>
      </w:r>
    </w:p>
    <w:p w14:paraId="6247ABC3" w14:textId="25E3F358" w:rsidR="00F61D64" w:rsidRPr="00F61D64" w:rsidRDefault="00F61D64" w:rsidP="00F61D64">
      <w:pPr>
        <w:pStyle w:val="EndNoteBibliography"/>
        <w:spacing w:after="0"/>
        <w:ind w:left="720" w:hanging="720"/>
      </w:pPr>
      <w:r w:rsidRPr="00F61D64">
        <w:t xml:space="preserve">Bauer, J., &amp; Gerss, J. (2011). Longitudinal analysis of macronutrients and minerals in human milk produced by mothers of preterm infants. </w:t>
      </w:r>
      <w:r w:rsidRPr="00F61D64">
        <w:rPr>
          <w:i/>
        </w:rPr>
        <w:t>Clin Nutr</w:t>
      </w:r>
      <w:r w:rsidRPr="00F61D64">
        <w:t>,</w:t>
      </w:r>
      <w:r w:rsidRPr="00F61D64">
        <w:rPr>
          <w:i/>
        </w:rPr>
        <w:t xml:space="preserve"> 30</w:t>
      </w:r>
      <w:r w:rsidRPr="00F61D64">
        <w:t xml:space="preserve">(2), 215-220. </w:t>
      </w:r>
      <w:hyperlink r:id="rId69" w:history="1">
        <w:r w:rsidRPr="00F61D64">
          <w:rPr>
            <w:rStyle w:val="Hyperlink"/>
          </w:rPr>
          <w:t>https://doi.org/10.1016/j.clnu.2010.08.003</w:t>
        </w:r>
      </w:hyperlink>
      <w:r w:rsidRPr="00F61D64">
        <w:t xml:space="preserve"> </w:t>
      </w:r>
    </w:p>
    <w:p w14:paraId="512FF697" w14:textId="244C840A" w:rsidR="00F61D64" w:rsidRPr="00F61D64" w:rsidRDefault="00F61D64" w:rsidP="00F61D64">
      <w:pPr>
        <w:pStyle w:val="EndNoteBibliography"/>
        <w:spacing w:after="0"/>
        <w:ind w:left="720" w:hanging="720"/>
      </w:pPr>
      <w:r w:rsidRPr="00F61D64">
        <w:lastRenderedPageBreak/>
        <w:t xml:space="preserve">Beard, T. C., Cooke, H. M., Gray, W. R., &amp; Barge, R. (1982). Randomised controlled trial of a no-added-sodium diet for mild hypertension. </w:t>
      </w:r>
      <w:r w:rsidRPr="00F61D64">
        <w:rPr>
          <w:i/>
        </w:rPr>
        <w:t>Lancet</w:t>
      </w:r>
      <w:r w:rsidRPr="00F61D64">
        <w:t>,</w:t>
      </w:r>
      <w:r w:rsidRPr="00F61D64">
        <w:rPr>
          <w:i/>
        </w:rPr>
        <w:t xml:space="preserve"> 2</w:t>
      </w:r>
      <w:r w:rsidRPr="00F61D64">
        <w:t xml:space="preserve">(8296), 455-458. </w:t>
      </w:r>
      <w:hyperlink r:id="rId70" w:history="1">
        <w:r w:rsidRPr="00F61D64">
          <w:rPr>
            <w:rStyle w:val="Hyperlink"/>
          </w:rPr>
          <w:t>https://doi.org/10.1016/s0140-6736(82)90491-3</w:t>
        </w:r>
      </w:hyperlink>
      <w:r w:rsidRPr="00F61D64">
        <w:t xml:space="preserve"> </w:t>
      </w:r>
    </w:p>
    <w:p w14:paraId="65D64EEF" w14:textId="192D1ACB" w:rsidR="00F61D64" w:rsidRPr="00F61D64" w:rsidRDefault="00F61D64" w:rsidP="00F61D64">
      <w:pPr>
        <w:pStyle w:val="EndNoteBibliography"/>
        <w:spacing w:after="0"/>
        <w:ind w:left="720" w:hanging="720"/>
      </w:pPr>
      <w:r w:rsidRPr="00F61D64">
        <w:t xml:space="preserve">Beard, T. C., Hornsby, H., Dwyer, T., Woodward, D. R., Ball, P. J., &amp; von Witt, R. J. (1997). The Hobart Salt Study 1995: few meet national sodium intake target. </w:t>
      </w:r>
      <w:r w:rsidRPr="00F61D64">
        <w:rPr>
          <w:i/>
        </w:rPr>
        <w:t>Medical Journal of Australia</w:t>
      </w:r>
      <w:r w:rsidRPr="00F61D64">
        <w:t>,</w:t>
      </w:r>
      <w:r w:rsidRPr="00F61D64">
        <w:rPr>
          <w:i/>
        </w:rPr>
        <w:t xml:space="preserve"> 166</w:t>
      </w:r>
      <w:r w:rsidRPr="00F61D64">
        <w:t xml:space="preserve">(8), 404-407. </w:t>
      </w:r>
      <w:hyperlink r:id="rId71" w:history="1">
        <w:r w:rsidRPr="00F61D64">
          <w:rPr>
            <w:rStyle w:val="Hyperlink"/>
          </w:rPr>
          <w:t>https://doi.org/https://doi.org/10.5694/j.1326-5377.1997.tb123189.x</w:t>
        </w:r>
      </w:hyperlink>
      <w:r w:rsidRPr="00F61D64">
        <w:t xml:space="preserve"> </w:t>
      </w:r>
    </w:p>
    <w:p w14:paraId="4BB9B4CF" w14:textId="06FDEEB9" w:rsidR="00F61D64" w:rsidRPr="00F61D64" w:rsidRDefault="00F61D64" w:rsidP="00F61D64">
      <w:pPr>
        <w:pStyle w:val="EndNoteBibliography"/>
        <w:spacing w:after="0"/>
        <w:ind w:left="720" w:hanging="720"/>
      </w:pPr>
      <w:r w:rsidRPr="00F61D64">
        <w:t xml:space="preserve">Bennett, G., Bardon, L. A., &amp; Gibney, E. R. (2022). A Comparison of Dietary Patterns and Factors Influencing Food Choice among Ethnic Groups Living in One Locality: A Systematic Review. </w:t>
      </w:r>
      <w:r w:rsidRPr="00F61D64">
        <w:rPr>
          <w:i/>
        </w:rPr>
        <w:t>Nutrients</w:t>
      </w:r>
      <w:r w:rsidRPr="00F61D64">
        <w:t>,</w:t>
      </w:r>
      <w:r w:rsidRPr="00F61D64">
        <w:rPr>
          <w:i/>
        </w:rPr>
        <w:t xml:space="preserve"> 14</w:t>
      </w:r>
      <w:r w:rsidRPr="00F61D64">
        <w:t xml:space="preserve">(5), 941. </w:t>
      </w:r>
      <w:hyperlink r:id="rId72" w:history="1">
        <w:r w:rsidRPr="00F61D64">
          <w:rPr>
            <w:rStyle w:val="Hyperlink"/>
          </w:rPr>
          <w:t>https://www.mdpi.com/2072-6643/14/5/941</w:t>
        </w:r>
      </w:hyperlink>
      <w:r w:rsidRPr="00F61D64">
        <w:t xml:space="preserve"> </w:t>
      </w:r>
    </w:p>
    <w:p w14:paraId="32852EDC" w14:textId="50E43135" w:rsidR="00F61D64" w:rsidRPr="00F61D64" w:rsidRDefault="00F61D64" w:rsidP="00F61D64">
      <w:pPr>
        <w:pStyle w:val="EndNoteBibliography"/>
        <w:spacing w:after="0"/>
        <w:ind w:left="720" w:hanging="720"/>
      </w:pPr>
      <w:r w:rsidRPr="00F61D64">
        <w:t xml:space="preserve">Bhana, N., Utter, J., &amp; Eyles, H. (2018). Knowledge, Attitudes and Behaviours Related to Dietary Salt Intake in High-Income Countries: a Systematic Review. </w:t>
      </w:r>
      <w:r w:rsidRPr="00F61D64">
        <w:rPr>
          <w:i/>
        </w:rPr>
        <w:t>Current nutrition reports</w:t>
      </w:r>
      <w:r w:rsidRPr="00F61D64">
        <w:t>,</w:t>
      </w:r>
      <w:r w:rsidRPr="00F61D64">
        <w:rPr>
          <w:i/>
        </w:rPr>
        <w:t xml:space="preserve"> 7</w:t>
      </w:r>
      <w:r w:rsidRPr="00F61D64">
        <w:t xml:space="preserve">(4), 183-197. </w:t>
      </w:r>
      <w:hyperlink r:id="rId73" w:history="1">
        <w:r w:rsidRPr="00F61D64">
          <w:rPr>
            <w:rStyle w:val="Hyperlink"/>
          </w:rPr>
          <w:t>https://doi.org/10.1007/s13668-018-0239-9</w:t>
        </w:r>
      </w:hyperlink>
      <w:r w:rsidRPr="00F61D64">
        <w:t xml:space="preserve"> </w:t>
      </w:r>
    </w:p>
    <w:p w14:paraId="174AD64A" w14:textId="28E9488A" w:rsidR="00F61D64" w:rsidRPr="00F61D64" w:rsidRDefault="00F61D64" w:rsidP="00F61D64">
      <w:pPr>
        <w:pStyle w:val="EndNoteBibliography"/>
        <w:spacing w:after="0"/>
        <w:ind w:left="720" w:hanging="720"/>
      </w:pPr>
      <w:r w:rsidRPr="00F61D64">
        <w:t xml:space="preserve">Bhat, S., Marklund, M., Henry, M. E., Appel, L. J., Croft, K. D., Neal, B., &amp; Wu, J. H. Y. (2020). A Systematic Review of the Sources of Dietary Salt Around the World. </w:t>
      </w:r>
      <w:r w:rsidRPr="00F61D64">
        <w:rPr>
          <w:i/>
        </w:rPr>
        <w:t>Adv Nutr</w:t>
      </w:r>
      <w:r w:rsidRPr="00F61D64">
        <w:t>,</w:t>
      </w:r>
      <w:r w:rsidRPr="00F61D64">
        <w:rPr>
          <w:i/>
        </w:rPr>
        <w:t xml:space="preserve"> 11</w:t>
      </w:r>
      <w:r w:rsidRPr="00F61D64">
        <w:t xml:space="preserve">(3), 677-686. </w:t>
      </w:r>
      <w:hyperlink r:id="rId74" w:history="1">
        <w:r w:rsidRPr="00F61D64">
          <w:rPr>
            <w:rStyle w:val="Hyperlink"/>
          </w:rPr>
          <w:t>https://doi.org/10.1093/advances/nmz134</w:t>
        </w:r>
      </w:hyperlink>
      <w:r w:rsidRPr="00F61D64">
        <w:t xml:space="preserve"> </w:t>
      </w:r>
    </w:p>
    <w:p w14:paraId="1A584719" w14:textId="13442218" w:rsidR="00F61D64" w:rsidRPr="00F61D64" w:rsidRDefault="00F61D64" w:rsidP="00F61D64">
      <w:pPr>
        <w:pStyle w:val="EndNoteBibliography"/>
        <w:spacing w:after="0"/>
        <w:ind w:left="720" w:hanging="720"/>
      </w:pPr>
      <w:r w:rsidRPr="00F61D64">
        <w:t xml:space="preserve">Blomhoff, R., Andersen, R., Arnesen, E., Christensen, J., Eneroth, H., Erkkola, M., Gudanaviciene, I., Høyer-Lund, A., Lemming, E., Meltzer, H., Pitsi, T., Siksna, I., Thorsdottir, I., &amp; Trolle, E. (2023). </w:t>
      </w:r>
      <w:r w:rsidRPr="00F61D64">
        <w:rPr>
          <w:i/>
        </w:rPr>
        <w:t>Nordic Nutrition Recommendations 2023</w:t>
      </w:r>
      <w:r w:rsidRPr="00F61D64">
        <w:t xml:space="preserve">. </w:t>
      </w:r>
      <w:hyperlink r:id="rId75" w:history="1">
        <w:r w:rsidRPr="00F61D64">
          <w:rPr>
            <w:rStyle w:val="Hyperlink"/>
          </w:rPr>
          <w:t>https://doi.org/10.6027/nord2023-003</w:t>
        </w:r>
      </w:hyperlink>
      <w:r w:rsidRPr="00F61D64">
        <w:t xml:space="preserve"> </w:t>
      </w:r>
    </w:p>
    <w:p w14:paraId="5ECD4B46" w14:textId="02FFB8E0" w:rsidR="00F61D64" w:rsidRPr="00F61D64" w:rsidRDefault="00F61D64" w:rsidP="00F61D64">
      <w:pPr>
        <w:pStyle w:val="EndNoteBibliography"/>
        <w:spacing w:after="0"/>
        <w:ind w:left="720" w:hanging="720"/>
      </w:pPr>
      <w:r w:rsidRPr="00F61D64">
        <w:t xml:space="preserve">Bolton, K. A., Webster, J., Dunford, E. K., Jan, S., Woodward, M., Bolam, B., Neal, B., Trieu, K., Reimers, J., Armstrong, S., Nowson, C., &amp; Grimes, C. (2020). Sources of dietary sodium and implications for a statewide salt reduction initiative in Victoria, Australia. </w:t>
      </w:r>
      <w:r w:rsidRPr="00F61D64">
        <w:rPr>
          <w:i/>
        </w:rPr>
        <w:t>Br J Nutr</w:t>
      </w:r>
      <w:r w:rsidRPr="00F61D64">
        <w:t>,</w:t>
      </w:r>
      <w:r w:rsidRPr="00F61D64">
        <w:rPr>
          <w:i/>
        </w:rPr>
        <w:t xml:space="preserve"> 123</w:t>
      </w:r>
      <w:r w:rsidRPr="00F61D64">
        <w:t xml:space="preserve">(10), 1165-1175. </w:t>
      </w:r>
      <w:hyperlink r:id="rId76" w:history="1">
        <w:r w:rsidRPr="00F61D64">
          <w:rPr>
            <w:rStyle w:val="Hyperlink"/>
          </w:rPr>
          <w:t>https://doi.org/10.1017/s000711452000032x</w:t>
        </w:r>
      </w:hyperlink>
      <w:r w:rsidRPr="00F61D64">
        <w:t xml:space="preserve"> </w:t>
      </w:r>
    </w:p>
    <w:p w14:paraId="04D953A2" w14:textId="5F5702D0" w:rsidR="00F61D64" w:rsidRPr="00F61D64" w:rsidRDefault="00F61D64" w:rsidP="00F61D64">
      <w:pPr>
        <w:pStyle w:val="EndNoteBibliography"/>
        <w:spacing w:after="0"/>
        <w:ind w:left="720" w:hanging="720"/>
      </w:pPr>
      <w:r w:rsidRPr="00F61D64">
        <w:t xml:space="preserve">Boorman, J., Cunningham, J., Mackerras, D. (2008). </w:t>
      </w:r>
      <w:r w:rsidRPr="00F61D64">
        <w:rPr>
          <w:i/>
        </w:rPr>
        <w:t>Salt Intake from Processed Food and Discretionary Use in Australia</w:t>
      </w:r>
      <w:r w:rsidRPr="00F61D64">
        <w:t xml:space="preserve">. ACT, Australia: FSANZ Retrieved from </w:t>
      </w:r>
      <w:hyperlink r:id="rId77" w:history="1">
        <w:r w:rsidRPr="00F61D64">
          <w:rPr>
            <w:rStyle w:val="Hyperlink"/>
          </w:rPr>
          <w:t>https://www.foodstandards.gov.au/sites/default/files/consumer/nutrition/salthowmuch/Documents/Salt_Intake_5.pdf</w:t>
        </w:r>
      </w:hyperlink>
    </w:p>
    <w:p w14:paraId="38B2DEAE" w14:textId="6972756B" w:rsidR="00F61D64" w:rsidRPr="00F61D64" w:rsidRDefault="00F61D64" w:rsidP="00F61D64">
      <w:pPr>
        <w:pStyle w:val="EndNoteBibliography"/>
        <w:spacing w:after="0"/>
        <w:ind w:left="720" w:hanging="720"/>
      </w:pPr>
      <w:r w:rsidRPr="00F61D64">
        <w:t xml:space="preserve">Butte, N. F., Garza, C., Johnson, C. A., Smith, E. O., &amp; Nichols, B. L. (1984). Longitudinal changes in milk composition of mothers delivering preterm and term infants. </w:t>
      </w:r>
      <w:r w:rsidRPr="00F61D64">
        <w:rPr>
          <w:i/>
        </w:rPr>
        <w:t>Early Hum Dev</w:t>
      </w:r>
      <w:r w:rsidRPr="00F61D64">
        <w:t>,</w:t>
      </w:r>
      <w:r w:rsidRPr="00F61D64">
        <w:rPr>
          <w:i/>
        </w:rPr>
        <w:t xml:space="preserve"> 9</w:t>
      </w:r>
      <w:r w:rsidRPr="00F61D64">
        <w:t xml:space="preserve">(2), 153-162. </w:t>
      </w:r>
      <w:hyperlink r:id="rId78" w:history="1">
        <w:r w:rsidRPr="00F61D64">
          <w:rPr>
            <w:rStyle w:val="Hyperlink"/>
          </w:rPr>
          <w:t>https://doi.org/10.1016/0378-3782(84)90096-3</w:t>
        </w:r>
      </w:hyperlink>
      <w:r w:rsidRPr="00F61D64">
        <w:t xml:space="preserve"> </w:t>
      </w:r>
    </w:p>
    <w:p w14:paraId="668D2CF9" w14:textId="39F9B008" w:rsidR="00F61D64" w:rsidRPr="00F61D64" w:rsidRDefault="00F61D64" w:rsidP="00F61D64">
      <w:pPr>
        <w:pStyle w:val="EndNoteBibliography"/>
        <w:spacing w:after="0"/>
        <w:ind w:left="720" w:hanging="720"/>
      </w:pPr>
      <w:r w:rsidRPr="00F61D64">
        <w:t xml:space="preserve">Campbell, N. R. C., He, F. J., Tan, M., Cappuccio, F. P., Neal, B., Woodward, M., Cogswell, M. E., McLean, R., Arcand, J., MacGregor, G., Whelton, P., Jula, A., L'Abbe, M. R., Cobb, L. K., &amp; Lackland, D. T. (2019). The International Consortium for Quality Research on Dietary Sodium/Salt (TRUE) position statement on the use of 24-hour, spot, and short duration (&lt;24 hours) timed urine collections to assess dietary sodium intake. </w:t>
      </w:r>
      <w:r w:rsidRPr="00F61D64">
        <w:rPr>
          <w:i/>
        </w:rPr>
        <w:t>J Clin Hypertens (Greenwich)</w:t>
      </w:r>
      <w:r w:rsidRPr="00F61D64">
        <w:t>,</w:t>
      </w:r>
      <w:r w:rsidRPr="00F61D64">
        <w:rPr>
          <w:i/>
        </w:rPr>
        <w:t xml:space="preserve"> 21</w:t>
      </w:r>
      <w:r w:rsidRPr="00F61D64">
        <w:t xml:space="preserve">(6), 700-709. </w:t>
      </w:r>
      <w:hyperlink r:id="rId79" w:history="1">
        <w:r w:rsidRPr="00F61D64">
          <w:rPr>
            <w:rStyle w:val="Hyperlink"/>
          </w:rPr>
          <w:t>https://doi.org/10.1111/jch.13551</w:t>
        </w:r>
      </w:hyperlink>
      <w:r w:rsidRPr="00F61D64">
        <w:t xml:space="preserve"> </w:t>
      </w:r>
    </w:p>
    <w:p w14:paraId="02930FC2" w14:textId="77777777" w:rsidR="00F61D64" w:rsidRPr="00F61D64" w:rsidRDefault="00F61D64" w:rsidP="00F61D64">
      <w:pPr>
        <w:pStyle w:val="EndNoteBibliography"/>
        <w:spacing w:after="0"/>
        <w:ind w:left="720" w:hanging="720"/>
      </w:pPr>
      <w:r w:rsidRPr="00F61D64">
        <w:t>Carley Grimes. (2026). Unpublished analysis of 2016-17 data supplied in correspondence. In N. P. Team (Ed.).</w:t>
      </w:r>
    </w:p>
    <w:p w14:paraId="00AE4678" w14:textId="4D227AC9" w:rsidR="00F61D64" w:rsidRPr="00F61D64" w:rsidRDefault="00F61D64" w:rsidP="00F61D64">
      <w:pPr>
        <w:pStyle w:val="EndNoteBibliography"/>
        <w:spacing w:after="0"/>
        <w:ind w:left="720" w:hanging="720"/>
      </w:pPr>
      <w:r w:rsidRPr="00F61D64">
        <w:t xml:space="preserve">Chen, X., &amp; Wang, Y. (2008). Tracking of blood pressure from childhood to adulthood: a systematic review and meta-regression analysis. </w:t>
      </w:r>
      <w:r w:rsidRPr="00F61D64">
        <w:rPr>
          <w:i/>
        </w:rPr>
        <w:t>Circulation</w:t>
      </w:r>
      <w:r w:rsidRPr="00F61D64">
        <w:t>,</w:t>
      </w:r>
      <w:r w:rsidRPr="00F61D64">
        <w:rPr>
          <w:i/>
        </w:rPr>
        <w:t xml:space="preserve"> 117</w:t>
      </w:r>
      <w:r w:rsidRPr="00F61D64">
        <w:t xml:space="preserve">(25), 3171-3180. </w:t>
      </w:r>
      <w:hyperlink r:id="rId80" w:history="1">
        <w:r w:rsidRPr="00F61D64">
          <w:rPr>
            <w:rStyle w:val="Hyperlink"/>
          </w:rPr>
          <w:t>https://doi.org/10.1161/circulationaha.107.730366</w:t>
        </w:r>
      </w:hyperlink>
      <w:r w:rsidRPr="00F61D64">
        <w:t xml:space="preserve"> </w:t>
      </w:r>
    </w:p>
    <w:p w14:paraId="730D68A1" w14:textId="32ABC6CB" w:rsidR="00F61D64" w:rsidRPr="00F61D64" w:rsidRDefault="00F61D64" w:rsidP="00F61D64">
      <w:pPr>
        <w:pStyle w:val="EndNoteBibliography"/>
        <w:spacing w:after="0"/>
        <w:ind w:left="720" w:hanging="720"/>
      </w:pPr>
      <w:r w:rsidRPr="00F61D64">
        <w:t xml:space="preserve">Cheng, J., Thorndike, A. N., &amp; Yi, S. (2025). Racial and Ethnic Differences in Sodium Sources and Sodium Reduction Behaviors Among US Adults: NHANES 2017 to 2020 Prepandemic. </w:t>
      </w:r>
      <w:r w:rsidRPr="00F61D64">
        <w:rPr>
          <w:i/>
        </w:rPr>
        <w:t>Journal of the American Heart Association</w:t>
      </w:r>
      <w:r w:rsidRPr="00F61D64">
        <w:t>,</w:t>
      </w:r>
      <w:r w:rsidRPr="00F61D64">
        <w:rPr>
          <w:i/>
        </w:rPr>
        <w:t xml:space="preserve"> 14</w:t>
      </w:r>
      <w:r w:rsidRPr="00F61D64">
        <w:t xml:space="preserve">(11), e037997. </w:t>
      </w:r>
      <w:hyperlink r:id="rId81" w:history="1">
        <w:r w:rsidRPr="00F61D64">
          <w:rPr>
            <w:rStyle w:val="Hyperlink"/>
          </w:rPr>
          <w:t>https://doi.org/10.1161/JAHA.124.037997</w:t>
        </w:r>
      </w:hyperlink>
      <w:r w:rsidRPr="00F61D64">
        <w:t xml:space="preserve"> </w:t>
      </w:r>
    </w:p>
    <w:p w14:paraId="1F992528" w14:textId="6CC776F5" w:rsidR="00F61D64" w:rsidRPr="00F61D64" w:rsidRDefault="00F61D64" w:rsidP="00F61D64">
      <w:pPr>
        <w:pStyle w:val="EndNoteBibliography"/>
        <w:spacing w:after="0"/>
        <w:ind w:left="720" w:hanging="720"/>
      </w:pPr>
      <w:r w:rsidRPr="00F61D64">
        <w:t xml:space="preserve">Chong, M. F.-F. (2022). Dietary trajectories through the life course: opportunities and challenges. </w:t>
      </w:r>
      <w:r w:rsidRPr="00F61D64">
        <w:rPr>
          <w:i/>
        </w:rPr>
        <w:t>British Journal of Nutrition</w:t>
      </w:r>
      <w:r w:rsidRPr="00F61D64">
        <w:t>,</w:t>
      </w:r>
      <w:r w:rsidRPr="00F61D64">
        <w:rPr>
          <w:i/>
        </w:rPr>
        <w:t xml:space="preserve"> 128</w:t>
      </w:r>
      <w:r w:rsidRPr="00F61D64">
        <w:t xml:space="preserve">(1), 154-159. </w:t>
      </w:r>
      <w:hyperlink r:id="rId82" w:history="1">
        <w:r w:rsidRPr="00F61D64">
          <w:rPr>
            <w:rStyle w:val="Hyperlink"/>
          </w:rPr>
          <w:t>https://doi.org/10.1017/S0007114522001295</w:t>
        </w:r>
      </w:hyperlink>
      <w:r w:rsidRPr="00F61D64">
        <w:t xml:space="preserve"> </w:t>
      </w:r>
    </w:p>
    <w:p w14:paraId="79E2289C" w14:textId="333576B4" w:rsidR="00F61D64" w:rsidRPr="00F61D64" w:rsidRDefault="00F61D64" w:rsidP="00F61D64">
      <w:pPr>
        <w:pStyle w:val="EndNoteBibliography"/>
        <w:spacing w:after="0"/>
        <w:ind w:left="720" w:hanging="720"/>
      </w:pPr>
      <w:r w:rsidRPr="00F61D64">
        <w:t xml:space="preserve">Consolazio, C. F., Matoush, L. O., Nelson, R. A., Harding, R. S., &amp; Canham, J. E. (1963). Excretion of Sodium, Potassium, Magnesium and Iron in Human Sweat and the Relation of Each to </w:t>
      </w:r>
      <w:r w:rsidRPr="00F61D64">
        <w:lastRenderedPageBreak/>
        <w:t xml:space="preserve">Balance and Requirements. </w:t>
      </w:r>
      <w:r w:rsidRPr="00F61D64">
        <w:rPr>
          <w:i/>
        </w:rPr>
        <w:t>The Journal of nutrition</w:t>
      </w:r>
      <w:r w:rsidRPr="00F61D64">
        <w:t>,</w:t>
      </w:r>
      <w:r w:rsidRPr="00F61D64">
        <w:rPr>
          <w:i/>
        </w:rPr>
        <w:t xml:space="preserve"> 79</w:t>
      </w:r>
      <w:r w:rsidRPr="00F61D64">
        <w:t xml:space="preserve">(4), 407-415. </w:t>
      </w:r>
      <w:hyperlink r:id="rId83" w:history="1">
        <w:r w:rsidRPr="00F61D64">
          <w:rPr>
            <w:rStyle w:val="Hyperlink"/>
          </w:rPr>
          <w:t>https://doi.org/https://doi.org/10.1093/jn/79.4.407</w:t>
        </w:r>
      </w:hyperlink>
      <w:r w:rsidRPr="00F61D64">
        <w:t xml:space="preserve"> </w:t>
      </w:r>
    </w:p>
    <w:p w14:paraId="5FB872A6" w14:textId="6BD17BA2" w:rsidR="00F61D64" w:rsidRPr="00F61D64" w:rsidRDefault="00F61D64" w:rsidP="00F61D64">
      <w:pPr>
        <w:pStyle w:val="EndNoteBibliography"/>
        <w:spacing w:after="0"/>
        <w:ind w:left="720" w:hanging="720"/>
      </w:pPr>
      <w:r w:rsidRPr="00F61D64">
        <w:t xml:space="preserve">Coyle, D., Shahid, M., Dunford, E., Ni Mhurchu, C., McKee, S., Santos, M., Popkin, B., Trieu, K., Marklund, M., Neal, B., &amp; Wu, J. (2021). Estimating the potential impact of Australia's reformulation programme on households' sodium purchases. </w:t>
      </w:r>
      <w:r w:rsidRPr="00F61D64">
        <w:rPr>
          <w:i/>
        </w:rPr>
        <w:t>BMJ Nutrition, Prevention &amp; Health</w:t>
      </w:r>
      <w:r w:rsidRPr="00F61D64">
        <w:t>,</w:t>
      </w:r>
      <w:r w:rsidRPr="00F61D64">
        <w:rPr>
          <w:i/>
        </w:rPr>
        <w:t xml:space="preserve"> 4</w:t>
      </w:r>
      <w:r w:rsidRPr="00F61D64">
        <w:t xml:space="preserve">(1). </w:t>
      </w:r>
      <w:hyperlink r:id="rId84" w:history="1">
        <w:r w:rsidRPr="00F61D64">
          <w:rPr>
            <w:rStyle w:val="Hyperlink"/>
          </w:rPr>
          <w:t>https://doi.org/10.1136/bmjnph-2020-000173</w:t>
        </w:r>
      </w:hyperlink>
      <w:r w:rsidRPr="00F61D64">
        <w:t xml:space="preserve"> </w:t>
      </w:r>
    </w:p>
    <w:p w14:paraId="7D0237E6" w14:textId="09B08A9A" w:rsidR="00F61D64" w:rsidRPr="00F61D64" w:rsidRDefault="00F61D64" w:rsidP="00F61D64">
      <w:pPr>
        <w:pStyle w:val="EndNoteBibliography"/>
        <w:spacing w:after="0"/>
        <w:ind w:left="720" w:hanging="720"/>
      </w:pPr>
      <w:r w:rsidRPr="00F61D64">
        <w:t xml:space="preserve">Coyle, D. H., Huang, L., Hu, M., Ghammachi, N., Pettigrew, S., &amp; Wu, J. H. Y. (2025). Assessing the impact of voluntary food reformulation targets: Mid-point assessment of Australia’s voluntary sodium and saturated fat reduction policy. </w:t>
      </w:r>
      <w:r w:rsidRPr="00F61D64">
        <w:rPr>
          <w:i/>
        </w:rPr>
        <w:t>European journal of clinical nutrition</w:t>
      </w:r>
      <w:r w:rsidRPr="00F61D64">
        <w:t>,</w:t>
      </w:r>
      <w:r w:rsidRPr="00F61D64">
        <w:rPr>
          <w:i/>
        </w:rPr>
        <w:t xml:space="preserve"> 79</w:t>
      </w:r>
      <w:r w:rsidRPr="00F61D64">
        <w:t xml:space="preserve">(10), 1060-1065. </w:t>
      </w:r>
      <w:hyperlink r:id="rId85" w:history="1">
        <w:r w:rsidRPr="00F61D64">
          <w:rPr>
            <w:rStyle w:val="Hyperlink"/>
          </w:rPr>
          <w:t>https://doi.org/10.1038/s41430-025-01647-5</w:t>
        </w:r>
      </w:hyperlink>
      <w:r w:rsidRPr="00F61D64">
        <w:t xml:space="preserve"> </w:t>
      </w:r>
    </w:p>
    <w:p w14:paraId="31905ABE" w14:textId="77777777" w:rsidR="00F61D64" w:rsidRPr="00F61D64" w:rsidRDefault="00F61D64" w:rsidP="00F61D64">
      <w:pPr>
        <w:pStyle w:val="EndNoteBibliography"/>
        <w:spacing w:after="0"/>
        <w:ind w:left="720" w:hanging="720"/>
      </w:pPr>
      <w:r w:rsidRPr="00F61D64">
        <w:t xml:space="preserve">de Mestral, C., Mayén, A.-L., Petrovic, D., Marques-Vidal, P., Bochud, M., &amp; Stringhini, S. (2017). Socioeconomic determinants of sodium intake in adult populations of high-income countries: a systematic review and meta-analysis. </w:t>
      </w:r>
      <w:r w:rsidRPr="00F61D64">
        <w:rPr>
          <w:i/>
        </w:rPr>
        <w:t>American journal of public health</w:t>
      </w:r>
      <w:r w:rsidRPr="00F61D64">
        <w:t>,</w:t>
      </w:r>
      <w:r w:rsidRPr="00F61D64">
        <w:rPr>
          <w:i/>
        </w:rPr>
        <w:t xml:space="preserve"> 107</w:t>
      </w:r>
      <w:r w:rsidRPr="00F61D64">
        <w:t xml:space="preserve">(4), e1-e12. </w:t>
      </w:r>
    </w:p>
    <w:p w14:paraId="0C9C02CB" w14:textId="3FC54C5D" w:rsidR="00F61D64" w:rsidRPr="00F61D64" w:rsidRDefault="00F61D64" w:rsidP="00F61D64">
      <w:pPr>
        <w:pStyle w:val="EndNoteBibliography"/>
        <w:spacing w:after="0"/>
        <w:ind w:left="720" w:hanging="720"/>
      </w:pPr>
      <w:r w:rsidRPr="00F61D64">
        <w:t xml:space="preserve">Department of Health. (2017). </w:t>
      </w:r>
      <w:r w:rsidRPr="00F61D64">
        <w:rPr>
          <w:i/>
        </w:rPr>
        <w:t>Australian and New Zealand Nutrient Reference Values for Sodium: Supporting Document 2 - Statistical Analyses</w:t>
      </w:r>
      <w:r w:rsidRPr="00F61D64">
        <w:t xml:space="preserve">.  Retrieved from </w:t>
      </w:r>
      <w:hyperlink r:id="rId86" w:history="1">
        <w:r w:rsidRPr="00F61D64">
          <w:rPr>
            <w:rStyle w:val="Hyperlink"/>
          </w:rPr>
          <w:t>https://www.eatforhealth.gov.au/sites/default/files/2022-10/2017_Sodium_SD2_-_Statistical_Analyses.pdf</w:t>
        </w:r>
      </w:hyperlink>
    </w:p>
    <w:p w14:paraId="276AD3A0" w14:textId="11753210" w:rsidR="00F61D64" w:rsidRPr="00F61D64" w:rsidRDefault="00F61D64" w:rsidP="00F61D64">
      <w:pPr>
        <w:pStyle w:val="EndNoteBibliography"/>
        <w:spacing w:after="0"/>
        <w:ind w:left="720" w:hanging="720"/>
      </w:pPr>
      <w:r w:rsidRPr="00F61D64">
        <w:t xml:space="preserve">Dewey, K. G., Finley, D. A., &amp; Lönnerdal, B. (1984). Breast milk volume and composition during late lactation (7-20 months). </w:t>
      </w:r>
      <w:r w:rsidRPr="00F61D64">
        <w:rPr>
          <w:i/>
        </w:rPr>
        <w:t>J Pediatr Gastroenterol Nutr</w:t>
      </w:r>
      <w:r w:rsidRPr="00F61D64">
        <w:t>,</w:t>
      </w:r>
      <w:r w:rsidRPr="00F61D64">
        <w:rPr>
          <w:i/>
        </w:rPr>
        <w:t xml:space="preserve"> 3</w:t>
      </w:r>
      <w:r w:rsidRPr="00F61D64">
        <w:t xml:space="preserve">(5), 713-720. </w:t>
      </w:r>
      <w:hyperlink r:id="rId87" w:history="1">
        <w:r w:rsidRPr="00F61D64">
          <w:rPr>
            <w:rStyle w:val="Hyperlink"/>
          </w:rPr>
          <w:t>https://doi.org/10.1097/00005176-198411000-00014</w:t>
        </w:r>
      </w:hyperlink>
      <w:r w:rsidRPr="00F61D64">
        <w:t xml:space="preserve"> </w:t>
      </w:r>
    </w:p>
    <w:p w14:paraId="5C0B32AD" w14:textId="0C35FCDC" w:rsidR="00F61D64" w:rsidRPr="00F61D64" w:rsidRDefault="00F61D64" w:rsidP="00F61D64">
      <w:pPr>
        <w:pStyle w:val="EndNoteBibliography"/>
        <w:spacing w:after="0"/>
        <w:ind w:left="720" w:hanging="720"/>
      </w:pPr>
      <w:r w:rsidRPr="00F61D64">
        <w:t xml:space="preserve">Dewey, K. G., &amp; Lönnerdal, B. (1983). Milk and nutrient intake of breast-fed infants from 1 to 6 months: relation to growth and fatness. </w:t>
      </w:r>
      <w:r w:rsidRPr="00F61D64">
        <w:rPr>
          <w:i/>
        </w:rPr>
        <w:t>J Pediatr Gastroenterol Nutr</w:t>
      </w:r>
      <w:r w:rsidRPr="00F61D64">
        <w:t>,</w:t>
      </w:r>
      <w:r w:rsidRPr="00F61D64">
        <w:rPr>
          <w:i/>
        </w:rPr>
        <w:t xml:space="preserve"> 2</w:t>
      </w:r>
      <w:r w:rsidRPr="00F61D64">
        <w:t xml:space="preserve">(3), 497-506. </w:t>
      </w:r>
      <w:hyperlink r:id="rId88" w:history="1">
        <w:r w:rsidRPr="00F61D64">
          <w:rPr>
            <w:rStyle w:val="Hyperlink"/>
          </w:rPr>
          <w:t>https://doi.org/10.1097/00005176-198302030-00018</w:t>
        </w:r>
      </w:hyperlink>
      <w:r w:rsidRPr="00F61D64">
        <w:t xml:space="preserve"> </w:t>
      </w:r>
    </w:p>
    <w:p w14:paraId="208AA466" w14:textId="3FC7B784" w:rsidR="00F61D64" w:rsidRPr="00F61D64" w:rsidRDefault="00F61D64" w:rsidP="00F61D64">
      <w:pPr>
        <w:pStyle w:val="EndNoteBibliography"/>
        <w:spacing w:after="0"/>
        <w:ind w:left="720" w:hanging="720"/>
      </w:pPr>
      <w:r w:rsidRPr="00F61D64">
        <w:t xml:space="preserve">Earle, N. J., Poppe, K. K., Doughty, R. N., Rolleston, A., Kerr, A. J., &amp; Legget, M. E. (2018). Clinical Characteristics and Burden of Risk Factors Among Patients With Early Onset Acute Coronary Syndromes: The ANZACS-QI New Zealand National Cohort (ANZACS-QI 17). </w:t>
      </w:r>
      <w:r w:rsidRPr="00F61D64">
        <w:rPr>
          <w:i/>
        </w:rPr>
        <w:t>Heart Lung Circ</w:t>
      </w:r>
      <w:r w:rsidRPr="00F61D64">
        <w:t>,</w:t>
      </w:r>
      <w:r w:rsidRPr="00F61D64">
        <w:rPr>
          <w:i/>
        </w:rPr>
        <w:t xml:space="preserve"> 27</w:t>
      </w:r>
      <w:r w:rsidRPr="00F61D64">
        <w:t xml:space="preserve">(5), 568-575. </w:t>
      </w:r>
      <w:hyperlink r:id="rId89" w:history="1">
        <w:r w:rsidRPr="00F61D64">
          <w:rPr>
            <w:rStyle w:val="Hyperlink"/>
          </w:rPr>
          <w:t>https://doi.org/10.1016/j.hlc.2017.04.010</w:t>
        </w:r>
      </w:hyperlink>
      <w:r w:rsidRPr="00F61D64">
        <w:t xml:space="preserve"> </w:t>
      </w:r>
    </w:p>
    <w:p w14:paraId="39026D43" w14:textId="47376B27" w:rsidR="00F61D64" w:rsidRPr="00F61D64" w:rsidRDefault="00F61D64" w:rsidP="00F61D64">
      <w:pPr>
        <w:pStyle w:val="EndNoteBibliography"/>
        <w:spacing w:after="0"/>
        <w:ind w:left="720" w:hanging="720"/>
      </w:pPr>
      <w:r w:rsidRPr="00F61D64">
        <w:t xml:space="preserve">Elijovich, F., Weinberger, M. H., Anderson, C. A., Appel, L. J., Bursztyn, M., Cook, N. R., Dart, R. A., Newton-Cheh, C. H., Sacks, F. M., &amp; Laffer, C. L. (2016). Salt Sensitivity of Blood Pressure: A Scientific Statement From the American Heart Association. </w:t>
      </w:r>
      <w:r w:rsidRPr="00F61D64">
        <w:rPr>
          <w:i/>
        </w:rPr>
        <w:t>Hypertension</w:t>
      </w:r>
      <w:r w:rsidRPr="00F61D64">
        <w:t>,</w:t>
      </w:r>
      <w:r w:rsidRPr="00F61D64">
        <w:rPr>
          <w:i/>
        </w:rPr>
        <w:t xml:space="preserve"> 68</w:t>
      </w:r>
      <w:r w:rsidRPr="00F61D64">
        <w:t xml:space="preserve">(3), e7-e46. </w:t>
      </w:r>
      <w:hyperlink r:id="rId90" w:history="1">
        <w:r w:rsidRPr="00F61D64">
          <w:rPr>
            <w:rStyle w:val="Hyperlink"/>
          </w:rPr>
          <w:t>https://doi.org/10.1161/hyp.0000000000000047</w:t>
        </w:r>
      </w:hyperlink>
      <w:r w:rsidRPr="00F61D64">
        <w:t xml:space="preserve"> </w:t>
      </w:r>
    </w:p>
    <w:p w14:paraId="14704757" w14:textId="34C45FE0" w:rsidR="00F61D64" w:rsidRPr="00F61D64" w:rsidRDefault="00F61D64" w:rsidP="00F61D64">
      <w:pPr>
        <w:pStyle w:val="EndNoteBibliography"/>
        <w:spacing w:after="0"/>
        <w:ind w:left="720" w:hanging="720"/>
      </w:pPr>
      <w:r w:rsidRPr="00F61D64">
        <w:t xml:space="preserve">Ereman, R. R., Lönnerdal, B., &amp; Dewey, K. G. (1987). Maternal sodium intake does not affect postprandial sodium concentrations in human milk. </w:t>
      </w:r>
      <w:r w:rsidRPr="00F61D64">
        <w:rPr>
          <w:i/>
        </w:rPr>
        <w:t>J Nutr</w:t>
      </w:r>
      <w:r w:rsidRPr="00F61D64">
        <w:t>,</w:t>
      </w:r>
      <w:r w:rsidRPr="00F61D64">
        <w:rPr>
          <w:i/>
        </w:rPr>
        <w:t xml:space="preserve"> 117</w:t>
      </w:r>
      <w:r w:rsidRPr="00F61D64">
        <w:t xml:space="preserve">(6), 1154-1157. </w:t>
      </w:r>
      <w:hyperlink r:id="rId91" w:history="1">
        <w:r w:rsidRPr="00F61D64">
          <w:rPr>
            <w:rStyle w:val="Hyperlink"/>
          </w:rPr>
          <w:t>https://doi.org/10.1093/jn/117.6.1154</w:t>
        </w:r>
      </w:hyperlink>
      <w:r w:rsidRPr="00F61D64">
        <w:t xml:space="preserve"> </w:t>
      </w:r>
    </w:p>
    <w:p w14:paraId="63953207" w14:textId="4E73F408" w:rsidR="00F61D64" w:rsidRPr="00F61D64" w:rsidRDefault="00F61D64" w:rsidP="00F61D64">
      <w:pPr>
        <w:pStyle w:val="EndNoteBibliography"/>
        <w:spacing w:after="0"/>
        <w:ind w:left="720" w:hanging="720"/>
      </w:pPr>
      <w:r w:rsidRPr="00F61D64">
        <w:t xml:space="preserve">European Food Safety Authority. (2019). Dietary Reference Values for Sodium. </w:t>
      </w:r>
      <w:r w:rsidRPr="00F61D64">
        <w:rPr>
          <w:i/>
        </w:rPr>
        <w:t>EFSA Journal</w:t>
      </w:r>
      <w:r w:rsidRPr="00F61D64">
        <w:t>,</w:t>
      </w:r>
      <w:r w:rsidRPr="00F61D64">
        <w:rPr>
          <w:i/>
        </w:rPr>
        <w:t xml:space="preserve"> 17</w:t>
      </w:r>
      <w:r w:rsidRPr="00F61D64">
        <w:t xml:space="preserve">(9), :e05778. </w:t>
      </w:r>
      <w:hyperlink r:id="rId92" w:history="1">
        <w:r w:rsidRPr="00F61D64">
          <w:rPr>
            <w:rStyle w:val="Hyperlink"/>
          </w:rPr>
          <w:t>https://doi.org/https://doi.org/10.2903/j.efsa.2019.5778</w:t>
        </w:r>
      </w:hyperlink>
      <w:r w:rsidRPr="00F61D64">
        <w:t xml:space="preserve"> </w:t>
      </w:r>
    </w:p>
    <w:p w14:paraId="7609B14A" w14:textId="31303D16" w:rsidR="00F61D64" w:rsidRPr="00F61D64" w:rsidRDefault="00F61D64" w:rsidP="00F61D64">
      <w:pPr>
        <w:pStyle w:val="EndNoteBibliography"/>
        <w:spacing w:after="0"/>
        <w:ind w:left="720" w:hanging="720"/>
      </w:pPr>
      <w:r w:rsidRPr="00F61D64">
        <w:t xml:space="preserve">Eyles, H., Grey, J., Jiang, Y., Umali, E., McLean, R., Te Morenga, L., Neal, B., Rodgers, A., Doughty, R. N., &amp; Ni Mhurchu, C. (2023). Effectiveness of a Sodium-Reduction Smartphone App and Reduced-Sodium Salt to Lower Sodium Intake in Adults With Hypertension: Findings From the Salt Alternatives Randomized Controlled Trial [Original Paper]. </w:t>
      </w:r>
      <w:r w:rsidRPr="00F61D64">
        <w:rPr>
          <w:i/>
        </w:rPr>
        <w:t>JMIR Mhealth Uhealth</w:t>
      </w:r>
      <w:r w:rsidRPr="00F61D64">
        <w:t>,</w:t>
      </w:r>
      <w:r w:rsidRPr="00F61D64">
        <w:rPr>
          <w:i/>
        </w:rPr>
        <w:t xml:space="preserve"> 11</w:t>
      </w:r>
      <w:r w:rsidRPr="00F61D64">
        <w:t xml:space="preserve">, e43675. </w:t>
      </w:r>
      <w:hyperlink r:id="rId93" w:history="1">
        <w:r w:rsidRPr="00F61D64">
          <w:rPr>
            <w:rStyle w:val="Hyperlink"/>
          </w:rPr>
          <w:t>https://doi.org/10.2196/43675</w:t>
        </w:r>
      </w:hyperlink>
      <w:r w:rsidRPr="00F61D64">
        <w:t xml:space="preserve"> </w:t>
      </w:r>
    </w:p>
    <w:p w14:paraId="538BC9E4" w14:textId="3002BEE9" w:rsidR="00F61D64" w:rsidRPr="00F61D64" w:rsidRDefault="00F61D64" w:rsidP="00F61D64">
      <w:pPr>
        <w:pStyle w:val="EndNoteBibliography"/>
        <w:spacing w:after="0"/>
        <w:ind w:left="720" w:hanging="720"/>
      </w:pPr>
      <w:r w:rsidRPr="00F61D64">
        <w:t xml:space="preserve">Eyles, H., Rapson, J., Fuavao, K., Jiang, Y., Kira, G., Wall, C., Skeaff, S., Grimes, C., &amp; McLean, R. M. (2025). Sodium, potassium and iodine excretion and blood pressure of New Zealand school children: a cross-sectional study and comparison with recommended guidelines. </w:t>
      </w:r>
      <w:r w:rsidRPr="00F61D64">
        <w:rPr>
          <w:i/>
        </w:rPr>
        <w:t>BMJ Nutr Prev Health</w:t>
      </w:r>
      <w:r w:rsidRPr="00F61D64">
        <w:t>,</w:t>
      </w:r>
      <w:r w:rsidRPr="00F61D64">
        <w:rPr>
          <w:i/>
        </w:rPr>
        <w:t xml:space="preserve"> 8</w:t>
      </w:r>
      <w:r w:rsidRPr="00F61D64">
        <w:t xml:space="preserve">(2), e001255. </w:t>
      </w:r>
      <w:hyperlink r:id="rId94" w:history="1">
        <w:r w:rsidRPr="00F61D64">
          <w:rPr>
            <w:rStyle w:val="Hyperlink"/>
          </w:rPr>
          <w:t>https://doi.org/10.1136/bmjnph-2025-001255</w:t>
        </w:r>
      </w:hyperlink>
      <w:r w:rsidRPr="00F61D64">
        <w:t xml:space="preserve"> </w:t>
      </w:r>
    </w:p>
    <w:p w14:paraId="281B1F8F" w14:textId="5A2E292C" w:rsidR="00F61D64" w:rsidRPr="00F61D64" w:rsidRDefault="00F61D64" w:rsidP="00F61D64">
      <w:pPr>
        <w:pStyle w:val="EndNoteBibliography"/>
        <w:spacing w:after="0"/>
        <w:ind w:left="720" w:hanging="720"/>
      </w:pPr>
      <w:r w:rsidRPr="00F61D64">
        <w:t xml:space="preserve">Eyles, H. C., &amp; Cleghorn, C. L. (2022). Dietary sources of sodium across the diverse New Zealand adult population. </w:t>
      </w:r>
      <w:r w:rsidRPr="00F61D64">
        <w:rPr>
          <w:i/>
        </w:rPr>
        <w:t>Prev Med Rep</w:t>
      </w:r>
      <w:r w:rsidRPr="00F61D64">
        <w:t>,</w:t>
      </w:r>
      <w:r w:rsidRPr="00F61D64">
        <w:rPr>
          <w:i/>
        </w:rPr>
        <w:t xml:space="preserve"> 29</w:t>
      </w:r>
      <w:r w:rsidRPr="00F61D64">
        <w:t xml:space="preserve">, 101927. </w:t>
      </w:r>
      <w:hyperlink r:id="rId95" w:history="1">
        <w:r w:rsidRPr="00F61D64">
          <w:rPr>
            <w:rStyle w:val="Hyperlink"/>
          </w:rPr>
          <w:t>https://doi.org/10.1016/j.pmedr.2022.101927</w:t>
        </w:r>
      </w:hyperlink>
      <w:r w:rsidRPr="00F61D64">
        <w:t xml:space="preserve"> </w:t>
      </w:r>
    </w:p>
    <w:p w14:paraId="2CED8BE2" w14:textId="2EB6E641" w:rsidR="00F61D64" w:rsidRPr="00F61D64" w:rsidRDefault="00F61D64" w:rsidP="00F61D64">
      <w:pPr>
        <w:pStyle w:val="EndNoteBibliography"/>
        <w:spacing w:after="0"/>
        <w:ind w:left="720" w:hanging="720"/>
      </w:pPr>
      <w:r w:rsidRPr="00F61D64">
        <w:lastRenderedPageBreak/>
        <w:t xml:space="preserve">Eyles, H. C., &amp; Cleghorn, C. L. (2022). Dietary sources of sodium across the diverse New Zealand adult population. </w:t>
      </w:r>
      <w:r w:rsidRPr="00F61D64">
        <w:rPr>
          <w:i/>
        </w:rPr>
        <w:t>Preventive Medicine Reports</w:t>
      </w:r>
      <w:r w:rsidRPr="00F61D64">
        <w:t>,</w:t>
      </w:r>
      <w:r w:rsidRPr="00F61D64">
        <w:rPr>
          <w:i/>
        </w:rPr>
        <w:t xml:space="preserve"> 29</w:t>
      </w:r>
      <w:r w:rsidRPr="00F61D64">
        <w:t xml:space="preserve">, 101927. </w:t>
      </w:r>
      <w:hyperlink r:id="rId96" w:history="1">
        <w:r w:rsidRPr="00F61D64">
          <w:rPr>
            <w:rStyle w:val="Hyperlink"/>
          </w:rPr>
          <w:t>https://doi.org/https://doi.org/10.1016/j.pmedr.2022.101927</w:t>
        </w:r>
      </w:hyperlink>
      <w:r w:rsidRPr="00F61D64">
        <w:t xml:space="preserve"> </w:t>
      </w:r>
    </w:p>
    <w:p w14:paraId="51684399" w14:textId="3443C7BF" w:rsidR="00F61D64" w:rsidRPr="00F61D64" w:rsidRDefault="00F61D64" w:rsidP="00F61D64">
      <w:pPr>
        <w:pStyle w:val="EndNoteBibliography"/>
        <w:spacing w:after="0"/>
        <w:ind w:left="720" w:hanging="720"/>
      </w:pPr>
      <w:r w:rsidRPr="00F61D64">
        <w:t xml:space="preserve">Filippi, J. P. D., Kaanders, H., &amp; Hoftnan, A. (1981). SODIUM IN DIET AND MILK OF BREASTFEEDING WOMEN. </w:t>
      </w:r>
      <w:r w:rsidRPr="00F61D64">
        <w:rPr>
          <w:i/>
        </w:rPr>
        <w:t>Acta Paediatrica</w:t>
      </w:r>
      <w:r w:rsidRPr="00F61D64">
        <w:t>,</w:t>
      </w:r>
      <w:r w:rsidRPr="00F61D64">
        <w:rPr>
          <w:i/>
        </w:rPr>
        <w:t xml:space="preserve"> 70</w:t>
      </w:r>
      <w:r w:rsidRPr="00F61D64">
        <w:t xml:space="preserve">(3), 417-418. </w:t>
      </w:r>
      <w:hyperlink r:id="rId97" w:history="1">
        <w:r w:rsidRPr="00F61D64">
          <w:rPr>
            <w:rStyle w:val="Hyperlink"/>
          </w:rPr>
          <w:t>https://doi.org/https://doi.org/10.1111/j.1651-2227.1981.tb16576.x</w:t>
        </w:r>
      </w:hyperlink>
      <w:r w:rsidRPr="00F61D64">
        <w:t xml:space="preserve"> </w:t>
      </w:r>
    </w:p>
    <w:p w14:paraId="0E0D6F33" w14:textId="2A767CE9" w:rsidR="00F61D64" w:rsidRPr="00F61D64" w:rsidRDefault="00F61D64" w:rsidP="00F61D64">
      <w:pPr>
        <w:pStyle w:val="EndNoteBibliography"/>
        <w:spacing w:after="0"/>
        <w:ind w:left="720" w:hanging="720"/>
      </w:pPr>
      <w:r w:rsidRPr="00F61D64">
        <w:t xml:space="preserve">Filippini, T., Malavolti, M., Whelton, P. K., Naska, A., Orsini, N., &amp; Vinceti, M. (2021a). Blood Pressure Effects of Sodium Reduction: Dose-Response Meta-Analysis of Experimental Studies. </w:t>
      </w:r>
      <w:r w:rsidRPr="00F61D64">
        <w:rPr>
          <w:i/>
        </w:rPr>
        <w:t>Circulation</w:t>
      </w:r>
      <w:r w:rsidRPr="00F61D64">
        <w:t>,</w:t>
      </w:r>
      <w:r w:rsidRPr="00F61D64">
        <w:rPr>
          <w:i/>
        </w:rPr>
        <w:t xml:space="preserve"> 143</w:t>
      </w:r>
      <w:r w:rsidRPr="00F61D64">
        <w:t xml:space="preserve">(16), 1542-1567. </w:t>
      </w:r>
      <w:hyperlink r:id="rId98" w:history="1">
        <w:r w:rsidRPr="00F61D64">
          <w:rPr>
            <w:rStyle w:val="Hyperlink"/>
          </w:rPr>
          <w:t>https://doi.org/10.1161/circulationaha.120.050371</w:t>
        </w:r>
      </w:hyperlink>
      <w:r w:rsidRPr="00F61D64">
        <w:t xml:space="preserve"> </w:t>
      </w:r>
    </w:p>
    <w:p w14:paraId="0B3C5247" w14:textId="58766AAF" w:rsidR="00F61D64" w:rsidRPr="00F61D64" w:rsidRDefault="00F61D64" w:rsidP="00F61D64">
      <w:pPr>
        <w:pStyle w:val="EndNoteBibliography"/>
        <w:spacing w:after="0"/>
        <w:ind w:left="720" w:hanging="720"/>
      </w:pPr>
      <w:r w:rsidRPr="00F61D64">
        <w:t xml:space="preserve">Filippini, T., Malavolti, M., Whelton, P. K., Naska, A., Orsini, N., &amp; Vinceti, M. (2021b). Blood Pressure Effects of Sodium Reduction:Dose-Response Meta-Analysis of Experimental Studies. </w:t>
      </w:r>
      <w:r w:rsidRPr="00F61D64">
        <w:rPr>
          <w:i/>
        </w:rPr>
        <w:t>Circulation</w:t>
      </w:r>
      <w:r w:rsidRPr="00F61D64">
        <w:t>,</w:t>
      </w:r>
      <w:r w:rsidRPr="00F61D64">
        <w:rPr>
          <w:i/>
        </w:rPr>
        <w:t xml:space="preserve"> 143</w:t>
      </w:r>
      <w:r w:rsidRPr="00F61D64">
        <w:t xml:space="preserve">(16), 1542-1567. </w:t>
      </w:r>
      <w:hyperlink r:id="rId99" w:history="1">
        <w:r w:rsidRPr="00F61D64">
          <w:rPr>
            <w:rStyle w:val="Hyperlink"/>
          </w:rPr>
          <w:t>https://doi.org/doi:10.1161/CIRCULATIONAHA.120.050371</w:t>
        </w:r>
      </w:hyperlink>
      <w:r w:rsidRPr="00F61D64">
        <w:t xml:space="preserve"> </w:t>
      </w:r>
    </w:p>
    <w:p w14:paraId="5D838F0E" w14:textId="65960639" w:rsidR="00F61D64" w:rsidRPr="00F61D64" w:rsidRDefault="00F61D64" w:rsidP="00F61D64">
      <w:pPr>
        <w:pStyle w:val="EndNoteBibliography"/>
        <w:spacing w:after="0"/>
        <w:ind w:left="720" w:hanging="720"/>
      </w:pPr>
      <w:r w:rsidRPr="00F61D64">
        <w:t xml:space="preserve">Filippini, T., Malavolti, M., Whelton, P. K., &amp; Vinceti, M. (2022). Sodium Intake and Risk of Hypertension: A Systematic Review and Dose-Response Meta-analysis of Observational Cohort Studies. </w:t>
      </w:r>
      <w:r w:rsidRPr="00F61D64">
        <w:rPr>
          <w:i/>
        </w:rPr>
        <w:t>Curr Hypertens Rep</w:t>
      </w:r>
      <w:r w:rsidRPr="00F61D64">
        <w:t>,</w:t>
      </w:r>
      <w:r w:rsidRPr="00F61D64">
        <w:rPr>
          <w:i/>
        </w:rPr>
        <w:t xml:space="preserve"> 24</w:t>
      </w:r>
      <w:r w:rsidRPr="00F61D64">
        <w:t xml:space="preserve">(5), 133-144. </w:t>
      </w:r>
      <w:hyperlink r:id="rId100" w:history="1">
        <w:r w:rsidRPr="00F61D64">
          <w:rPr>
            <w:rStyle w:val="Hyperlink"/>
          </w:rPr>
          <w:t>https://doi.org/10.1007/s11906-022-01182-9</w:t>
        </w:r>
      </w:hyperlink>
      <w:r w:rsidRPr="00F61D64">
        <w:t xml:space="preserve"> </w:t>
      </w:r>
    </w:p>
    <w:p w14:paraId="42E04BCC" w14:textId="11538A17" w:rsidR="00F61D64" w:rsidRPr="00F61D64" w:rsidRDefault="00F61D64" w:rsidP="00F61D64">
      <w:pPr>
        <w:pStyle w:val="EndNoteBibliography"/>
        <w:spacing w:after="0"/>
        <w:ind w:left="720" w:hanging="720"/>
      </w:pPr>
      <w:r w:rsidRPr="00F61D64">
        <w:t xml:space="preserve">Food Standards Australia and New Zealand. (2023). </w:t>
      </w:r>
      <w:r w:rsidRPr="00F61D64">
        <w:rPr>
          <w:i/>
        </w:rPr>
        <w:t>Processed foods</w:t>
      </w:r>
      <w:r w:rsidRPr="00F61D64">
        <w:t xml:space="preserve">. FSANZ Retrieved from </w:t>
      </w:r>
      <w:hyperlink r:id="rId101" w:history="1">
        <w:r w:rsidRPr="00F61D64">
          <w:rPr>
            <w:rStyle w:val="Hyperlink"/>
          </w:rPr>
          <w:t>https://www.foodstandards.gov.au/consumer/our-safe-food-supply/processed-foods</w:t>
        </w:r>
      </w:hyperlink>
    </w:p>
    <w:p w14:paraId="255511D9" w14:textId="760208B8" w:rsidR="00F61D64" w:rsidRPr="00F61D64" w:rsidRDefault="00F61D64" w:rsidP="00F61D64">
      <w:pPr>
        <w:pStyle w:val="EndNoteBibliography"/>
        <w:spacing w:after="0"/>
        <w:ind w:left="720" w:hanging="720"/>
      </w:pPr>
      <w:r w:rsidRPr="00F61D64">
        <w:t xml:space="preserve">Food Standards Australia and New Zealand. (2026, 22/04/2026). </w:t>
      </w:r>
      <w:r w:rsidRPr="00F61D64">
        <w:rPr>
          <w:i/>
        </w:rPr>
        <w:t>Health Star Rating System</w:t>
      </w:r>
      <w:r w:rsidRPr="00F61D64">
        <w:t xml:space="preserve">. Retrieved 09/07/2026 from </w:t>
      </w:r>
      <w:hyperlink r:id="rId102" w:history="1">
        <w:r w:rsidRPr="00F61D64">
          <w:rPr>
            <w:rStyle w:val="Hyperlink"/>
          </w:rPr>
          <w:t>https://www.foodstandards.gov.au/consumer/labelling/Health-Star-Rating-System</w:t>
        </w:r>
      </w:hyperlink>
    </w:p>
    <w:p w14:paraId="6883FFBB" w14:textId="11F70520" w:rsidR="00F61D64" w:rsidRPr="00F61D64" w:rsidRDefault="00F61D64" w:rsidP="00F61D64">
      <w:pPr>
        <w:pStyle w:val="EndNoteBibliography"/>
        <w:spacing w:after="0"/>
        <w:ind w:left="720" w:hanging="720"/>
      </w:pPr>
      <w:r w:rsidRPr="00F61D64">
        <w:t xml:space="preserve">Food Standards Australia New Zealand, F. (2015, 26/11/2025). </w:t>
      </w:r>
      <w:r w:rsidRPr="00F61D64">
        <w:rPr>
          <w:i/>
        </w:rPr>
        <w:t>How much sodium do Australians eat?</w:t>
      </w:r>
      <w:r w:rsidRPr="00F61D64">
        <w:t xml:space="preserve"> FSANZ. Retrieved 31/03/2026 from </w:t>
      </w:r>
      <w:hyperlink r:id="rId103" w:history="1">
        <w:r w:rsidRPr="00F61D64">
          <w:rPr>
            <w:rStyle w:val="Hyperlink"/>
          </w:rPr>
          <w:t>https://www.foodstandards.gov.au/consumer/nutrition/sodium-salt/salthowmuch</w:t>
        </w:r>
      </w:hyperlink>
    </w:p>
    <w:p w14:paraId="06C88BA8" w14:textId="63B52AAB" w:rsidR="00F61D64" w:rsidRPr="00F61D64" w:rsidRDefault="00F61D64" w:rsidP="00F61D64">
      <w:pPr>
        <w:pStyle w:val="EndNoteBibliography"/>
        <w:spacing w:after="0"/>
        <w:ind w:left="720" w:hanging="720"/>
      </w:pPr>
      <w:r w:rsidRPr="00F61D64">
        <w:t xml:space="preserve">Food Standards Australia New Zealand, F. (2019, 26/11/2025). </w:t>
      </w:r>
      <w:r w:rsidRPr="00F61D64">
        <w:rPr>
          <w:i/>
        </w:rPr>
        <w:t>How much sodium is in Australian foods?</w:t>
      </w:r>
      <w:r w:rsidRPr="00F61D64">
        <w:t xml:space="preserve"> FSANZ. Retrieved 31/03/2026 from </w:t>
      </w:r>
      <w:hyperlink r:id="rId104" w:history="1">
        <w:r w:rsidRPr="00F61D64">
          <w:rPr>
            <w:rStyle w:val="Hyperlink"/>
          </w:rPr>
          <w:t>https://www.foodstandards.gov.au/consumer/nutrition/sodium-salt/sodiumhowmuch</w:t>
        </w:r>
      </w:hyperlink>
    </w:p>
    <w:p w14:paraId="05CC82C7" w14:textId="26AD5D57" w:rsidR="00F61D64" w:rsidRPr="00F61D64" w:rsidRDefault="00F61D64" w:rsidP="00F61D64">
      <w:pPr>
        <w:pStyle w:val="EndNoteBibliography"/>
        <w:spacing w:after="0"/>
        <w:ind w:left="720" w:hanging="720"/>
      </w:pPr>
      <w:r w:rsidRPr="00F61D64">
        <w:t xml:space="preserve">Fuavao, K., Mhurchu, C. N., Swinburn, B., Nosa, V., de Castro, T. G., &amp; Eyles, H. (2023). The Major Packaged Food Sources of Sodium for New Zealand Children and Trends in the Sodium Content of Commonly Consumed Foods. </w:t>
      </w:r>
      <w:r w:rsidRPr="00F61D64">
        <w:rPr>
          <w:i/>
        </w:rPr>
        <w:t>Medical Sciences Forum</w:t>
      </w:r>
      <w:r w:rsidRPr="00F61D64">
        <w:t>,</w:t>
      </w:r>
      <w:r w:rsidRPr="00F61D64">
        <w:rPr>
          <w:i/>
        </w:rPr>
        <w:t xml:space="preserve"> 18</w:t>
      </w:r>
      <w:r w:rsidRPr="00F61D64">
        <w:t xml:space="preserve">(1), 24. </w:t>
      </w:r>
      <w:hyperlink r:id="rId105" w:history="1">
        <w:r w:rsidRPr="00F61D64">
          <w:rPr>
            <w:rStyle w:val="Hyperlink"/>
          </w:rPr>
          <w:t>https://www.mdpi.com/2673-9992/18/1/24</w:t>
        </w:r>
      </w:hyperlink>
      <w:r w:rsidRPr="00F61D64">
        <w:t xml:space="preserve"> </w:t>
      </w:r>
    </w:p>
    <w:p w14:paraId="50C9FB88" w14:textId="365C7479" w:rsidR="00F61D64" w:rsidRPr="00F61D64" w:rsidRDefault="00F61D64" w:rsidP="00F61D64">
      <w:pPr>
        <w:pStyle w:val="EndNoteBibliography"/>
        <w:spacing w:after="0"/>
        <w:ind w:left="720" w:hanging="720"/>
      </w:pPr>
      <w:r w:rsidRPr="00F61D64">
        <w:t xml:space="preserve">Garza, C., Johnson, C. A., Smith, E. O., &amp; Nichols, B. L. (1983). Changes in the nutrient composition of human milk during gradual weaning. </w:t>
      </w:r>
      <w:r w:rsidRPr="00F61D64">
        <w:rPr>
          <w:i/>
        </w:rPr>
        <w:t>Am J Clin Nutr</w:t>
      </w:r>
      <w:r w:rsidRPr="00F61D64">
        <w:t>,</w:t>
      </w:r>
      <w:r w:rsidRPr="00F61D64">
        <w:rPr>
          <w:i/>
        </w:rPr>
        <w:t xml:space="preserve"> 37</w:t>
      </w:r>
      <w:r w:rsidRPr="00F61D64">
        <w:t xml:space="preserve">(1), 61-65. </w:t>
      </w:r>
      <w:hyperlink r:id="rId106" w:history="1">
        <w:r w:rsidRPr="00F61D64">
          <w:rPr>
            <w:rStyle w:val="Hyperlink"/>
          </w:rPr>
          <w:t>https://doi.org/10.1093/ajcn/37.1.61</w:t>
        </w:r>
      </w:hyperlink>
      <w:r w:rsidRPr="00F61D64">
        <w:t xml:space="preserve"> </w:t>
      </w:r>
    </w:p>
    <w:p w14:paraId="2481B7FE" w14:textId="68563997" w:rsidR="00F61D64" w:rsidRPr="00F61D64" w:rsidRDefault="00F61D64" w:rsidP="00F61D64">
      <w:pPr>
        <w:pStyle w:val="EndNoteBibliography"/>
        <w:spacing w:after="0"/>
        <w:ind w:left="720" w:hanging="720"/>
      </w:pPr>
      <w:r w:rsidRPr="00F61D64">
        <w:t xml:space="preserve">Gomes, S., Mackay, S., Gerritsen, S., &amp; Eyles, H. (2024). The development of sodium reduction targets for New Zealand fast foods and a comparison with the current sodium contents of products. </w:t>
      </w:r>
      <w:r w:rsidRPr="00F61D64">
        <w:rPr>
          <w:i/>
        </w:rPr>
        <w:t>J Nutr Sci</w:t>
      </w:r>
      <w:r w:rsidRPr="00F61D64">
        <w:t>,</w:t>
      </w:r>
      <w:r w:rsidRPr="00F61D64">
        <w:rPr>
          <w:i/>
        </w:rPr>
        <w:t xml:space="preserve"> 13</w:t>
      </w:r>
      <w:r w:rsidRPr="00F61D64">
        <w:t xml:space="preserve">, e41. </w:t>
      </w:r>
      <w:hyperlink r:id="rId107" w:history="1">
        <w:r w:rsidRPr="00F61D64">
          <w:rPr>
            <w:rStyle w:val="Hyperlink"/>
          </w:rPr>
          <w:t>https://doi.org/10.1017/jns.2024.35</w:t>
        </w:r>
      </w:hyperlink>
      <w:r w:rsidRPr="00F61D64">
        <w:t xml:space="preserve"> </w:t>
      </w:r>
    </w:p>
    <w:p w14:paraId="32D04C14" w14:textId="5224BBA7" w:rsidR="00F61D64" w:rsidRPr="00F61D64" w:rsidRDefault="00F61D64" w:rsidP="00F61D64">
      <w:pPr>
        <w:pStyle w:val="EndNoteBibliography"/>
        <w:spacing w:after="0"/>
        <w:ind w:left="720" w:hanging="720"/>
      </w:pPr>
      <w:r w:rsidRPr="00F61D64">
        <w:t xml:space="preserve">Graudal, N. A., Hubeck-Graudal, T., &amp; Jurgens, G. (2020). Effects of low sodium diet versus high sodium diet on blood pressure, renin, aldosterone, catecholamines, cholesterol, and triglyceride. </w:t>
      </w:r>
      <w:r w:rsidRPr="00F61D64">
        <w:rPr>
          <w:i/>
        </w:rPr>
        <w:t>Cochrane Database Syst Rev</w:t>
      </w:r>
      <w:r w:rsidRPr="00F61D64">
        <w:t>,</w:t>
      </w:r>
      <w:r w:rsidRPr="00F61D64">
        <w:rPr>
          <w:i/>
        </w:rPr>
        <w:t xml:space="preserve"> 12</w:t>
      </w:r>
      <w:r w:rsidRPr="00F61D64">
        <w:t xml:space="preserve">(12), Cd004022. </w:t>
      </w:r>
      <w:hyperlink r:id="rId108" w:history="1">
        <w:r w:rsidRPr="00F61D64">
          <w:rPr>
            <w:rStyle w:val="Hyperlink"/>
          </w:rPr>
          <w:t>https://doi.org/10.1002/14651858.CD004022.pub5</w:t>
        </w:r>
      </w:hyperlink>
      <w:r w:rsidRPr="00F61D64">
        <w:t xml:space="preserve"> </w:t>
      </w:r>
    </w:p>
    <w:p w14:paraId="202C8693" w14:textId="298BC6DB" w:rsidR="00F61D64" w:rsidRPr="00F61D64" w:rsidRDefault="00F61D64" w:rsidP="00F61D64">
      <w:pPr>
        <w:pStyle w:val="EndNoteBibliography"/>
        <w:spacing w:after="0"/>
        <w:ind w:left="720" w:hanging="720"/>
      </w:pPr>
      <w:r w:rsidRPr="00F61D64">
        <w:t xml:space="preserve">Grimes, C. A., Bolton, K. A., Trieu, K., Reimers, J., Armstrong, S., Bolam, B., Beckford, K., Santos, J. A., Rosewarne, E., Dunford, E. K., Jan, S., Webster, J., Neal, B., Nowson, C., &amp; Woodward, M. (2023). Evaluation of a state-wide intervention on salt intake in primary schoolchildren living in Victoria, Australia. </w:t>
      </w:r>
      <w:r w:rsidRPr="00F61D64">
        <w:rPr>
          <w:i/>
        </w:rPr>
        <w:t>Public Health Nutr</w:t>
      </w:r>
      <w:r w:rsidRPr="00F61D64">
        <w:t>,</w:t>
      </w:r>
      <w:r w:rsidRPr="00F61D64">
        <w:rPr>
          <w:i/>
        </w:rPr>
        <w:t xml:space="preserve"> 26</w:t>
      </w:r>
      <w:r w:rsidRPr="00F61D64">
        <w:t xml:space="preserve">(7), 1456-1467. </w:t>
      </w:r>
      <w:hyperlink r:id="rId109" w:history="1">
        <w:r w:rsidRPr="00F61D64">
          <w:rPr>
            <w:rStyle w:val="Hyperlink"/>
          </w:rPr>
          <w:t>https://doi.org/10.1017/s1368980023000332</w:t>
        </w:r>
      </w:hyperlink>
      <w:r w:rsidRPr="00F61D64">
        <w:t xml:space="preserve"> </w:t>
      </w:r>
    </w:p>
    <w:p w14:paraId="1994D76F" w14:textId="4076E0CD" w:rsidR="00F61D64" w:rsidRPr="00F61D64" w:rsidRDefault="00F61D64" w:rsidP="00F61D64">
      <w:pPr>
        <w:pStyle w:val="EndNoteBibliography"/>
        <w:spacing w:after="0"/>
        <w:ind w:left="720" w:hanging="720"/>
      </w:pPr>
      <w:r w:rsidRPr="00F61D64">
        <w:t xml:space="preserve">Grimes, C. A., Campbell, K. J., Riddell, L. J., &amp; Nowson, C. A. (2013). Is socioeconomic status associated with dietary sodium intake in Australian children? A cross-sectional study. </w:t>
      </w:r>
      <w:r w:rsidRPr="00F61D64">
        <w:rPr>
          <w:i/>
        </w:rPr>
        <w:t>BMJ Open</w:t>
      </w:r>
      <w:r w:rsidRPr="00F61D64">
        <w:t>,</w:t>
      </w:r>
      <w:r w:rsidRPr="00F61D64">
        <w:rPr>
          <w:i/>
        </w:rPr>
        <w:t xml:space="preserve"> 3</w:t>
      </w:r>
      <w:r w:rsidRPr="00F61D64">
        <w:t xml:space="preserve">(2). </w:t>
      </w:r>
      <w:hyperlink r:id="rId110" w:history="1">
        <w:r w:rsidRPr="00F61D64">
          <w:rPr>
            <w:rStyle w:val="Hyperlink"/>
          </w:rPr>
          <w:t>https://doi.org/10.1136/bmjopen-2012-002106</w:t>
        </w:r>
      </w:hyperlink>
      <w:r w:rsidRPr="00F61D64">
        <w:t xml:space="preserve"> </w:t>
      </w:r>
    </w:p>
    <w:p w14:paraId="27FFBA40" w14:textId="2376EB38" w:rsidR="00F61D64" w:rsidRPr="00F61D64" w:rsidRDefault="00F61D64" w:rsidP="00F61D64">
      <w:pPr>
        <w:pStyle w:val="EndNoteBibliography"/>
        <w:spacing w:after="0"/>
        <w:ind w:left="720" w:hanging="720"/>
      </w:pPr>
      <w:r w:rsidRPr="00F61D64">
        <w:lastRenderedPageBreak/>
        <w:t xml:space="preserve">Grimes, C. A., Kelley, S. J., Stanley, S., Bolam, B., Webster, J., Khokhar, D., &amp; Nowson, C. A. (2017). Knowledge, attitudes and behaviours related to dietary salt among adults in the state of Victoria, Australia 2015. </w:t>
      </w:r>
      <w:r w:rsidRPr="00F61D64">
        <w:rPr>
          <w:i/>
        </w:rPr>
        <w:t>BMC Public Health</w:t>
      </w:r>
      <w:r w:rsidRPr="00F61D64">
        <w:t>,</w:t>
      </w:r>
      <w:r w:rsidRPr="00F61D64">
        <w:rPr>
          <w:i/>
        </w:rPr>
        <w:t xml:space="preserve"> 17</w:t>
      </w:r>
      <w:r w:rsidRPr="00F61D64">
        <w:t xml:space="preserve">(1), 532. </w:t>
      </w:r>
      <w:hyperlink r:id="rId111" w:history="1">
        <w:r w:rsidRPr="00F61D64">
          <w:rPr>
            <w:rStyle w:val="Hyperlink"/>
          </w:rPr>
          <w:t>https://doi.org/10.1186/s12889-017-4451-0</w:t>
        </w:r>
      </w:hyperlink>
      <w:r w:rsidRPr="00F61D64">
        <w:t xml:space="preserve"> </w:t>
      </w:r>
    </w:p>
    <w:p w14:paraId="649E4A4B" w14:textId="60291471" w:rsidR="00F61D64" w:rsidRPr="00F61D64" w:rsidRDefault="00F61D64" w:rsidP="00F61D64">
      <w:pPr>
        <w:pStyle w:val="EndNoteBibliography"/>
        <w:spacing w:after="0"/>
        <w:ind w:left="720" w:hanging="720"/>
      </w:pPr>
      <w:r w:rsidRPr="00F61D64">
        <w:t xml:space="preserve">Grimes, C. A., Lim, K., Clark, L., Woodward, M., Szymlek-Gay, E. A., Zheng, M., Nowson, C. A., &amp; Bolton, K. A. (2026). Sodium, potassium and blood pressure in Australian schoolchildren: exploring differences by sex and weight status-a cross-sectional study. </w:t>
      </w:r>
      <w:r w:rsidRPr="00F61D64">
        <w:rPr>
          <w:i/>
        </w:rPr>
        <w:t>Hypertens Res</w:t>
      </w:r>
      <w:r w:rsidRPr="00F61D64">
        <w:t>,</w:t>
      </w:r>
      <w:r w:rsidRPr="00F61D64">
        <w:rPr>
          <w:i/>
        </w:rPr>
        <w:t xml:space="preserve"> 49</w:t>
      </w:r>
      <w:r w:rsidRPr="00F61D64">
        <w:t xml:space="preserve">(3), 938-948. </w:t>
      </w:r>
      <w:hyperlink r:id="rId112" w:history="1">
        <w:r w:rsidRPr="00F61D64">
          <w:rPr>
            <w:rStyle w:val="Hyperlink"/>
          </w:rPr>
          <w:t>https://doi.org/10.1038/s41440-025-02489-1</w:t>
        </w:r>
      </w:hyperlink>
      <w:r w:rsidRPr="00F61D64">
        <w:t xml:space="preserve"> </w:t>
      </w:r>
    </w:p>
    <w:p w14:paraId="30EF2672" w14:textId="4E364167" w:rsidR="00F61D64" w:rsidRPr="00F61D64" w:rsidRDefault="00F61D64" w:rsidP="00F61D64">
      <w:pPr>
        <w:pStyle w:val="EndNoteBibliography"/>
        <w:spacing w:after="0"/>
        <w:ind w:left="720" w:hanging="720"/>
      </w:pPr>
      <w:r w:rsidRPr="00F61D64">
        <w:t xml:space="preserve">Grimes, C. A., Riddell, L. J., Campbell, K. J., Beckford, K., Baxter, J. R., He, F. J., &amp; Nowson, C. A. (2017). Dietary intake and sources of sodium and potassium among Australian schoolchildren: results from the cross-sectional Salt and Other Nutrients in Children (SONIC) study. </w:t>
      </w:r>
      <w:r w:rsidRPr="00F61D64">
        <w:rPr>
          <w:i/>
        </w:rPr>
        <w:t>BMJ Open</w:t>
      </w:r>
      <w:r w:rsidRPr="00F61D64">
        <w:t>,</w:t>
      </w:r>
      <w:r w:rsidRPr="00F61D64">
        <w:rPr>
          <w:i/>
        </w:rPr>
        <w:t xml:space="preserve"> 7</w:t>
      </w:r>
      <w:r w:rsidRPr="00F61D64">
        <w:t xml:space="preserve">(10), e016639. </w:t>
      </w:r>
      <w:hyperlink r:id="rId113" w:history="1">
        <w:r w:rsidRPr="00F61D64">
          <w:rPr>
            <w:rStyle w:val="Hyperlink"/>
          </w:rPr>
          <w:t>https://doi.org/10.1136/bmjopen-2017-016639</w:t>
        </w:r>
      </w:hyperlink>
      <w:r w:rsidRPr="00F61D64">
        <w:t xml:space="preserve"> </w:t>
      </w:r>
    </w:p>
    <w:p w14:paraId="7553F359" w14:textId="6219F0DC" w:rsidR="00F61D64" w:rsidRPr="00F61D64" w:rsidRDefault="00F61D64" w:rsidP="00F61D64">
      <w:pPr>
        <w:pStyle w:val="EndNoteBibliography"/>
        <w:spacing w:after="0"/>
        <w:ind w:left="720" w:hanging="720"/>
      </w:pPr>
      <w:r w:rsidRPr="00F61D64">
        <w:t xml:space="preserve">Gross, S. J., David, R. J., Bauman, L., &amp; Tomarelli, R. M. (1980). Nutritional composition of milk produced by mothers delivering preterm. </w:t>
      </w:r>
      <w:r w:rsidRPr="00F61D64">
        <w:rPr>
          <w:i/>
        </w:rPr>
        <w:t>J Pediatr</w:t>
      </w:r>
      <w:r w:rsidRPr="00F61D64">
        <w:t>,</w:t>
      </w:r>
      <w:r w:rsidRPr="00F61D64">
        <w:rPr>
          <w:i/>
        </w:rPr>
        <w:t xml:space="preserve"> 96</w:t>
      </w:r>
      <w:r w:rsidRPr="00F61D64">
        <w:t xml:space="preserve">(4), 641-644. </w:t>
      </w:r>
      <w:hyperlink r:id="rId114" w:history="1">
        <w:r w:rsidRPr="00F61D64">
          <w:rPr>
            <w:rStyle w:val="Hyperlink"/>
          </w:rPr>
          <w:t>https://doi.org/10.1016/s0022-3476(80)80729-3</w:t>
        </w:r>
      </w:hyperlink>
      <w:r w:rsidRPr="00F61D64">
        <w:t xml:space="preserve"> </w:t>
      </w:r>
    </w:p>
    <w:p w14:paraId="5F269491" w14:textId="28D39509" w:rsidR="00F61D64" w:rsidRPr="00F61D64" w:rsidRDefault="00F61D64" w:rsidP="00F61D64">
      <w:pPr>
        <w:pStyle w:val="EndNoteBibliography"/>
        <w:spacing w:after="0"/>
        <w:ind w:left="720" w:hanging="720"/>
      </w:pPr>
      <w:r w:rsidRPr="00F61D64">
        <w:t xml:space="preserve">He, F. J., &amp; MacGregor, G. A. (2010). Reducing population salt intake worldwide: from evidence to implementation. </w:t>
      </w:r>
      <w:r w:rsidRPr="00F61D64">
        <w:rPr>
          <w:i/>
        </w:rPr>
        <w:t>Prog Cardiovasc Dis</w:t>
      </w:r>
      <w:r w:rsidRPr="00F61D64">
        <w:t>,</w:t>
      </w:r>
      <w:r w:rsidRPr="00F61D64">
        <w:rPr>
          <w:i/>
        </w:rPr>
        <w:t xml:space="preserve"> 52</w:t>
      </w:r>
      <w:r w:rsidRPr="00F61D64">
        <w:t xml:space="preserve">(5), 363-382. </w:t>
      </w:r>
      <w:hyperlink r:id="rId115" w:history="1">
        <w:r w:rsidRPr="00F61D64">
          <w:rPr>
            <w:rStyle w:val="Hyperlink"/>
          </w:rPr>
          <w:t>https://doi.org/10.1016/j.pcad.2009.12.006</w:t>
        </w:r>
      </w:hyperlink>
      <w:r w:rsidRPr="00F61D64">
        <w:t xml:space="preserve"> </w:t>
      </w:r>
    </w:p>
    <w:p w14:paraId="05717E2D" w14:textId="219376AA" w:rsidR="00F61D64" w:rsidRPr="001162DF" w:rsidRDefault="00F61D64" w:rsidP="001162DF">
      <w:pPr>
        <w:pStyle w:val="EndNoteBibliography"/>
        <w:spacing w:after="0"/>
        <w:ind w:left="720" w:hanging="720"/>
        <w:rPr>
          <w:lang w:val="en-AU"/>
        </w:rPr>
      </w:pPr>
      <w:r w:rsidRPr="00F61D64">
        <w:t xml:space="preserve">Health, Q. D. o. (2022). </w:t>
      </w:r>
      <w:r w:rsidRPr="00F61D64">
        <w:rPr>
          <w:i/>
        </w:rPr>
        <w:t>Nutrition Standards for Meals and Menus (Revised 2022)</w:t>
      </w:r>
      <w:r w:rsidRPr="00F61D64">
        <w:t xml:space="preserve">. Statewide Foodservices Network Retrieved from </w:t>
      </w:r>
      <w:hyperlink r:id="rId116" w:anchor=":~:text=TheQueenslandHealthNutritionStandards,thenutritionalrequirementsofpatientsC" w:history="1">
        <w:r w:rsidR="001162DF" w:rsidRPr="001162DF">
          <w:rPr>
            <w:rStyle w:val="Hyperlink"/>
            <w:lang w:val="en-AU"/>
          </w:rPr>
          <w:t>https://www.health.qld.gov.au/__data/assets/pdf_file/0030/156288/qh-nutrition-standards.pdf#:~:text=TheQueenslandHealthNutritionStandards,thenutritionalrequirementsofpatientsC</w:t>
        </w:r>
      </w:hyperlink>
    </w:p>
    <w:p w14:paraId="4557FFDB" w14:textId="1CB1DB46" w:rsidR="00F61D64" w:rsidRPr="00F61D64" w:rsidRDefault="00F61D64" w:rsidP="00F61D64">
      <w:pPr>
        <w:pStyle w:val="EndNoteBibliography"/>
        <w:spacing w:after="0"/>
        <w:ind w:left="720" w:hanging="720"/>
      </w:pPr>
      <w:r w:rsidRPr="00F61D64">
        <w:t xml:space="preserve">Heer, M., Baisch, F., Kropp, J., Gerzer, R., &amp; Drummer, C. (2000). High dietary sodium chloride consumption may not induce body fluid retention in humans. </w:t>
      </w:r>
      <w:r w:rsidRPr="00F61D64">
        <w:rPr>
          <w:i/>
        </w:rPr>
        <w:t>Am J Physiol Renal Physiol</w:t>
      </w:r>
      <w:r w:rsidRPr="00F61D64">
        <w:t>,</w:t>
      </w:r>
      <w:r w:rsidRPr="00F61D64">
        <w:rPr>
          <w:i/>
        </w:rPr>
        <w:t xml:space="preserve"> 278</w:t>
      </w:r>
      <w:r w:rsidRPr="00F61D64">
        <w:t xml:space="preserve">(4), F585-595. </w:t>
      </w:r>
      <w:hyperlink r:id="rId117" w:history="1">
        <w:r w:rsidRPr="00F61D64">
          <w:rPr>
            <w:rStyle w:val="Hyperlink"/>
          </w:rPr>
          <w:t>https://doi.org/10.1152/ajprenal.2000.278.4.F585</w:t>
        </w:r>
      </w:hyperlink>
      <w:r w:rsidRPr="00F61D64">
        <w:t xml:space="preserve"> </w:t>
      </w:r>
    </w:p>
    <w:p w14:paraId="0C0C2FEC" w14:textId="11BAAC11" w:rsidR="00F61D64" w:rsidRPr="00F61D64" w:rsidRDefault="00F61D64" w:rsidP="00F61D64">
      <w:pPr>
        <w:pStyle w:val="EndNoteBibliography"/>
        <w:spacing w:after="0"/>
        <w:ind w:left="720" w:hanging="720"/>
      </w:pPr>
      <w:r w:rsidRPr="00F61D64">
        <w:t xml:space="preserve">Heer, M., Frings-Meuthen, P., Titze, J., Boschmann, M., Frisch, S., Baecker, N., &amp; Beck, L. (2009). Increasing sodium intake from a previous low or high intake affects water, electrolyte and acid-base balance differently. </w:t>
      </w:r>
      <w:r w:rsidRPr="00F61D64">
        <w:rPr>
          <w:i/>
        </w:rPr>
        <w:t>Br J Nutr</w:t>
      </w:r>
      <w:r w:rsidRPr="00F61D64">
        <w:t>,</w:t>
      </w:r>
      <w:r w:rsidRPr="00F61D64">
        <w:rPr>
          <w:i/>
        </w:rPr>
        <w:t xml:space="preserve"> 101</w:t>
      </w:r>
      <w:r w:rsidRPr="00F61D64">
        <w:t xml:space="preserve">(9), 1286-1294. </w:t>
      </w:r>
      <w:hyperlink r:id="rId118" w:history="1">
        <w:r w:rsidRPr="00F61D64">
          <w:rPr>
            <w:rStyle w:val="Hyperlink"/>
          </w:rPr>
          <w:t>https://doi.org/10.1017/s0007114508088041</w:t>
        </w:r>
      </w:hyperlink>
      <w:r w:rsidRPr="00F61D64">
        <w:t xml:space="preserve"> </w:t>
      </w:r>
    </w:p>
    <w:p w14:paraId="2283AAC5" w14:textId="463662C0" w:rsidR="00F61D64" w:rsidRPr="00F61D64" w:rsidRDefault="00F61D64" w:rsidP="00F61D64">
      <w:pPr>
        <w:pStyle w:val="EndNoteBibliography"/>
        <w:spacing w:after="0"/>
        <w:ind w:left="720" w:hanging="720"/>
      </w:pPr>
      <w:r w:rsidRPr="00F61D64">
        <w:t xml:space="preserve">Hodson, E. M., &amp; Cooper, T. E. (2023). Altered dietary salt intake for preventing diabetic kidney disease and its progression. </w:t>
      </w:r>
      <w:r w:rsidRPr="00F61D64">
        <w:rPr>
          <w:i/>
        </w:rPr>
        <w:t>Cochrane Database Syst Rev</w:t>
      </w:r>
      <w:r w:rsidRPr="00F61D64">
        <w:t>,</w:t>
      </w:r>
      <w:r w:rsidRPr="00F61D64">
        <w:rPr>
          <w:i/>
        </w:rPr>
        <w:t xml:space="preserve"> 1</w:t>
      </w:r>
      <w:r w:rsidRPr="00F61D64">
        <w:t xml:space="preserve">(1), Cd006763. </w:t>
      </w:r>
      <w:hyperlink r:id="rId119" w:history="1">
        <w:r w:rsidRPr="00F61D64">
          <w:rPr>
            <w:rStyle w:val="Hyperlink"/>
          </w:rPr>
          <w:t>https://doi.org/10.1002/14651858.CD006763.pub3</w:t>
        </w:r>
      </w:hyperlink>
      <w:r w:rsidRPr="00F61D64">
        <w:t xml:space="preserve"> </w:t>
      </w:r>
    </w:p>
    <w:p w14:paraId="7CAA51F7" w14:textId="574186CC" w:rsidR="00F61D64" w:rsidRPr="00F61D64" w:rsidRDefault="00F61D64" w:rsidP="00F61D64">
      <w:pPr>
        <w:pStyle w:val="EndNoteBibliography"/>
        <w:spacing w:after="0"/>
        <w:ind w:left="720" w:hanging="720"/>
      </w:pPr>
      <w:r w:rsidRPr="00F61D64">
        <w:t xml:space="preserve">Holbrook, J. T., Patterson, K. Y., Bodner, J. E., Douglas, L. W., Veillon, C., Kelsay, J. L., Mertz, W., &amp; Smith, J. C., Jr. (1984). Sodium and potassium intake and balance in adults consuming self-selected diets. </w:t>
      </w:r>
      <w:r w:rsidRPr="00F61D64">
        <w:rPr>
          <w:i/>
        </w:rPr>
        <w:t>Am J Clin Nutr</w:t>
      </w:r>
      <w:r w:rsidRPr="00F61D64">
        <w:t>,</w:t>
      </w:r>
      <w:r w:rsidRPr="00F61D64">
        <w:rPr>
          <w:i/>
        </w:rPr>
        <w:t xml:space="preserve"> 40</w:t>
      </w:r>
      <w:r w:rsidRPr="00F61D64">
        <w:t xml:space="preserve">(4), 786-793. </w:t>
      </w:r>
      <w:hyperlink r:id="rId120" w:history="1">
        <w:r w:rsidRPr="00F61D64">
          <w:rPr>
            <w:rStyle w:val="Hyperlink"/>
          </w:rPr>
          <w:t>https://doi.org/10.1093/ajcn/40.4.786</w:t>
        </w:r>
      </w:hyperlink>
      <w:r w:rsidRPr="00F61D64">
        <w:t xml:space="preserve"> </w:t>
      </w:r>
    </w:p>
    <w:p w14:paraId="445F5A9A" w14:textId="46E743C3" w:rsidR="00F61D64" w:rsidRPr="00F61D64" w:rsidRDefault="00F61D64" w:rsidP="00F61D64">
      <w:pPr>
        <w:pStyle w:val="EndNoteBibliography"/>
        <w:spacing w:after="0"/>
        <w:ind w:left="720" w:hanging="720"/>
      </w:pPr>
      <w:r w:rsidRPr="00F61D64">
        <w:t xml:space="preserve">Holt, C. (1993). Interrelationships of the concentrations of some ionic constituents of human milk and comparison with cow and goat milks. </w:t>
      </w:r>
      <w:r w:rsidRPr="00F61D64">
        <w:rPr>
          <w:i/>
        </w:rPr>
        <w:t>Comp Biochem Physiol Comp Physiol</w:t>
      </w:r>
      <w:r w:rsidRPr="00F61D64">
        <w:t>,</w:t>
      </w:r>
      <w:r w:rsidRPr="00F61D64">
        <w:rPr>
          <w:i/>
        </w:rPr>
        <w:t xml:space="preserve"> 104</w:t>
      </w:r>
      <w:r w:rsidRPr="00F61D64">
        <w:t xml:space="preserve">(1), 35-41. </w:t>
      </w:r>
      <w:hyperlink r:id="rId121" w:history="1">
        <w:r w:rsidRPr="00F61D64">
          <w:rPr>
            <w:rStyle w:val="Hyperlink"/>
          </w:rPr>
          <w:t>https://doi.org/10.1016/0300-9629(93)90005-o</w:t>
        </w:r>
      </w:hyperlink>
      <w:r w:rsidRPr="00F61D64">
        <w:t xml:space="preserve"> </w:t>
      </w:r>
    </w:p>
    <w:p w14:paraId="3A71B5C3" w14:textId="1E469EA4" w:rsidR="00F61D64" w:rsidRPr="00F61D64" w:rsidRDefault="00F61D64" w:rsidP="00F61D64">
      <w:pPr>
        <w:pStyle w:val="EndNoteBibliography"/>
        <w:spacing w:after="0"/>
        <w:ind w:left="720" w:hanging="720"/>
      </w:pPr>
      <w:r w:rsidRPr="00F61D64">
        <w:t xml:space="preserve">Hörnell, A., &amp; Lagström, H. (2024). Infant feeding-a scoping review for Nordic Nutrition Recommendations 2023. </w:t>
      </w:r>
      <w:r w:rsidRPr="00F61D64">
        <w:rPr>
          <w:i/>
        </w:rPr>
        <w:t>Food Nutr Res</w:t>
      </w:r>
      <w:r w:rsidRPr="00F61D64">
        <w:t>,</w:t>
      </w:r>
      <w:r w:rsidRPr="00F61D64">
        <w:rPr>
          <w:i/>
        </w:rPr>
        <w:t xml:space="preserve"> 68</w:t>
      </w:r>
      <w:r w:rsidRPr="00F61D64">
        <w:t xml:space="preserve">. </w:t>
      </w:r>
      <w:hyperlink r:id="rId122" w:history="1">
        <w:r w:rsidRPr="00F61D64">
          <w:rPr>
            <w:rStyle w:val="Hyperlink"/>
          </w:rPr>
          <w:t>https://doi.org/10.29219/fnr.v68.10456</w:t>
        </w:r>
      </w:hyperlink>
      <w:r w:rsidRPr="00F61D64">
        <w:t xml:space="preserve"> </w:t>
      </w:r>
    </w:p>
    <w:p w14:paraId="6B6014C1" w14:textId="15070E92" w:rsidR="00F61D64" w:rsidRPr="00F61D64" w:rsidRDefault="00F61D64" w:rsidP="00F61D64">
      <w:pPr>
        <w:pStyle w:val="EndNoteBibliography"/>
        <w:spacing w:after="0"/>
        <w:ind w:left="720" w:hanging="720"/>
      </w:pPr>
      <w:r w:rsidRPr="00F61D64">
        <w:t xml:space="preserve">Huang, L., Trieu, K., Yoshimura, S., Neal, B., Woodward, M., Campbell, N. R. C., Li, Q., Lackland, D. T., Leung, A. A., Anderson, C. A. M., MacGregor, G. A., &amp; He, F. J. (2020). Effect of dose and duration of reduction in dietary sodium on blood pressure levels: systematic review and meta-analysis of randomised trials. </w:t>
      </w:r>
      <w:r w:rsidRPr="00F61D64">
        <w:rPr>
          <w:i/>
        </w:rPr>
        <w:t>Bmj</w:t>
      </w:r>
      <w:r w:rsidRPr="00F61D64">
        <w:t>,</w:t>
      </w:r>
      <w:r w:rsidRPr="00F61D64">
        <w:rPr>
          <w:i/>
        </w:rPr>
        <w:t xml:space="preserve"> 368</w:t>
      </w:r>
      <w:r w:rsidRPr="00F61D64">
        <w:t xml:space="preserve">, m315. </w:t>
      </w:r>
      <w:hyperlink r:id="rId123" w:history="1">
        <w:r w:rsidRPr="00F61D64">
          <w:rPr>
            <w:rStyle w:val="Hyperlink"/>
          </w:rPr>
          <w:t>https://doi.org/10.1136/bmj.m315</w:t>
        </w:r>
      </w:hyperlink>
      <w:r w:rsidRPr="00F61D64">
        <w:t xml:space="preserve"> </w:t>
      </w:r>
    </w:p>
    <w:p w14:paraId="62E4639C" w14:textId="18BAF6EC" w:rsidR="00F61D64" w:rsidRPr="00F61D64" w:rsidRDefault="00F61D64" w:rsidP="00F61D64">
      <w:pPr>
        <w:pStyle w:val="EndNoteBibliography"/>
        <w:spacing w:after="0"/>
        <w:ind w:left="720" w:hanging="720"/>
      </w:pPr>
      <w:r w:rsidRPr="00F61D64">
        <w:t xml:space="preserve">Huang, L., Trieu, K., Yoshimura, S., Woodward, M., Campbell, N., Lackland, D., Leung, A., Anderson, C. A. M., MacGregor, G., Neal, B., &amp; He, F. (2019). Impact of dose and duration of dietary salt reduction on blood pressure levels: Systematic review and meta-analysis </w:t>
      </w:r>
      <w:r w:rsidRPr="00F61D64">
        <w:lastRenderedPageBreak/>
        <w:t xml:space="preserve">of randomised trials. </w:t>
      </w:r>
      <w:r w:rsidRPr="00F61D64">
        <w:rPr>
          <w:i/>
        </w:rPr>
        <w:t>European heart journal</w:t>
      </w:r>
      <w:r w:rsidRPr="00F61D64">
        <w:t>,</w:t>
      </w:r>
      <w:r w:rsidRPr="00F61D64">
        <w:rPr>
          <w:i/>
        </w:rPr>
        <w:t xml:space="preserve"> 40</w:t>
      </w:r>
      <w:r w:rsidRPr="00F61D64">
        <w:t xml:space="preserve">, 989. </w:t>
      </w:r>
      <w:hyperlink r:id="rId124" w:history="1">
        <w:r w:rsidRPr="00F61D64">
          <w:rPr>
            <w:rStyle w:val="Hyperlink"/>
          </w:rPr>
          <w:t>https://doi.org/10.1093/eurheartj/ehz748.0446</w:t>
        </w:r>
      </w:hyperlink>
      <w:r w:rsidRPr="00F61D64">
        <w:t xml:space="preserve"> </w:t>
      </w:r>
    </w:p>
    <w:p w14:paraId="78388A41" w14:textId="1DC9EAEA" w:rsidR="00F61D64" w:rsidRPr="00F61D64" w:rsidRDefault="00F61D64" w:rsidP="00F61D64">
      <w:pPr>
        <w:pStyle w:val="EndNoteBibliography"/>
        <w:spacing w:after="0"/>
        <w:ind w:left="720" w:hanging="720"/>
      </w:pPr>
      <w:r w:rsidRPr="00F61D64">
        <w:t xml:space="preserve">Institute for Health Metrics and Evaluation. (2024). </w:t>
      </w:r>
      <w:r w:rsidRPr="00F61D64">
        <w:rPr>
          <w:i/>
        </w:rPr>
        <w:t>Global Burden of Disease (GBD) results tool</w:t>
      </w:r>
      <w:r w:rsidRPr="00F61D64">
        <w:t xml:space="preserve"> (</w:t>
      </w:r>
      <w:hyperlink r:id="rId125" w:history="1">
        <w:r w:rsidRPr="00F61D64">
          <w:rPr>
            <w:rStyle w:val="Hyperlink"/>
          </w:rPr>
          <w:t>https://vizhub.healthdata.org/gbd-results/</w:t>
        </w:r>
      </w:hyperlink>
      <w:r w:rsidRPr="00F61D64">
        <w:t xml:space="preserve"> </w:t>
      </w:r>
    </w:p>
    <w:p w14:paraId="20AEE938" w14:textId="3F407B45" w:rsidR="00F61D64" w:rsidRPr="00F61D64" w:rsidRDefault="00F61D64" w:rsidP="00F61D64">
      <w:pPr>
        <w:pStyle w:val="EndNoteBibliography"/>
        <w:spacing w:after="0"/>
        <w:ind w:left="720" w:hanging="720"/>
      </w:pPr>
      <w:r w:rsidRPr="00F61D64">
        <w:t xml:space="preserve">Jeong, S., Hunter, S. D., Cook, M. D., Grosicki, G. J., &amp; Robinson, A. T. (2024). Salty Subjects: Unpacking Racial Differences in Salt-Sensitive Hypertension. </w:t>
      </w:r>
      <w:r w:rsidRPr="00F61D64">
        <w:rPr>
          <w:i/>
        </w:rPr>
        <w:t>Current Hypertension Reports</w:t>
      </w:r>
      <w:r w:rsidRPr="00F61D64">
        <w:t>,</w:t>
      </w:r>
      <w:r w:rsidRPr="00F61D64">
        <w:rPr>
          <w:i/>
        </w:rPr>
        <w:t xml:space="preserve"> 26</w:t>
      </w:r>
      <w:r w:rsidRPr="00F61D64">
        <w:t xml:space="preserve">(1), 43-58. </w:t>
      </w:r>
      <w:hyperlink r:id="rId126" w:history="1">
        <w:r w:rsidRPr="00F61D64">
          <w:rPr>
            <w:rStyle w:val="Hyperlink"/>
          </w:rPr>
          <w:t>https://doi.org/10.1007/s11906-023-01275-z</w:t>
        </w:r>
      </w:hyperlink>
      <w:r w:rsidRPr="00F61D64">
        <w:t xml:space="preserve"> </w:t>
      </w:r>
    </w:p>
    <w:p w14:paraId="5029089B" w14:textId="75FB8168" w:rsidR="00F61D64" w:rsidRPr="00F61D64" w:rsidRDefault="00F61D64" w:rsidP="00F61D64">
      <w:pPr>
        <w:pStyle w:val="EndNoteBibliography"/>
        <w:spacing w:after="0"/>
        <w:ind w:left="720" w:hanging="720"/>
      </w:pPr>
      <w:r w:rsidRPr="00F61D64">
        <w:t xml:space="preserve">Jula, A. (2024). Sodium - a systematic review for Nordic Nutrition Recommendations 2023. </w:t>
      </w:r>
      <w:r w:rsidRPr="00F61D64">
        <w:rPr>
          <w:i/>
        </w:rPr>
        <w:t>Food Nutr Res</w:t>
      </w:r>
      <w:r w:rsidRPr="00F61D64">
        <w:t>,</w:t>
      </w:r>
      <w:r w:rsidRPr="00F61D64">
        <w:rPr>
          <w:i/>
        </w:rPr>
        <w:t xml:space="preserve"> 68</w:t>
      </w:r>
      <w:r w:rsidRPr="00F61D64">
        <w:t xml:space="preserve">. </w:t>
      </w:r>
      <w:hyperlink r:id="rId127" w:history="1">
        <w:r w:rsidRPr="00F61D64">
          <w:rPr>
            <w:rStyle w:val="Hyperlink"/>
          </w:rPr>
          <w:t>https://doi.org/10.29219/fnr.v68.10319</w:t>
        </w:r>
      </w:hyperlink>
      <w:r w:rsidRPr="00F61D64">
        <w:t xml:space="preserve"> </w:t>
      </w:r>
    </w:p>
    <w:p w14:paraId="2440A3E1" w14:textId="60D72A9F" w:rsidR="00F61D64" w:rsidRPr="00F61D64" w:rsidRDefault="00F61D64" w:rsidP="00F61D64">
      <w:pPr>
        <w:pStyle w:val="EndNoteBibliography"/>
        <w:spacing w:after="0"/>
        <w:ind w:left="720" w:hanging="720"/>
      </w:pPr>
      <w:r w:rsidRPr="00F61D64">
        <w:t xml:space="preserve">Keenan, B. S., Buzek, S. W., Garza, C., Potts, E., &amp; Nichols, B. L. (1982). Diurnal and longitudinal variations in human milk sodium and potassium: implication for nutrition and physiology. </w:t>
      </w:r>
      <w:r w:rsidRPr="00F61D64">
        <w:rPr>
          <w:i/>
        </w:rPr>
        <w:t>Am J Clin Nutr</w:t>
      </w:r>
      <w:r w:rsidRPr="00F61D64">
        <w:t>,</w:t>
      </w:r>
      <w:r w:rsidRPr="00F61D64">
        <w:rPr>
          <w:i/>
        </w:rPr>
        <w:t xml:space="preserve"> 35</w:t>
      </w:r>
      <w:r w:rsidRPr="00F61D64">
        <w:t xml:space="preserve">(3), 527-534. </w:t>
      </w:r>
      <w:hyperlink r:id="rId128" w:history="1">
        <w:r w:rsidRPr="00F61D64">
          <w:rPr>
            <w:rStyle w:val="Hyperlink"/>
          </w:rPr>
          <w:t>https://doi.org/10.1093/ajcn/35.3.527</w:t>
        </w:r>
      </w:hyperlink>
      <w:r w:rsidRPr="00F61D64">
        <w:t xml:space="preserve"> </w:t>
      </w:r>
    </w:p>
    <w:p w14:paraId="2BDC5ECA" w14:textId="7851F3BE" w:rsidR="00F61D64" w:rsidRPr="00F61D64" w:rsidRDefault="00F61D64" w:rsidP="00F61D64">
      <w:pPr>
        <w:pStyle w:val="EndNoteBibliography"/>
        <w:spacing w:after="0"/>
        <w:ind w:left="720" w:hanging="720"/>
      </w:pPr>
      <w:r w:rsidRPr="00F61D64">
        <w:t xml:space="preserve">Khokhar, D., Nowson, C. A., Margerison, C., Bolam, B., &amp; Grimes, C. A. (2018). Knowledge and Attitudes Are Related to Selected Salt-Specific Behaviours among Australian Parents. </w:t>
      </w:r>
      <w:r w:rsidRPr="00F61D64">
        <w:rPr>
          <w:i/>
        </w:rPr>
        <w:t>Nutrients</w:t>
      </w:r>
      <w:r w:rsidRPr="00F61D64">
        <w:t>,</w:t>
      </w:r>
      <w:r w:rsidRPr="00F61D64">
        <w:rPr>
          <w:i/>
        </w:rPr>
        <w:t xml:space="preserve"> 10</w:t>
      </w:r>
      <w:r w:rsidRPr="00F61D64">
        <w:t xml:space="preserve">(6). </w:t>
      </w:r>
      <w:hyperlink r:id="rId129" w:history="1">
        <w:r w:rsidRPr="00F61D64">
          <w:rPr>
            <w:rStyle w:val="Hyperlink"/>
          </w:rPr>
          <w:t>https://doi.org/10.3390/nu10060720</w:t>
        </w:r>
      </w:hyperlink>
      <w:r w:rsidRPr="00F61D64">
        <w:t xml:space="preserve"> </w:t>
      </w:r>
    </w:p>
    <w:p w14:paraId="73C17A10" w14:textId="61003CCC" w:rsidR="00F61D64" w:rsidRPr="00F61D64" w:rsidRDefault="00F61D64" w:rsidP="00F61D64">
      <w:pPr>
        <w:pStyle w:val="EndNoteBibliography"/>
        <w:spacing w:after="0"/>
        <w:ind w:left="720" w:hanging="720"/>
      </w:pPr>
      <w:r w:rsidRPr="00F61D64">
        <w:t xml:space="preserve">Kieneker, L. M., Bakker, S. J., de Boer, R. A., Navis, G. J., Gansevoort, R. T., &amp; Joosten, M. M. (2016). Low potassium excretion but not high sodium excretion is associated with increased risk of developing chronic kidney disease. </w:t>
      </w:r>
      <w:r w:rsidRPr="00F61D64">
        <w:rPr>
          <w:i/>
        </w:rPr>
        <w:t>Kidney Int</w:t>
      </w:r>
      <w:r w:rsidRPr="00F61D64">
        <w:t>,</w:t>
      </w:r>
      <w:r w:rsidRPr="00F61D64">
        <w:rPr>
          <w:i/>
        </w:rPr>
        <w:t xml:space="preserve"> 90</w:t>
      </w:r>
      <w:r w:rsidRPr="00F61D64">
        <w:t xml:space="preserve">(4), 888-896. </w:t>
      </w:r>
      <w:hyperlink r:id="rId130" w:history="1">
        <w:r w:rsidRPr="00F61D64">
          <w:rPr>
            <w:rStyle w:val="Hyperlink"/>
          </w:rPr>
          <w:t>https://doi.org/10.1016/j.kint.2016.07.012</w:t>
        </w:r>
      </w:hyperlink>
      <w:r w:rsidRPr="00F61D64">
        <w:t xml:space="preserve"> </w:t>
      </w:r>
    </w:p>
    <w:p w14:paraId="73A777E6" w14:textId="77777777" w:rsidR="00F61D64" w:rsidRPr="00F61D64" w:rsidRDefault="00F61D64" w:rsidP="00F61D64">
      <w:pPr>
        <w:pStyle w:val="EndNoteBibliography"/>
        <w:spacing w:after="0"/>
        <w:ind w:left="720" w:hanging="720"/>
      </w:pPr>
      <w:r w:rsidRPr="00F61D64">
        <w:t xml:space="preserve">Kirkendall, A. M., Connor, W. E., Abboud, F., Rastogi, S. P., Anderson, T. A., &amp; Fry, M. (1976). The effect of dietary sodium chloride on blood pressure, body fluids, electrolytes, renal function, and serum lipids of normotensive man. </w:t>
      </w:r>
      <w:r w:rsidRPr="00F61D64">
        <w:rPr>
          <w:i/>
        </w:rPr>
        <w:t>J Lab Clin Med</w:t>
      </w:r>
      <w:r w:rsidRPr="00F61D64">
        <w:t>,</w:t>
      </w:r>
      <w:r w:rsidRPr="00F61D64">
        <w:rPr>
          <w:i/>
        </w:rPr>
        <w:t xml:space="preserve"> 87</w:t>
      </w:r>
      <w:r w:rsidRPr="00F61D64">
        <w:t xml:space="preserve">(3), 411-434. </w:t>
      </w:r>
    </w:p>
    <w:p w14:paraId="7BB55043" w14:textId="161BAF2D" w:rsidR="00F61D64" w:rsidRPr="00F61D64" w:rsidRDefault="00F61D64" w:rsidP="00F61D64">
      <w:pPr>
        <w:pStyle w:val="EndNoteBibliography"/>
        <w:spacing w:after="0"/>
        <w:ind w:left="720" w:hanging="720"/>
      </w:pPr>
      <w:r w:rsidRPr="00F61D64">
        <w:t xml:space="preserve">Kodama, N., Morikuni, E., Matsuzaki, N., Yoshioka, Y. H., Takeyama, H., Yamada, H., Kitajima, H., &amp; Nishimuta, M. (2005). Sodium and potassium balances in Japanese young adults. </w:t>
      </w:r>
      <w:r w:rsidRPr="00F61D64">
        <w:rPr>
          <w:i/>
        </w:rPr>
        <w:t>J Nutr Sci Vitaminol (Tokyo)</w:t>
      </w:r>
      <w:r w:rsidRPr="00F61D64">
        <w:t>,</w:t>
      </w:r>
      <w:r w:rsidRPr="00F61D64">
        <w:rPr>
          <w:i/>
        </w:rPr>
        <w:t xml:space="preserve"> 51</w:t>
      </w:r>
      <w:r w:rsidRPr="00F61D64">
        <w:t xml:space="preserve">(3), 161-168. </w:t>
      </w:r>
      <w:hyperlink r:id="rId131" w:history="1">
        <w:r w:rsidRPr="00F61D64">
          <w:rPr>
            <w:rStyle w:val="Hyperlink"/>
          </w:rPr>
          <w:t>https://doi.org/10.3177/jnsv.51.161</w:t>
        </w:r>
      </w:hyperlink>
      <w:r w:rsidRPr="00F61D64">
        <w:t xml:space="preserve"> </w:t>
      </w:r>
    </w:p>
    <w:p w14:paraId="084BE940" w14:textId="54EFAC44" w:rsidR="00F61D64" w:rsidRPr="00F61D64" w:rsidRDefault="00F61D64" w:rsidP="00F61D64">
      <w:pPr>
        <w:pStyle w:val="EndNoteBibliography"/>
        <w:spacing w:after="0"/>
        <w:ind w:left="720" w:hanging="720"/>
      </w:pPr>
      <w:r w:rsidRPr="00F61D64">
        <w:t xml:space="preserve">Land, M. A., Neal, B. C., Johnson, C., Nowson, C. A., Margerison, C., &amp; Petersen, K. S. (2018). Salt consumption by Australian adults: a systematic review and meta-analysis. </w:t>
      </w:r>
      <w:r w:rsidRPr="00F61D64">
        <w:rPr>
          <w:i/>
        </w:rPr>
        <w:t>The Medical journal of Australia</w:t>
      </w:r>
      <w:r w:rsidRPr="00F61D64">
        <w:t>,</w:t>
      </w:r>
      <w:r w:rsidRPr="00F61D64">
        <w:rPr>
          <w:i/>
        </w:rPr>
        <w:t xml:space="preserve"> 208</w:t>
      </w:r>
      <w:r w:rsidRPr="00F61D64">
        <w:t xml:space="preserve">(2), 75-81. </w:t>
      </w:r>
      <w:hyperlink r:id="rId132" w:history="1">
        <w:r w:rsidRPr="00F61D64">
          <w:rPr>
            <w:rStyle w:val="Hyperlink"/>
          </w:rPr>
          <w:t>https://doi.org/10.5694/mja17.00394</w:t>
        </w:r>
      </w:hyperlink>
      <w:r w:rsidRPr="00F61D64">
        <w:t xml:space="preserve"> </w:t>
      </w:r>
    </w:p>
    <w:p w14:paraId="12697AD6" w14:textId="0ACFBC57" w:rsidR="00F61D64" w:rsidRPr="00F61D64" w:rsidRDefault="00F61D64" w:rsidP="00F61D64">
      <w:pPr>
        <w:pStyle w:val="EndNoteBibliography"/>
        <w:spacing w:after="0"/>
        <w:ind w:left="720" w:hanging="720"/>
      </w:pPr>
      <w:r w:rsidRPr="00F61D64">
        <w:t xml:space="preserve">Land, M. A., Webster, J., Christoforou, A., Johnson, C., Trevena, H., Hodgins, F., Chalmers, J., Woodward, M., Barzi, F., Smith, W., Flood, V., Jeffery, P., Nowson, C., &amp; Neal, B. (2014). The association of knowledge, attitudes and behaviours related to salt with 24-hour urinary sodium excretion. </w:t>
      </w:r>
      <w:r w:rsidRPr="00F61D64">
        <w:rPr>
          <w:i/>
        </w:rPr>
        <w:t>Int J Behav Nutr Phys Act</w:t>
      </w:r>
      <w:r w:rsidRPr="00F61D64">
        <w:t>,</w:t>
      </w:r>
      <w:r w:rsidRPr="00F61D64">
        <w:rPr>
          <w:i/>
        </w:rPr>
        <w:t xml:space="preserve"> 11</w:t>
      </w:r>
      <w:r w:rsidRPr="00F61D64">
        <w:t xml:space="preserve">(1), 47. </w:t>
      </w:r>
      <w:hyperlink r:id="rId133" w:history="1">
        <w:r w:rsidRPr="00F61D64">
          <w:rPr>
            <w:rStyle w:val="Hyperlink"/>
          </w:rPr>
          <w:t>https://doi.org/10.1186/1479-5868-11-47</w:t>
        </w:r>
      </w:hyperlink>
      <w:r w:rsidRPr="00F61D64">
        <w:t xml:space="preserve"> </w:t>
      </w:r>
    </w:p>
    <w:p w14:paraId="70DA8A46" w14:textId="7127E737" w:rsidR="00F61D64" w:rsidRPr="00F61D64" w:rsidRDefault="00F61D64" w:rsidP="00F61D64">
      <w:pPr>
        <w:pStyle w:val="EndNoteBibliography"/>
        <w:spacing w:after="0"/>
        <w:ind w:left="720" w:hanging="720"/>
      </w:pPr>
      <w:r w:rsidRPr="00F61D64">
        <w:t xml:space="preserve">Leed, A., Sheridan, E., Baker, B., Bamford, S., Emmanouilidis, E., Stewart, F., Ostafe, K., Sarwari, M., Lim, K., Zheng, M., Islam, S. M. S., Bolton, K. A., &amp; Grimes, C. A. (2023). Dietary Intake and Arterial Stiffness in Children and Adolescents: A Systematic Review. </w:t>
      </w:r>
      <w:r w:rsidRPr="00F61D64">
        <w:rPr>
          <w:i/>
        </w:rPr>
        <w:t>Nutrients</w:t>
      </w:r>
      <w:r w:rsidRPr="00F61D64">
        <w:t>,</w:t>
      </w:r>
      <w:r w:rsidRPr="00F61D64">
        <w:rPr>
          <w:i/>
        </w:rPr>
        <w:t xml:space="preserve"> 15</w:t>
      </w:r>
      <w:r w:rsidRPr="00F61D64">
        <w:t xml:space="preserve">(9). </w:t>
      </w:r>
      <w:hyperlink r:id="rId134" w:history="1">
        <w:r w:rsidRPr="00F61D64">
          <w:rPr>
            <w:rStyle w:val="Hyperlink"/>
          </w:rPr>
          <w:t>https://doi.org/10.3390/nu15092092</w:t>
        </w:r>
      </w:hyperlink>
      <w:r w:rsidRPr="00F61D64">
        <w:t xml:space="preserve"> </w:t>
      </w:r>
    </w:p>
    <w:p w14:paraId="55BA1DF2" w14:textId="65D1127A" w:rsidR="00F61D64" w:rsidRPr="00F61D64" w:rsidRDefault="00F61D64" w:rsidP="00F61D64">
      <w:pPr>
        <w:pStyle w:val="EndNoteBibliography"/>
        <w:spacing w:after="0"/>
        <w:ind w:left="720" w:hanging="720"/>
      </w:pPr>
      <w:r w:rsidRPr="00F61D64">
        <w:t xml:space="preserve">Lemons, J. A., Moye, L., Hall, D., &amp; Simmons, M. (1982). Differences in the composition of preterm and term human milk during early lactation. </w:t>
      </w:r>
      <w:r w:rsidRPr="00F61D64">
        <w:rPr>
          <w:i/>
        </w:rPr>
        <w:t>Pediatr Res</w:t>
      </w:r>
      <w:r w:rsidRPr="00F61D64">
        <w:t>,</w:t>
      </w:r>
      <w:r w:rsidRPr="00F61D64">
        <w:rPr>
          <w:i/>
        </w:rPr>
        <w:t xml:space="preserve"> 16</w:t>
      </w:r>
      <w:r w:rsidRPr="00F61D64">
        <w:t xml:space="preserve">(2), 113-117. </w:t>
      </w:r>
      <w:hyperlink r:id="rId135" w:history="1">
        <w:r w:rsidRPr="00F61D64">
          <w:rPr>
            <w:rStyle w:val="Hyperlink"/>
          </w:rPr>
          <w:t>https://doi.org/10.1203/00006450-198202000-00007</w:t>
        </w:r>
      </w:hyperlink>
      <w:r w:rsidRPr="00F61D64">
        <w:t xml:space="preserve"> </w:t>
      </w:r>
    </w:p>
    <w:p w14:paraId="1B582284" w14:textId="49DEA65F" w:rsidR="00F61D64" w:rsidRPr="00F61D64" w:rsidRDefault="00F61D64" w:rsidP="00F61D64">
      <w:pPr>
        <w:pStyle w:val="EndNoteBibliography"/>
        <w:spacing w:after="0"/>
        <w:ind w:left="720" w:hanging="720"/>
      </w:pPr>
      <w:r w:rsidRPr="00F61D64">
        <w:t xml:space="preserve">Lerchl, K., Rakova, N., Dahlmann, A., Rauh, M., Goller, U., Basner, M., Dinges, D. F., Beck, L., Agureev, A., Larina, I., Baranov, V., Morukov, B., Eckardt, K. U., Vassilieva, G., Wabel, P., Vienken, J., Kirsch, K., Johannes, B., Krannich, A.,…Titze, J. (2015). Agreement between 24-hour salt ingestion and sodium excretion in a controlled environment. </w:t>
      </w:r>
      <w:r w:rsidRPr="00F61D64">
        <w:rPr>
          <w:i/>
        </w:rPr>
        <w:t>Hypertension</w:t>
      </w:r>
      <w:r w:rsidRPr="00F61D64">
        <w:t>,</w:t>
      </w:r>
      <w:r w:rsidRPr="00F61D64">
        <w:rPr>
          <w:i/>
        </w:rPr>
        <w:t xml:space="preserve"> 66</w:t>
      </w:r>
      <w:r w:rsidRPr="00F61D64">
        <w:t xml:space="preserve">(4), 850-857. </w:t>
      </w:r>
      <w:hyperlink r:id="rId136" w:history="1">
        <w:r w:rsidRPr="00F61D64">
          <w:rPr>
            <w:rStyle w:val="Hyperlink"/>
          </w:rPr>
          <w:t>https://doi.org/10.1161/hypertensionaha.115.05851</w:t>
        </w:r>
      </w:hyperlink>
      <w:r w:rsidRPr="00F61D64">
        <w:t xml:space="preserve"> </w:t>
      </w:r>
    </w:p>
    <w:p w14:paraId="3DBE52BB" w14:textId="6CF5C173" w:rsidR="00F61D64" w:rsidRPr="00F61D64" w:rsidRDefault="00F61D64" w:rsidP="00F61D64">
      <w:pPr>
        <w:pStyle w:val="EndNoteBibliography"/>
        <w:spacing w:after="0"/>
        <w:ind w:left="720" w:hanging="720"/>
      </w:pPr>
      <w:r w:rsidRPr="00F61D64">
        <w:t xml:space="preserve">Leyvraz, M., Chatelan, A., da Costa, B. R., Taffé, P., Paradis, G., Bovet, P., Bochud, M., &amp; Chiolero, A. (2018). Sodium intake and blood pressure in children and adolescents: a systematic review and meta-analysis of experimental and observational studies. </w:t>
      </w:r>
      <w:r w:rsidRPr="00F61D64">
        <w:rPr>
          <w:i/>
        </w:rPr>
        <w:t>Int J Epidemiol</w:t>
      </w:r>
      <w:r w:rsidRPr="00F61D64">
        <w:t>,</w:t>
      </w:r>
      <w:r w:rsidRPr="00F61D64">
        <w:rPr>
          <w:i/>
        </w:rPr>
        <w:t xml:space="preserve"> 47</w:t>
      </w:r>
      <w:r w:rsidRPr="00F61D64">
        <w:t xml:space="preserve">(6), 1796-1810. </w:t>
      </w:r>
      <w:hyperlink r:id="rId137" w:history="1">
        <w:r w:rsidRPr="00F61D64">
          <w:rPr>
            <w:rStyle w:val="Hyperlink"/>
          </w:rPr>
          <w:t>https://doi.org/10.1093/ije/dyy121</w:t>
        </w:r>
      </w:hyperlink>
      <w:r w:rsidRPr="00F61D64">
        <w:t xml:space="preserve"> </w:t>
      </w:r>
    </w:p>
    <w:p w14:paraId="33D310B4" w14:textId="721078F2" w:rsidR="00F61D64" w:rsidRPr="00F61D64" w:rsidRDefault="00F61D64" w:rsidP="00F61D64">
      <w:pPr>
        <w:pStyle w:val="EndNoteBibliography"/>
        <w:spacing w:after="0"/>
        <w:ind w:left="720" w:hanging="720"/>
      </w:pPr>
      <w:r w:rsidRPr="00F61D64">
        <w:t xml:space="preserve">Lowe, S., Bowyer, L., Lust, K., McMahon, L., Morton, M., North, R., Paech, M., &amp; Said, J. (2014). </w:t>
      </w:r>
      <w:r w:rsidRPr="00F61D64">
        <w:rPr>
          <w:i/>
        </w:rPr>
        <w:t>Guideline for the Management of Hypertensive Disorders of Pregnancy</w:t>
      </w:r>
      <w:r w:rsidRPr="00F61D64">
        <w:t xml:space="preserve">. </w:t>
      </w:r>
      <w:hyperlink r:id="rId138" w:history="1">
        <w:r w:rsidRPr="00F61D64">
          <w:rPr>
            <w:rStyle w:val="Hyperlink"/>
          </w:rPr>
          <w:t>https://ranzcog.edu.au/wp-content/uploads/SOMANZ-Hypertensive-Disorders-Pregnancy.pdf</w:t>
        </w:r>
      </w:hyperlink>
    </w:p>
    <w:p w14:paraId="0CA5E705" w14:textId="6265DA11" w:rsidR="00F61D64" w:rsidRPr="00F61D64" w:rsidRDefault="00F61D64" w:rsidP="00F61D64">
      <w:pPr>
        <w:pStyle w:val="EndNoteBibliography"/>
        <w:spacing w:after="0"/>
        <w:ind w:left="720" w:hanging="720"/>
      </w:pPr>
      <w:r w:rsidRPr="00F61D64">
        <w:t xml:space="preserve">Luzardo, L., Noboa, O., &amp; Boggia, J. (2015). Mechanisms of Salt-Sensitive Hypertension. </w:t>
      </w:r>
      <w:r w:rsidRPr="00F61D64">
        <w:rPr>
          <w:i/>
        </w:rPr>
        <w:t>Curr Hypertens Rev</w:t>
      </w:r>
      <w:r w:rsidRPr="00F61D64">
        <w:t>,</w:t>
      </w:r>
      <w:r w:rsidRPr="00F61D64">
        <w:rPr>
          <w:i/>
        </w:rPr>
        <w:t xml:space="preserve"> 11</w:t>
      </w:r>
      <w:r w:rsidRPr="00F61D64">
        <w:t xml:space="preserve">(1), 14-21. </w:t>
      </w:r>
      <w:hyperlink r:id="rId139" w:history="1">
        <w:r w:rsidRPr="00F61D64">
          <w:rPr>
            <w:rStyle w:val="Hyperlink"/>
          </w:rPr>
          <w:t>https://doi.org/10.2174/1573402111666150530204136</w:t>
        </w:r>
      </w:hyperlink>
      <w:r w:rsidRPr="00F61D64">
        <w:t xml:space="preserve"> </w:t>
      </w:r>
    </w:p>
    <w:p w14:paraId="5DD258DA" w14:textId="746F6D37" w:rsidR="00F61D64" w:rsidRPr="00F61D64" w:rsidRDefault="00F61D64" w:rsidP="00F61D64">
      <w:pPr>
        <w:pStyle w:val="EndNoteBibliography"/>
        <w:spacing w:after="0"/>
        <w:ind w:left="720" w:hanging="720"/>
      </w:pPr>
      <w:r w:rsidRPr="00F61D64">
        <w:t xml:space="preserve">Mahmood, L., Flores-Barrantes, P., Moreno, L. A., Manios, Y., &amp; Gonzalez-Gil, E. M. (2021). The Influence of Parental Dietary Behaviors and Practices on Children's Eating Habits. </w:t>
      </w:r>
      <w:r w:rsidRPr="00F61D64">
        <w:rPr>
          <w:i/>
        </w:rPr>
        <w:t>Nutrients</w:t>
      </w:r>
      <w:r w:rsidRPr="00F61D64">
        <w:t>,</w:t>
      </w:r>
      <w:r w:rsidRPr="00F61D64">
        <w:rPr>
          <w:i/>
        </w:rPr>
        <w:t xml:space="preserve"> 13</w:t>
      </w:r>
      <w:r w:rsidRPr="00F61D64">
        <w:t xml:space="preserve">(4). </w:t>
      </w:r>
      <w:hyperlink r:id="rId140" w:history="1">
        <w:r w:rsidRPr="00F61D64">
          <w:rPr>
            <w:rStyle w:val="Hyperlink"/>
          </w:rPr>
          <w:t>https://doi.org/10.3390/nu13041138</w:t>
        </w:r>
      </w:hyperlink>
      <w:r w:rsidRPr="00F61D64">
        <w:t xml:space="preserve"> </w:t>
      </w:r>
    </w:p>
    <w:p w14:paraId="4EC8FD5C" w14:textId="084F48DA" w:rsidR="00F61D64" w:rsidRPr="00F61D64" w:rsidRDefault="00F61D64" w:rsidP="00F61D64">
      <w:pPr>
        <w:pStyle w:val="EndNoteBibliography"/>
        <w:spacing w:after="0"/>
        <w:ind w:left="720" w:hanging="720"/>
      </w:pPr>
      <w:r w:rsidRPr="00F61D64">
        <w:t xml:space="preserve">Mason, K., Toohey, F., Gott, M., &amp; Moeke-Maxwell, T. (2019). Māori: living and dying with cardiovascular disease in Aotearoa New Zealand. </w:t>
      </w:r>
      <w:r w:rsidRPr="00F61D64">
        <w:rPr>
          <w:i/>
        </w:rPr>
        <w:t>Curr Opin Support Palliat Care</w:t>
      </w:r>
      <w:r w:rsidRPr="00F61D64">
        <w:t>,</w:t>
      </w:r>
      <w:r w:rsidRPr="00F61D64">
        <w:rPr>
          <w:i/>
        </w:rPr>
        <w:t xml:space="preserve"> 13</w:t>
      </w:r>
      <w:r w:rsidRPr="00F61D64">
        <w:t xml:space="preserve">(1), 3-8. </w:t>
      </w:r>
      <w:hyperlink r:id="rId141" w:history="1">
        <w:r w:rsidRPr="00F61D64">
          <w:rPr>
            <w:rStyle w:val="Hyperlink"/>
          </w:rPr>
          <w:t>https://doi.org/10.1097/spc.0000000000000404</w:t>
        </w:r>
      </w:hyperlink>
      <w:r w:rsidRPr="00F61D64">
        <w:t xml:space="preserve"> </w:t>
      </w:r>
    </w:p>
    <w:p w14:paraId="4529EC8E" w14:textId="5D929A38" w:rsidR="00F61D64" w:rsidRPr="00F61D64" w:rsidRDefault="00F61D64" w:rsidP="00F61D64">
      <w:pPr>
        <w:pStyle w:val="EndNoteBibliography"/>
        <w:spacing w:after="0"/>
        <w:ind w:left="720" w:hanging="720"/>
      </w:pPr>
      <w:r w:rsidRPr="00F61D64">
        <w:t xml:space="preserve">McCallum, L., Lip, S., &amp; Padmanabhan, S. (2015). The hidden hand of chloride in hypertension. </w:t>
      </w:r>
      <w:r w:rsidRPr="00F61D64">
        <w:rPr>
          <w:i/>
        </w:rPr>
        <w:t>Pflugers Arch</w:t>
      </w:r>
      <w:r w:rsidRPr="00F61D64">
        <w:t>,</w:t>
      </w:r>
      <w:r w:rsidRPr="00F61D64">
        <w:rPr>
          <w:i/>
        </w:rPr>
        <w:t xml:space="preserve"> 467</w:t>
      </w:r>
      <w:r w:rsidRPr="00F61D64">
        <w:t xml:space="preserve">(3), 595-603. </w:t>
      </w:r>
      <w:hyperlink r:id="rId142" w:history="1">
        <w:r w:rsidRPr="00F61D64">
          <w:rPr>
            <w:rStyle w:val="Hyperlink"/>
          </w:rPr>
          <w:t>https://doi.org/10.1007/s00424-015-1690-8</w:t>
        </w:r>
      </w:hyperlink>
      <w:r w:rsidRPr="00F61D64">
        <w:t xml:space="preserve"> </w:t>
      </w:r>
    </w:p>
    <w:p w14:paraId="59FA4E03" w14:textId="0BAE194E" w:rsidR="00F61D64" w:rsidRPr="00F61D64" w:rsidRDefault="00F61D64" w:rsidP="00F61D64">
      <w:pPr>
        <w:pStyle w:val="EndNoteBibliography"/>
        <w:spacing w:after="0"/>
        <w:ind w:left="720" w:hanging="720"/>
      </w:pPr>
      <w:r w:rsidRPr="00F61D64">
        <w:t xml:space="preserve">McLean, R., Edmonds, J., Williams, S., Mann, J., &amp; Skeaff, S. (2015). Balancing Sodium and Potassium: Estimates of Intake in a New Zealand Adult Population Sample. </w:t>
      </w:r>
      <w:r w:rsidRPr="00F61D64">
        <w:rPr>
          <w:i/>
        </w:rPr>
        <w:t>Nutrients</w:t>
      </w:r>
      <w:r w:rsidRPr="00F61D64">
        <w:t>,</w:t>
      </w:r>
      <w:r w:rsidRPr="00F61D64">
        <w:rPr>
          <w:i/>
        </w:rPr>
        <w:t xml:space="preserve"> 7</w:t>
      </w:r>
      <w:r w:rsidRPr="00F61D64">
        <w:t xml:space="preserve">(11), 8930-8938. </w:t>
      </w:r>
      <w:hyperlink r:id="rId143" w:history="1">
        <w:r w:rsidRPr="00F61D64">
          <w:rPr>
            <w:rStyle w:val="Hyperlink"/>
          </w:rPr>
          <w:t>https://doi.org/10.3390/nu7115439</w:t>
        </w:r>
      </w:hyperlink>
      <w:r w:rsidRPr="00F61D64">
        <w:t xml:space="preserve"> </w:t>
      </w:r>
    </w:p>
    <w:p w14:paraId="636270F7" w14:textId="68CAD401" w:rsidR="00F61D64" w:rsidRPr="00F61D64" w:rsidRDefault="00F61D64" w:rsidP="00F61D64">
      <w:pPr>
        <w:pStyle w:val="EndNoteBibliography"/>
        <w:spacing w:after="0"/>
        <w:ind w:left="720" w:hanging="720"/>
      </w:pPr>
      <w:r w:rsidRPr="00F61D64">
        <w:t xml:space="preserve">McLean, R., Williams, S., &amp; Mann, J. (2014). Monitoring population sodium intake using spot urine samples: validation in a New Zealand population. </w:t>
      </w:r>
      <w:r w:rsidRPr="00F61D64">
        <w:rPr>
          <w:i/>
        </w:rPr>
        <w:t>Journal of human hypertension</w:t>
      </w:r>
      <w:r w:rsidRPr="00F61D64">
        <w:t>,</w:t>
      </w:r>
      <w:r w:rsidRPr="00F61D64">
        <w:rPr>
          <w:i/>
        </w:rPr>
        <w:t xml:space="preserve"> 28</w:t>
      </w:r>
      <w:r w:rsidRPr="00F61D64">
        <w:t xml:space="preserve">(11), 657-662. </w:t>
      </w:r>
      <w:hyperlink r:id="rId144" w:history="1">
        <w:r w:rsidRPr="00F61D64">
          <w:rPr>
            <w:rStyle w:val="Hyperlink"/>
          </w:rPr>
          <w:t>https://doi.org/10.1038/jhh.2014.10</w:t>
        </w:r>
      </w:hyperlink>
      <w:r w:rsidRPr="00F61D64">
        <w:t xml:space="preserve"> </w:t>
      </w:r>
    </w:p>
    <w:p w14:paraId="13FE3737" w14:textId="2B2B65A5" w:rsidR="00F61D64" w:rsidRPr="00F61D64" w:rsidRDefault="00F61D64" w:rsidP="00F61D64">
      <w:pPr>
        <w:pStyle w:val="EndNoteBibliography"/>
        <w:spacing w:after="0"/>
        <w:ind w:left="720" w:hanging="720"/>
      </w:pPr>
      <w:r w:rsidRPr="00F61D64">
        <w:t xml:space="preserve">McLean, R. M., Farmer, V. L., Nettleton, A., Cameron, C. M., Cook, N. R., Woodward, M., &amp; Campbell, N. R. C. (2018). Twenty-Four-Hour Diet recall and Diet records compared with 24-hour urinary excretion to predict an individual's sodium consumption: A Systematic Review. </w:t>
      </w:r>
      <w:r w:rsidRPr="00F61D64">
        <w:rPr>
          <w:i/>
        </w:rPr>
        <w:t>J Clin Hypertens (Greenwich)</w:t>
      </w:r>
      <w:r w:rsidRPr="00F61D64">
        <w:t>,</w:t>
      </w:r>
      <w:r w:rsidRPr="00F61D64">
        <w:rPr>
          <w:i/>
        </w:rPr>
        <w:t xml:space="preserve"> 20</w:t>
      </w:r>
      <w:r w:rsidRPr="00F61D64">
        <w:t xml:space="preserve">(10), 1360-1376. </w:t>
      </w:r>
      <w:hyperlink r:id="rId145" w:history="1">
        <w:r w:rsidRPr="00F61D64">
          <w:rPr>
            <w:rStyle w:val="Hyperlink"/>
          </w:rPr>
          <w:t>https://doi.org/10.1111/jch.13391</w:t>
        </w:r>
      </w:hyperlink>
      <w:r w:rsidRPr="00F61D64">
        <w:t xml:space="preserve"> </w:t>
      </w:r>
    </w:p>
    <w:p w14:paraId="0B7FE5FC" w14:textId="661CB404" w:rsidR="00F61D64" w:rsidRPr="00F61D64" w:rsidRDefault="00F61D64" w:rsidP="00F61D64">
      <w:pPr>
        <w:pStyle w:val="EndNoteBibliography"/>
        <w:spacing w:after="0"/>
        <w:ind w:left="720" w:hanging="720"/>
      </w:pPr>
      <w:r w:rsidRPr="00F61D64">
        <w:t xml:space="preserve">McLean, R. M., Williams, S. M., Te Morenga, L. A., &amp; Mann, J. I. (2018). Spot urine and 24-h diet recall estimates of dietary sodium intake from the 2008/09 New Zealand Adult Nutrition Survey: a comparison. </w:t>
      </w:r>
      <w:r w:rsidRPr="00F61D64">
        <w:rPr>
          <w:i/>
        </w:rPr>
        <w:t>Eur J Clin Nutr</w:t>
      </w:r>
      <w:r w:rsidRPr="00F61D64">
        <w:t>,</w:t>
      </w:r>
      <w:r w:rsidRPr="00F61D64">
        <w:rPr>
          <w:i/>
        </w:rPr>
        <w:t xml:space="preserve"> 72</w:t>
      </w:r>
      <w:r w:rsidRPr="00F61D64">
        <w:t xml:space="preserve">(8), 1120-1127. </w:t>
      </w:r>
      <w:hyperlink r:id="rId146" w:history="1">
        <w:r w:rsidRPr="00F61D64">
          <w:rPr>
            <w:rStyle w:val="Hyperlink"/>
          </w:rPr>
          <w:t>https://doi.org/10.1038/s41430-018-0176-0</w:t>
        </w:r>
      </w:hyperlink>
      <w:r w:rsidRPr="00F61D64">
        <w:t xml:space="preserve"> </w:t>
      </w:r>
    </w:p>
    <w:p w14:paraId="7E98CBB3" w14:textId="3BF49526" w:rsidR="00F61D64" w:rsidRPr="00F61D64" w:rsidRDefault="00F61D64" w:rsidP="00F61D64">
      <w:pPr>
        <w:pStyle w:val="EndNoteBibliography"/>
        <w:spacing w:after="0"/>
        <w:ind w:left="720" w:hanging="720"/>
      </w:pPr>
      <w:r w:rsidRPr="00F61D64">
        <w:t xml:space="preserve">McMahon, E., Webster, J., O'Dea, K., &amp; Brimblecombe, J. (2015). Dietary sodium and iodine in remote Indigenous Australian communities: will salt-reduction strategies increase risk of iodine deficiency? A cross-sectional analysis and simulation study. </w:t>
      </w:r>
      <w:r w:rsidRPr="00F61D64">
        <w:rPr>
          <w:i/>
        </w:rPr>
        <w:t>BMC Public Health</w:t>
      </w:r>
      <w:r w:rsidRPr="00F61D64">
        <w:t>,</w:t>
      </w:r>
      <w:r w:rsidRPr="00F61D64">
        <w:rPr>
          <w:i/>
        </w:rPr>
        <w:t xml:space="preserve"> 15</w:t>
      </w:r>
      <w:r w:rsidRPr="00F61D64">
        <w:t xml:space="preserve">, 1318. </w:t>
      </w:r>
      <w:hyperlink r:id="rId147" w:history="1">
        <w:r w:rsidRPr="00F61D64">
          <w:rPr>
            <w:rStyle w:val="Hyperlink"/>
          </w:rPr>
          <w:t>https://doi.org/10.1186/s12889-015-2686-1</w:t>
        </w:r>
      </w:hyperlink>
      <w:r w:rsidRPr="00F61D64">
        <w:t xml:space="preserve"> </w:t>
      </w:r>
    </w:p>
    <w:p w14:paraId="7F9DD3C5" w14:textId="0C149D5F" w:rsidR="00F61D64" w:rsidRPr="00F61D64" w:rsidRDefault="00F61D64" w:rsidP="00F61D64">
      <w:pPr>
        <w:pStyle w:val="EndNoteBibliography"/>
        <w:spacing w:after="0"/>
        <w:ind w:left="720" w:hanging="720"/>
      </w:pPr>
      <w:r w:rsidRPr="00F61D64">
        <w:t xml:space="preserve">Meng, Y., Mynard, J. P., Smith, K. J., Juonala, M., Urbina, E. M., Niiranen, T., Daniels, S. R., Xi, B., &amp; Magnussen, C. G. (2024). Pediatric Blood Pressure and Cardiovascular Health in Adulthood. </w:t>
      </w:r>
      <w:r w:rsidRPr="00F61D64">
        <w:rPr>
          <w:i/>
        </w:rPr>
        <w:t>Curr Hypertens Rep</w:t>
      </w:r>
      <w:r w:rsidRPr="00F61D64">
        <w:t>,</w:t>
      </w:r>
      <w:r w:rsidRPr="00F61D64">
        <w:rPr>
          <w:i/>
        </w:rPr>
        <w:t xml:space="preserve"> 26</w:t>
      </w:r>
      <w:r w:rsidRPr="00F61D64">
        <w:t xml:space="preserve">(11), 431-450. </w:t>
      </w:r>
      <w:hyperlink r:id="rId148" w:history="1">
        <w:r w:rsidRPr="00F61D64">
          <w:rPr>
            <w:rStyle w:val="Hyperlink"/>
          </w:rPr>
          <w:t>https://doi.org/10.1007/s11906-024-01312-5</w:t>
        </w:r>
      </w:hyperlink>
      <w:r w:rsidRPr="00F61D64">
        <w:t xml:space="preserve"> </w:t>
      </w:r>
    </w:p>
    <w:p w14:paraId="59F33544" w14:textId="36603EDA" w:rsidR="00F61D64" w:rsidRPr="00F61D64" w:rsidRDefault="00F61D64" w:rsidP="00F61D64">
      <w:pPr>
        <w:pStyle w:val="EndNoteBibliography"/>
        <w:spacing w:after="0"/>
        <w:ind w:left="720" w:hanging="720"/>
      </w:pPr>
      <w:r w:rsidRPr="00F61D64">
        <w:t xml:space="preserve">Metcalf, P., Scragg, R., Schaaf, D., Dyall, L., Black, P., &amp; Jackson, R. (2008). Dietary intakes of European, Maori, Pacific and Asian adults living in Auckland: The Diabetes, Heart and Health Study. </w:t>
      </w:r>
      <w:r w:rsidRPr="00F61D64">
        <w:rPr>
          <w:i/>
        </w:rPr>
        <w:t>Australian and New Zealand journal of public health</w:t>
      </w:r>
      <w:r w:rsidRPr="00F61D64">
        <w:t>,</w:t>
      </w:r>
      <w:r w:rsidRPr="00F61D64">
        <w:rPr>
          <w:i/>
        </w:rPr>
        <w:t xml:space="preserve"> 32</w:t>
      </w:r>
      <w:r w:rsidRPr="00F61D64">
        <w:t xml:space="preserve">, 454-460. </w:t>
      </w:r>
      <w:hyperlink r:id="rId149" w:history="1">
        <w:r w:rsidRPr="00F61D64">
          <w:rPr>
            <w:rStyle w:val="Hyperlink"/>
          </w:rPr>
          <w:t>https://doi.org/10.1111/j.1753-6405.2008.00279.x</w:t>
        </w:r>
      </w:hyperlink>
      <w:r w:rsidRPr="00F61D64">
        <w:t xml:space="preserve"> </w:t>
      </w:r>
    </w:p>
    <w:p w14:paraId="5F159335" w14:textId="33198985" w:rsidR="00F61D64" w:rsidRPr="00F61D64" w:rsidRDefault="00F61D64" w:rsidP="00F61D64">
      <w:pPr>
        <w:pStyle w:val="EndNoteBibliography"/>
        <w:spacing w:after="0"/>
        <w:ind w:left="720" w:hanging="720"/>
      </w:pPr>
      <w:r w:rsidRPr="00F61D64">
        <w:t xml:space="preserve">Mhurchu, C. N., Eyles, H., &amp; Choi, Y. H. (2017). Effects of a Voluntary Front-of-Pack Nutrition Labelling System on Packaged Food Reformulation: The Health Star Rating System in New Zealand. </w:t>
      </w:r>
      <w:r w:rsidRPr="00F61D64">
        <w:rPr>
          <w:i/>
        </w:rPr>
        <w:t>Nutrients</w:t>
      </w:r>
      <w:r w:rsidRPr="00F61D64">
        <w:t>,</w:t>
      </w:r>
      <w:r w:rsidRPr="00F61D64">
        <w:rPr>
          <w:i/>
        </w:rPr>
        <w:t xml:space="preserve"> 9</w:t>
      </w:r>
      <w:r w:rsidRPr="00F61D64">
        <w:t xml:space="preserve">(8). </w:t>
      </w:r>
      <w:hyperlink r:id="rId150" w:history="1">
        <w:r w:rsidRPr="00F61D64">
          <w:rPr>
            <w:rStyle w:val="Hyperlink"/>
          </w:rPr>
          <w:t>https://doi.org/10.3390/nu9080918</w:t>
        </w:r>
      </w:hyperlink>
      <w:r w:rsidRPr="00F61D64">
        <w:t xml:space="preserve"> </w:t>
      </w:r>
    </w:p>
    <w:p w14:paraId="727A8727" w14:textId="58A680D7" w:rsidR="00F61D64" w:rsidRPr="00F61D64" w:rsidRDefault="00F61D64" w:rsidP="00F61D64">
      <w:pPr>
        <w:pStyle w:val="EndNoteBibliography"/>
        <w:spacing w:after="0"/>
        <w:ind w:left="720" w:hanging="720"/>
      </w:pPr>
      <w:r w:rsidRPr="00F61D64">
        <w:t xml:space="preserve">Milajerdi, A., Djafarian, K., &amp; Shab-Bidar, S. (2019). Dose-response association of dietary sodium intake with all-cause and cardiovascular mortality: a systematic review and meta-analysis of prospective studies. </w:t>
      </w:r>
      <w:r w:rsidRPr="00F61D64">
        <w:rPr>
          <w:i/>
        </w:rPr>
        <w:t>Public Health Nutr</w:t>
      </w:r>
      <w:r w:rsidRPr="00F61D64">
        <w:t>,</w:t>
      </w:r>
      <w:r w:rsidRPr="00F61D64">
        <w:rPr>
          <w:i/>
        </w:rPr>
        <w:t xml:space="preserve"> 22</w:t>
      </w:r>
      <w:r w:rsidRPr="00F61D64">
        <w:t xml:space="preserve">(2), 295-306. </w:t>
      </w:r>
      <w:hyperlink r:id="rId151" w:history="1">
        <w:r w:rsidRPr="00F61D64">
          <w:rPr>
            <w:rStyle w:val="Hyperlink"/>
          </w:rPr>
          <w:t>https://doi.org/10.1017/s1368980018002112</w:t>
        </w:r>
      </w:hyperlink>
      <w:r w:rsidRPr="00F61D64">
        <w:t xml:space="preserve"> </w:t>
      </w:r>
    </w:p>
    <w:p w14:paraId="4ED6DA31" w14:textId="300FC3FC" w:rsidR="00F61D64" w:rsidRPr="00F61D64" w:rsidRDefault="00F61D64" w:rsidP="00F61D64">
      <w:pPr>
        <w:pStyle w:val="EndNoteBibliography"/>
        <w:spacing w:after="0"/>
        <w:ind w:left="720" w:hanging="720"/>
      </w:pPr>
      <w:r w:rsidRPr="00F61D64">
        <w:t xml:space="preserve">Monro, D., Hu, N., &amp; McLean, R. M. (2025). Food Reformulation in New Zealand: A Success Story of Reducing the Sodium Content in Bread from 2003 to 2023. </w:t>
      </w:r>
      <w:r w:rsidRPr="00F61D64">
        <w:rPr>
          <w:i/>
        </w:rPr>
        <w:t>Nutrients</w:t>
      </w:r>
      <w:r w:rsidRPr="00F61D64">
        <w:t>,</w:t>
      </w:r>
      <w:r w:rsidRPr="00F61D64">
        <w:rPr>
          <w:i/>
        </w:rPr>
        <w:t xml:space="preserve"> 17</w:t>
      </w:r>
      <w:r w:rsidRPr="00F61D64">
        <w:t xml:space="preserve">(22), 3627. </w:t>
      </w:r>
      <w:hyperlink r:id="rId152" w:history="1">
        <w:r w:rsidRPr="00F61D64">
          <w:rPr>
            <w:rStyle w:val="Hyperlink"/>
          </w:rPr>
          <w:t>https://www.mdpi.com/2072-6643/17/22/3627</w:t>
        </w:r>
      </w:hyperlink>
      <w:r w:rsidRPr="00F61D64">
        <w:t xml:space="preserve"> </w:t>
      </w:r>
    </w:p>
    <w:p w14:paraId="5CE16F00" w14:textId="3C9C5089" w:rsidR="00F61D64" w:rsidRPr="00F61D64" w:rsidRDefault="00F61D64" w:rsidP="00F61D64">
      <w:pPr>
        <w:pStyle w:val="EndNoteBibliography"/>
        <w:spacing w:after="0"/>
        <w:ind w:left="720" w:hanging="720"/>
      </w:pPr>
      <w:r w:rsidRPr="00F61D64">
        <w:t xml:space="preserve">Moreno, S. V., Grimes, C., Bolton, K. A., Uddin, R., Siopis, G., Maddison, R., &amp; Islam, S. M. S. (2024). The burden of cardiovascular disease attributable to high dietary sodium intake </w:t>
      </w:r>
      <w:r w:rsidRPr="00F61D64">
        <w:lastRenderedPageBreak/>
        <w:t xml:space="preserve">in Australia between 1990 and 2019. </w:t>
      </w:r>
      <w:r w:rsidRPr="00F61D64">
        <w:rPr>
          <w:i/>
        </w:rPr>
        <w:t>J Hypertens</w:t>
      </w:r>
      <w:r w:rsidRPr="00F61D64">
        <w:t>,</w:t>
      </w:r>
      <w:r w:rsidRPr="00F61D64">
        <w:rPr>
          <w:i/>
        </w:rPr>
        <w:t xml:space="preserve"> 42</w:t>
      </w:r>
      <w:r w:rsidRPr="00F61D64">
        <w:t xml:space="preserve">(7), 1163-1172. </w:t>
      </w:r>
      <w:hyperlink r:id="rId153" w:history="1">
        <w:r w:rsidRPr="00F61D64">
          <w:rPr>
            <w:rStyle w:val="Hyperlink"/>
          </w:rPr>
          <w:t>https://doi.org/10.1097/hjh.0000000000003699</w:t>
        </w:r>
      </w:hyperlink>
      <w:r w:rsidRPr="00F61D64">
        <w:t xml:space="preserve"> </w:t>
      </w:r>
    </w:p>
    <w:p w14:paraId="5F5037FC" w14:textId="77777777" w:rsidR="00F61D64" w:rsidRPr="00F61D64" w:rsidRDefault="00F61D64" w:rsidP="00F61D64">
      <w:pPr>
        <w:pStyle w:val="EndNoteBibliography"/>
        <w:spacing w:after="0"/>
        <w:ind w:left="720" w:hanging="720"/>
      </w:pPr>
      <w:r w:rsidRPr="00F61D64">
        <w:t xml:space="preserve">Morriss, F. H., Jr., Brewer, E. D., Spedale, S. B., Riddle, L., Temple, D. M., Caprioli, R. M., &amp; West, M. S. (1986). Relationship of human milk pH during course of lactation to concentrations of citrate and fatty acids. </w:t>
      </w:r>
      <w:r w:rsidRPr="00F61D64">
        <w:rPr>
          <w:i/>
        </w:rPr>
        <w:t>Pediatrics</w:t>
      </w:r>
      <w:r w:rsidRPr="00F61D64">
        <w:t>,</w:t>
      </w:r>
      <w:r w:rsidRPr="00F61D64">
        <w:rPr>
          <w:i/>
        </w:rPr>
        <w:t xml:space="preserve"> 78</w:t>
      </w:r>
      <w:r w:rsidRPr="00F61D64">
        <w:t xml:space="preserve">(3), 458-464. </w:t>
      </w:r>
    </w:p>
    <w:p w14:paraId="197F4753" w14:textId="5A12853A" w:rsidR="00F61D64" w:rsidRPr="00F61D64" w:rsidRDefault="00F61D64" w:rsidP="00F61D64">
      <w:pPr>
        <w:pStyle w:val="EndNoteBibliography"/>
        <w:spacing w:after="0"/>
        <w:ind w:left="720" w:hanging="720"/>
      </w:pPr>
      <w:r w:rsidRPr="00F61D64">
        <w:t xml:space="preserve">Motil, K. J., Kertz, B., &amp; Thotathuchery, M. (1997). Lactational performance of adolescent mothers shows preliminary differences from that of adult women. </w:t>
      </w:r>
      <w:r w:rsidRPr="00F61D64">
        <w:rPr>
          <w:i/>
        </w:rPr>
        <w:t>J Adolesc Health</w:t>
      </w:r>
      <w:r w:rsidRPr="00F61D64">
        <w:t>,</w:t>
      </w:r>
      <w:r w:rsidRPr="00F61D64">
        <w:rPr>
          <w:i/>
        </w:rPr>
        <w:t xml:space="preserve"> 20</w:t>
      </w:r>
      <w:r w:rsidRPr="00F61D64">
        <w:t xml:space="preserve">(6), 442-449. </w:t>
      </w:r>
      <w:hyperlink r:id="rId154" w:history="1">
        <w:r w:rsidRPr="00F61D64">
          <w:rPr>
            <w:rStyle w:val="Hyperlink"/>
          </w:rPr>
          <w:t>https://doi.org/10.1016/s1054-139x(97)00036-0</w:t>
        </w:r>
      </w:hyperlink>
      <w:r w:rsidRPr="00F61D64">
        <w:t xml:space="preserve"> </w:t>
      </w:r>
    </w:p>
    <w:p w14:paraId="3D9EB5E5" w14:textId="794A976E" w:rsidR="00F61D64" w:rsidRPr="00F61D64" w:rsidRDefault="00F61D64" w:rsidP="00F61D64">
      <w:pPr>
        <w:pStyle w:val="EndNoteBibliography"/>
        <w:spacing w:after="0"/>
        <w:ind w:left="720" w:hanging="720"/>
      </w:pPr>
      <w:r w:rsidRPr="00F61D64">
        <w:t xml:space="preserve">National Academies of Sciences, E., and Medicine. (2019). </w:t>
      </w:r>
      <w:r w:rsidRPr="00F61D64">
        <w:rPr>
          <w:i/>
        </w:rPr>
        <w:t>Dietary Reference Intakes for Sodium and Potassium</w:t>
      </w:r>
      <w:r w:rsidRPr="00F61D64">
        <w:t xml:space="preserve"> (H. M. Oria M, Stallings VA,, Ed.). National Academies Press (US). </w:t>
      </w:r>
      <w:hyperlink r:id="rId155" w:history="1">
        <w:r w:rsidRPr="00F61D64">
          <w:rPr>
            <w:rStyle w:val="Hyperlink"/>
          </w:rPr>
          <w:t>https://www.ncbi.nlm.nih.gov/sites/books/NBK545445/</w:t>
        </w:r>
      </w:hyperlink>
      <w:r w:rsidRPr="00F61D64">
        <w:t xml:space="preserve"> </w:t>
      </w:r>
    </w:p>
    <w:p w14:paraId="1E863813" w14:textId="77777777" w:rsidR="00F61D64" w:rsidRPr="00F61D64" w:rsidRDefault="00F61D64" w:rsidP="00F61D64">
      <w:pPr>
        <w:pStyle w:val="EndNoteBibliography"/>
        <w:spacing w:after="0"/>
        <w:ind w:left="720" w:hanging="720"/>
      </w:pPr>
      <w:r w:rsidRPr="00F61D64">
        <w:t xml:space="preserve">National Health and Medical Research Council, N. (2006a). </w:t>
      </w:r>
      <w:r w:rsidRPr="00F61D64">
        <w:rPr>
          <w:i/>
        </w:rPr>
        <w:t>Evidence Appendix for the 2006 Nutrient Reference Values for Australia and New Zealand</w:t>
      </w:r>
      <w:r w:rsidRPr="00F61D64">
        <w:t>. Canberra, ACT</w:t>
      </w:r>
    </w:p>
    <w:p w14:paraId="0685219A" w14:textId="4CDF3453" w:rsidR="00F61D64" w:rsidRPr="00F61D64" w:rsidRDefault="00F61D64" w:rsidP="00F61D64">
      <w:pPr>
        <w:pStyle w:val="EndNoteBibliography"/>
        <w:spacing w:after="0"/>
        <w:ind w:left="720" w:hanging="720"/>
      </w:pPr>
      <w:r w:rsidRPr="00F61D64">
        <w:t xml:space="preserve">National Health and Medical Research Council, N. (2006b). </w:t>
      </w:r>
      <w:r w:rsidRPr="00F61D64">
        <w:rPr>
          <w:i/>
        </w:rPr>
        <w:t>Nutrient Reference Values for Australia and New Zealand</w:t>
      </w:r>
      <w:r w:rsidRPr="00F61D64">
        <w:t xml:space="preserve">. Canberra: NHMRC Retrieved from </w:t>
      </w:r>
      <w:hyperlink r:id="rId156" w:history="1">
        <w:r w:rsidRPr="00F61D64">
          <w:rPr>
            <w:rStyle w:val="Hyperlink"/>
          </w:rPr>
          <w:t>https://www.nhmrc.gov.au/about-us/publications/nutrient-reference-values-australia-and-new-zealand-including-recommended-dietary-intakes</w:t>
        </w:r>
      </w:hyperlink>
    </w:p>
    <w:p w14:paraId="22FAAA6F" w14:textId="77777777" w:rsidR="00F61D64" w:rsidRPr="00F61D64" w:rsidRDefault="00F61D64" w:rsidP="00F61D64">
      <w:pPr>
        <w:pStyle w:val="EndNoteBibliography"/>
        <w:spacing w:after="0"/>
        <w:ind w:left="720" w:hanging="720"/>
      </w:pPr>
      <w:r w:rsidRPr="00F61D64">
        <w:t>National Health and Medical Research Council, N. (2011). A Modelling System to Inform the Revision of the Australian Guide to Healthy Eating. In N. National Health and Medical Research Council (Ed.). Canberra, ACT.</w:t>
      </w:r>
    </w:p>
    <w:p w14:paraId="0039D4A0" w14:textId="34F3683B" w:rsidR="00F61D64" w:rsidRPr="00F61D64" w:rsidRDefault="00F61D64" w:rsidP="00F61D64">
      <w:pPr>
        <w:pStyle w:val="EndNoteBibliography"/>
        <w:spacing w:after="0"/>
        <w:ind w:left="720" w:hanging="720"/>
      </w:pPr>
      <w:r w:rsidRPr="00F61D64">
        <w:t xml:space="preserve">National Health and Medical Research Council, N. (2013). </w:t>
      </w:r>
      <w:r w:rsidRPr="00F61D64">
        <w:rPr>
          <w:i/>
        </w:rPr>
        <w:t>Australian Dietary Guidelines - Educator Guide</w:t>
      </w:r>
      <w:r w:rsidRPr="00F61D64">
        <w:t xml:space="preserve">. Canberra Retrieved from </w:t>
      </w:r>
      <w:hyperlink r:id="rId157" w:history="1">
        <w:r w:rsidRPr="00F61D64">
          <w:rPr>
            <w:rStyle w:val="Hyperlink"/>
          </w:rPr>
          <w:t>https://www.eatforhealth.gov.au/sites/default/files/files/the_guidelines/n55b_eat_for_health_educators_guide.pdf</w:t>
        </w:r>
      </w:hyperlink>
    </w:p>
    <w:p w14:paraId="24F64C07" w14:textId="086DB033" w:rsidR="00F61D64" w:rsidRPr="00F61D64" w:rsidRDefault="00F61D64" w:rsidP="00F61D64">
      <w:pPr>
        <w:pStyle w:val="EndNoteBibliography"/>
        <w:spacing w:after="0"/>
        <w:ind w:left="720" w:hanging="720"/>
      </w:pPr>
      <w:r w:rsidRPr="00F61D64">
        <w:t xml:space="preserve">National Health and Medical Research Council, N. (2019). </w:t>
      </w:r>
      <w:r w:rsidRPr="00F61D64">
        <w:rPr>
          <w:i/>
        </w:rPr>
        <w:t>Policy on the Disclosure of Interests Requirements for Prospective and Appointed NHMRC Committee Members</w:t>
      </w:r>
      <w:r w:rsidRPr="00F61D64">
        <w:t xml:space="preserve">.  Retrieved from </w:t>
      </w:r>
      <w:hyperlink r:id="rId158" w:history="1">
        <w:r w:rsidRPr="00F61D64">
          <w:rPr>
            <w:rStyle w:val="Hyperlink"/>
          </w:rPr>
          <w:t>https://www.nhmrc.gov.au/sites/default/files/documents/attachments/publications/policy-on-the-disclosure-of-interests-requirements.pdf</w:t>
        </w:r>
      </w:hyperlink>
    </w:p>
    <w:p w14:paraId="0A1F0010" w14:textId="77777777" w:rsidR="00F61D64" w:rsidRPr="00F61D64" w:rsidRDefault="00F61D64" w:rsidP="00F61D64">
      <w:pPr>
        <w:pStyle w:val="EndNoteBibliography"/>
        <w:spacing w:after="0"/>
        <w:ind w:left="720" w:hanging="720"/>
      </w:pPr>
      <w:r w:rsidRPr="00F61D64">
        <w:t xml:space="preserve">National Health and Medical Research Council, N. (2026). </w:t>
      </w:r>
      <w:r w:rsidRPr="00F61D64">
        <w:rPr>
          <w:i/>
        </w:rPr>
        <w:t>Methodological Framework for the Review of Nutrient Reference Values</w:t>
      </w:r>
      <w:r w:rsidRPr="00F61D64">
        <w:t>. Canberra, ACT: NHMRC Retrieved from URL TBC ONCE PUBLISHED</w:t>
      </w:r>
    </w:p>
    <w:p w14:paraId="6CF4E82F" w14:textId="1E28A954" w:rsidR="00F61D64" w:rsidRPr="00F61D64" w:rsidRDefault="00F61D64" w:rsidP="00F61D64">
      <w:pPr>
        <w:pStyle w:val="EndNoteBibliography"/>
        <w:spacing w:after="0"/>
        <w:ind w:left="720" w:hanging="720"/>
      </w:pPr>
      <w:r w:rsidRPr="00F61D64">
        <w:t xml:space="preserve">Ndanuko, R. N., Ibrahim, R., Hapsari, R. A., Neale, E. P., Raubenheimer, D., &amp; Charlton, K. E. (2021). Association between the Urinary Sodium to Potassium Ratio and Blood Pressure in Adults: A Systematic Review and Meta-Analysis. </w:t>
      </w:r>
      <w:r w:rsidRPr="00F61D64">
        <w:rPr>
          <w:i/>
        </w:rPr>
        <w:t>Adv Nutr</w:t>
      </w:r>
      <w:r w:rsidRPr="00F61D64">
        <w:t>,</w:t>
      </w:r>
      <w:r w:rsidRPr="00F61D64">
        <w:rPr>
          <w:i/>
        </w:rPr>
        <w:t xml:space="preserve"> 12</w:t>
      </w:r>
      <w:r w:rsidRPr="00F61D64">
        <w:t xml:space="preserve">(5), 1751-1767. </w:t>
      </w:r>
      <w:hyperlink r:id="rId159" w:history="1">
        <w:r w:rsidRPr="00F61D64">
          <w:rPr>
            <w:rStyle w:val="Hyperlink"/>
          </w:rPr>
          <w:t>https://doi.org/10.1093/advances/nmab036</w:t>
        </w:r>
      </w:hyperlink>
      <w:r w:rsidRPr="00F61D64">
        <w:t xml:space="preserve"> </w:t>
      </w:r>
    </w:p>
    <w:p w14:paraId="588BE473" w14:textId="2875795B" w:rsidR="00F61D64" w:rsidRPr="00F61D64" w:rsidRDefault="00F61D64" w:rsidP="00F61D64">
      <w:pPr>
        <w:pStyle w:val="EndNoteBibliography"/>
        <w:spacing w:after="0"/>
        <w:ind w:left="720" w:hanging="720"/>
      </w:pPr>
      <w:r w:rsidRPr="00F61D64">
        <w:t xml:space="preserve">New Zealand Food Safety. (2018). </w:t>
      </w:r>
      <w:r w:rsidRPr="00F61D64">
        <w:rPr>
          <w:i/>
        </w:rPr>
        <w:t>New Zealand Total Diet Study 2016</w:t>
      </w:r>
      <w:r w:rsidRPr="00F61D64">
        <w:t xml:space="preserve">.  Retrieved from </w:t>
      </w:r>
      <w:hyperlink r:id="rId160" w:history="1">
        <w:r w:rsidRPr="00F61D64">
          <w:rPr>
            <w:rStyle w:val="Hyperlink"/>
          </w:rPr>
          <w:t>https://www.mpi.govt.nz/dmsdocument/43663-2016-NZ-Total-Diet-Study-without-Appendices-report-</w:t>
        </w:r>
      </w:hyperlink>
    </w:p>
    <w:p w14:paraId="0A0C6CBE" w14:textId="77777777" w:rsidR="00F61D64" w:rsidRPr="00F61D64" w:rsidRDefault="00F61D64" w:rsidP="00F61D64">
      <w:pPr>
        <w:pStyle w:val="EndNoteBibliography"/>
        <w:spacing w:after="0"/>
        <w:ind w:left="720" w:hanging="720"/>
      </w:pPr>
      <w:r w:rsidRPr="00F61D64">
        <w:t xml:space="preserve">Newberry, S. J., Chung, M., Anderson, C. A. M., Chen, C., Fu, Z., Tang, A., Zhao, N., Booth, M., Marks, J., Hollands, S., Motala, A., Larkin, J., Shanman, R., &amp; Hempel, S. (2018). Sodium and Potassium Intake: Effects on Chronic Disease Outcomes and Risks. In. Agency for Healthcare Research and Quality (US). </w:t>
      </w:r>
    </w:p>
    <w:p w14:paraId="30CFC465" w14:textId="4F51DB4B" w:rsidR="00F61D64" w:rsidRPr="00F61D64" w:rsidRDefault="00F61D64" w:rsidP="00F61D64">
      <w:pPr>
        <w:pStyle w:val="EndNoteBibliography"/>
        <w:spacing w:after="0"/>
        <w:ind w:left="720" w:hanging="720"/>
      </w:pPr>
      <w:r w:rsidRPr="00F61D64">
        <w:t xml:space="preserve">Nowson, C., Lim, K., Land, M. A., Webster, J., Shaw, J. E., Chalmers, J., Flood, V., Woodward, M., &amp; Grimes, C. (2018). Salt intake and dietary sources of salt on weekdays and weekend days in Australian adults. </w:t>
      </w:r>
      <w:r w:rsidRPr="00F61D64">
        <w:rPr>
          <w:i/>
        </w:rPr>
        <w:t>Public Health Nutr</w:t>
      </w:r>
      <w:r w:rsidRPr="00F61D64">
        <w:t>,</w:t>
      </w:r>
      <w:r w:rsidRPr="00F61D64">
        <w:rPr>
          <w:i/>
        </w:rPr>
        <w:t xml:space="preserve"> 21</w:t>
      </w:r>
      <w:r w:rsidRPr="00F61D64">
        <w:t xml:space="preserve">(12), 2174-2182. </w:t>
      </w:r>
      <w:hyperlink r:id="rId161" w:history="1">
        <w:r w:rsidRPr="00F61D64">
          <w:rPr>
            <w:rStyle w:val="Hyperlink"/>
          </w:rPr>
          <w:t>https://doi.org/10.1017/s1368980017004104</w:t>
        </w:r>
      </w:hyperlink>
      <w:r w:rsidRPr="00F61D64">
        <w:t xml:space="preserve"> </w:t>
      </w:r>
    </w:p>
    <w:p w14:paraId="6BD881AF" w14:textId="2A1E08E4" w:rsidR="00F61D64" w:rsidRPr="00F61D64" w:rsidRDefault="00F61D64" w:rsidP="00F61D64">
      <w:pPr>
        <w:pStyle w:val="EndNoteBibliography"/>
        <w:spacing w:after="0"/>
        <w:ind w:left="720" w:hanging="720"/>
      </w:pPr>
      <w:r w:rsidRPr="00F61D64">
        <w:t xml:space="preserve">NSW Government Agency for Clincal Innovation. (2026). </w:t>
      </w:r>
      <w:r w:rsidRPr="00F61D64">
        <w:rPr>
          <w:i/>
        </w:rPr>
        <w:t>Nutrient Goal Standard for adult patients</w:t>
      </w:r>
      <w:r w:rsidRPr="00F61D64">
        <w:t xml:space="preserve">.  Retrieved from </w:t>
      </w:r>
      <w:hyperlink r:id="rId162" w:anchor="sodium" w:history="1">
        <w:r w:rsidRPr="00F61D64">
          <w:rPr>
            <w:rStyle w:val="Hyperlink"/>
          </w:rPr>
          <w:t>https://aci.health.nsw.gov.au/projects/nutrition-standards/adult/nutrient-goals#sodium</w:t>
        </w:r>
      </w:hyperlink>
    </w:p>
    <w:p w14:paraId="2EE9370B" w14:textId="65C2AE44" w:rsidR="00F61D64" w:rsidRPr="00F61D64" w:rsidRDefault="00F61D64" w:rsidP="00F61D64">
      <w:pPr>
        <w:pStyle w:val="EndNoteBibliography"/>
        <w:spacing w:after="0"/>
        <w:ind w:left="720" w:hanging="720"/>
      </w:pPr>
      <w:r w:rsidRPr="00F61D64">
        <w:lastRenderedPageBreak/>
        <w:t xml:space="preserve">O'Halloran, S. A., Grimes, C. A., Lacy, K. E., Nowson, C. A., &amp; Campbell, K. J. (2016). Dietary sources and sodium intake in a sample of Australian preschool children. </w:t>
      </w:r>
      <w:r w:rsidRPr="00F61D64">
        <w:rPr>
          <w:i/>
        </w:rPr>
        <w:t>BMJ Open</w:t>
      </w:r>
      <w:r w:rsidRPr="00F61D64">
        <w:t>,</w:t>
      </w:r>
      <w:r w:rsidRPr="00F61D64">
        <w:rPr>
          <w:i/>
        </w:rPr>
        <w:t xml:space="preserve"> 6</w:t>
      </w:r>
      <w:r w:rsidRPr="00F61D64">
        <w:t xml:space="preserve">(2), e008698. </w:t>
      </w:r>
      <w:hyperlink r:id="rId163" w:history="1">
        <w:r w:rsidRPr="00F61D64">
          <w:rPr>
            <w:rStyle w:val="Hyperlink"/>
          </w:rPr>
          <w:t>https://doi.org/10.1136/bmjopen-2015-008698</w:t>
        </w:r>
      </w:hyperlink>
      <w:r w:rsidRPr="00F61D64">
        <w:t xml:space="preserve"> </w:t>
      </w:r>
    </w:p>
    <w:p w14:paraId="3FE83142" w14:textId="23969293" w:rsidR="00F61D64" w:rsidRPr="00F61D64" w:rsidRDefault="00F61D64" w:rsidP="00F61D64">
      <w:pPr>
        <w:pStyle w:val="EndNoteBibliography"/>
        <w:spacing w:after="0"/>
        <w:ind w:left="720" w:hanging="720"/>
      </w:pPr>
      <w:r w:rsidRPr="00F61D64">
        <w:t xml:space="preserve">Oliver, W. J., Neel, J. V., Grekin, R. J., &amp; Cohen, E. L. (1981). Hormonal adaptation to the stresses imposed upon sodium balance by pregnancy and lactation in the Yanomama Indians, a culture without salt. </w:t>
      </w:r>
      <w:r w:rsidRPr="00F61D64">
        <w:rPr>
          <w:i/>
        </w:rPr>
        <w:t>Circulation</w:t>
      </w:r>
      <w:r w:rsidRPr="00F61D64">
        <w:t>,</w:t>
      </w:r>
      <w:r w:rsidRPr="00F61D64">
        <w:rPr>
          <w:i/>
        </w:rPr>
        <w:t xml:space="preserve"> 63</w:t>
      </w:r>
      <w:r w:rsidRPr="00F61D64">
        <w:t xml:space="preserve">(1), 110-116. </w:t>
      </w:r>
      <w:hyperlink r:id="rId164" w:history="1">
        <w:r w:rsidRPr="00F61D64">
          <w:rPr>
            <w:rStyle w:val="Hyperlink"/>
          </w:rPr>
          <w:t>https://doi.org/10.1161/01.cir.63.1.110</w:t>
        </w:r>
      </w:hyperlink>
      <w:r w:rsidRPr="00F61D64">
        <w:t xml:space="preserve"> </w:t>
      </w:r>
    </w:p>
    <w:p w14:paraId="2B91C0B8" w14:textId="77777777" w:rsidR="00F61D64" w:rsidRPr="00F61D64" w:rsidRDefault="00F61D64" w:rsidP="00F61D64">
      <w:pPr>
        <w:pStyle w:val="EndNoteBibliography"/>
        <w:spacing w:after="0"/>
        <w:ind w:left="720" w:hanging="720"/>
      </w:pPr>
      <w:r w:rsidRPr="00F61D64">
        <w:t xml:space="preserve">Organization, W. H. (2012). Report of the Formal Meeting of Member States to conclude the work on the comprehensive global monitoring framework, including indicators, and a set of voluntary global targets for the prevention and control of noncommunicable diseases. </w:t>
      </w:r>
      <w:r w:rsidRPr="00F61D64">
        <w:rPr>
          <w:i/>
        </w:rPr>
        <w:t>World Health Organization: Geneva, Switzerland</w:t>
      </w:r>
      <w:r w:rsidRPr="00F61D64">
        <w:t>,</w:t>
      </w:r>
      <w:r w:rsidRPr="00F61D64">
        <w:rPr>
          <w:i/>
        </w:rPr>
        <w:t xml:space="preserve"> 6</w:t>
      </w:r>
      <w:r w:rsidRPr="00F61D64">
        <w:t xml:space="preserve">. </w:t>
      </w:r>
    </w:p>
    <w:p w14:paraId="62AB75DE" w14:textId="279152A8" w:rsidR="00F61D64" w:rsidRPr="00F61D64" w:rsidRDefault="00F61D64" w:rsidP="00F61D64">
      <w:pPr>
        <w:pStyle w:val="EndNoteBibliography"/>
        <w:spacing w:after="0"/>
        <w:ind w:left="720" w:hanging="720"/>
      </w:pPr>
      <w:r w:rsidRPr="00F61D64">
        <w:t xml:space="preserve">Palacios, C., Wigertz, K., Martin, B. R., Jackman, L., Pratt, J. H., Peacock, M., McCabe, G., &amp; Weaver, C. M. (2004). Sodium retention in black and white female adolescents in response to salt intake. </w:t>
      </w:r>
      <w:r w:rsidRPr="00F61D64">
        <w:rPr>
          <w:i/>
        </w:rPr>
        <w:t>J Clin Endocrinol Metab</w:t>
      </w:r>
      <w:r w:rsidRPr="00F61D64">
        <w:t>,</w:t>
      </w:r>
      <w:r w:rsidRPr="00F61D64">
        <w:rPr>
          <w:i/>
        </w:rPr>
        <w:t xml:space="preserve"> 89</w:t>
      </w:r>
      <w:r w:rsidRPr="00F61D64">
        <w:t xml:space="preserve">(4), 1858-1863. </w:t>
      </w:r>
      <w:hyperlink r:id="rId165" w:history="1">
        <w:r w:rsidRPr="00F61D64">
          <w:rPr>
            <w:rStyle w:val="Hyperlink"/>
          </w:rPr>
          <w:t>https://doi.org/10.1210/jc.2003-031446</w:t>
        </w:r>
      </w:hyperlink>
      <w:r w:rsidRPr="00F61D64">
        <w:t xml:space="preserve"> </w:t>
      </w:r>
    </w:p>
    <w:p w14:paraId="0BFFDCF3" w14:textId="16354359" w:rsidR="00F61D64" w:rsidRPr="00F61D64" w:rsidRDefault="00F61D64" w:rsidP="00F61D64">
      <w:pPr>
        <w:pStyle w:val="EndNoteBibliography"/>
        <w:spacing w:after="0"/>
        <w:ind w:left="720" w:hanging="720"/>
      </w:pPr>
      <w:r w:rsidRPr="00F61D64">
        <w:t xml:space="preserve">Parker, M., Puddey, I. B., Beilin, L. J., &amp; Vandongen, R. (1990). Two-way factorial study of alcohol and salt restriction in treated hypertensive men. </w:t>
      </w:r>
      <w:r w:rsidRPr="00F61D64">
        <w:rPr>
          <w:i/>
        </w:rPr>
        <w:t>Hypertension</w:t>
      </w:r>
      <w:r w:rsidRPr="00F61D64">
        <w:t>,</w:t>
      </w:r>
      <w:r w:rsidRPr="00F61D64">
        <w:rPr>
          <w:i/>
        </w:rPr>
        <w:t xml:space="preserve"> 16</w:t>
      </w:r>
      <w:r w:rsidRPr="00F61D64">
        <w:t xml:space="preserve">(4), 398-406. </w:t>
      </w:r>
      <w:hyperlink r:id="rId166" w:history="1">
        <w:r w:rsidRPr="00F61D64">
          <w:rPr>
            <w:rStyle w:val="Hyperlink"/>
          </w:rPr>
          <w:t>https://doi.org/10.1161/01.hyp.16.4.398</w:t>
        </w:r>
      </w:hyperlink>
      <w:r w:rsidRPr="00F61D64">
        <w:t xml:space="preserve"> </w:t>
      </w:r>
    </w:p>
    <w:p w14:paraId="28EED320" w14:textId="27B7A44D" w:rsidR="00F61D64" w:rsidRPr="00F61D64" w:rsidRDefault="00F61D64" w:rsidP="00F61D64">
      <w:pPr>
        <w:pStyle w:val="EndNoteBibliography"/>
        <w:spacing w:after="0"/>
        <w:ind w:left="720" w:hanging="720"/>
      </w:pPr>
      <w:r w:rsidRPr="00F61D64">
        <w:t xml:space="preserve">Perez, V., &amp; Chang, E. T. (2014). Sodium-to-potassium ratio and blood pressure, hypertension, and related factors. </w:t>
      </w:r>
      <w:r w:rsidRPr="00F61D64">
        <w:rPr>
          <w:i/>
        </w:rPr>
        <w:t>Adv Nutr</w:t>
      </w:r>
      <w:r w:rsidRPr="00F61D64">
        <w:t>,</w:t>
      </w:r>
      <w:r w:rsidRPr="00F61D64">
        <w:rPr>
          <w:i/>
        </w:rPr>
        <w:t xml:space="preserve"> 5</w:t>
      </w:r>
      <w:r w:rsidRPr="00F61D64">
        <w:t xml:space="preserve">(6), 712-741. </w:t>
      </w:r>
      <w:hyperlink r:id="rId167" w:history="1">
        <w:r w:rsidRPr="00F61D64">
          <w:rPr>
            <w:rStyle w:val="Hyperlink"/>
          </w:rPr>
          <w:t>https://doi.org/10.3945/an.114.006783</w:t>
        </w:r>
      </w:hyperlink>
      <w:r w:rsidRPr="00F61D64">
        <w:t xml:space="preserve"> </w:t>
      </w:r>
    </w:p>
    <w:p w14:paraId="725B1ECC" w14:textId="0FD6C9F4" w:rsidR="00F61D64" w:rsidRPr="00F61D64" w:rsidRDefault="00F61D64" w:rsidP="00F61D64">
      <w:pPr>
        <w:pStyle w:val="EndNoteBibliography"/>
        <w:spacing w:after="0"/>
        <w:ind w:left="720" w:hanging="720"/>
      </w:pPr>
      <w:r w:rsidRPr="00F61D64">
        <w:t xml:space="preserve">Perrin, M. T., Fogleman, A. D., Newburg, D. S., &amp; Allen, J. C. (2017). A longitudinal study of human milk composition in the second year postpartum: implications for human milk banking. </w:t>
      </w:r>
      <w:r w:rsidRPr="00F61D64">
        <w:rPr>
          <w:i/>
        </w:rPr>
        <w:t>Matern Child Nutr</w:t>
      </w:r>
      <w:r w:rsidRPr="00F61D64">
        <w:t>,</w:t>
      </w:r>
      <w:r w:rsidRPr="00F61D64">
        <w:rPr>
          <w:i/>
        </w:rPr>
        <w:t xml:space="preserve"> 13</w:t>
      </w:r>
      <w:r w:rsidRPr="00F61D64">
        <w:t xml:space="preserve">(1). </w:t>
      </w:r>
      <w:hyperlink r:id="rId168" w:history="1">
        <w:r w:rsidRPr="00F61D64">
          <w:rPr>
            <w:rStyle w:val="Hyperlink"/>
          </w:rPr>
          <w:t>https://doi.org/10.1111/mcn.12239</w:t>
        </w:r>
      </w:hyperlink>
      <w:r w:rsidRPr="00F61D64">
        <w:t xml:space="preserve"> </w:t>
      </w:r>
    </w:p>
    <w:p w14:paraId="2E49EB8D" w14:textId="564CFABC" w:rsidR="00F61D64" w:rsidRPr="00F61D64" w:rsidRDefault="00F61D64" w:rsidP="00F61D64">
      <w:pPr>
        <w:pStyle w:val="EndNoteBibliography"/>
        <w:spacing w:after="0"/>
        <w:ind w:left="720" w:hanging="720"/>
      </w:pPr>
      <w:r w:rsidRPr="00F61D64">
        <w:t xml:space="preserve">Petersen, K. S., Malta, D., Rae, S., Dash, S., Webster, J., McLean, R., Thout, S. R., Campbell, N. R. C., &amp; Arcand, J. (2020). Further evidence that methods based on spot urine samples should not be used to examine sodium-disease relationships from the Science of Salt: A regularly updated systematic review of salt and health outcomes (November 2018 to August 2019). </w:t>
      </w:r>
      <w:r w:rsidRPr="00F61D64">
        <w:rPr>
          <w:i/>
        </w:rPr>
        <w:t>J Clin Hypertens (Greenwich)</w:t>
      </w:r>
      <w:r w:rsidRPr="00F61D64">
        <w:t>,</w:t>
      </w:r>
      <w:r w:rsidRPr="00F61D64">
        <w:rPr>
          <w:i/>
        </w:rPr>
        <w:t xml:space="preserve"> 22</w:t>
      </w:r>
      <w:r w:rsidRPr="00F61D64">
        <w:t xml:space="preserve">(10), 1741-1753. </w:t>
      </w:r>
      <w:hyperlink r:id="rId169" w:history="1">
        <w:r w:rsidRPr="00F61D64">
          <w:rPr>
            <w:rStyle w:val="Hyperlink"/>
          </w:rPr>
          <w:t>https://doi.org/10.1111/jch.13958</w:t>
        </w:r>
      </w:hyperlink>
      <w:r w:rsidRPr="00F61D64">
        <w:t xml:space="preserve"> </w:t>
      </w:r>
    </w:p>
    <w:p w14:paraId="40F58C33" w14:textId="6D316E93" w:rsidR="00F61D64" w:rsidRPr="00F61D64" w:rsidRDefault="00F61D64" w:rsidP="00F61D64">
      <w:pPr>
        <w:pStyle w:val="EndNoteBibliography"/>
        <w:spacing w:after="0"/>
        <w:ind w:left="720" w:hanging="720"/>
      </w:pPr>
      <w:r w:rsidRPr="00F61D64">
        <w:t xml:space="preserve">Picciano, M. F., Calkins, E. J., Garrick, J. R., &amp; Deering, R. H. (1981). Milk and mineral intakes of breastfed infants. </w:t>
      </w:r>
      <w:r w:rsidRPr="00F61D64">
        <w:rPr>
          <w:i/>
        </w:rPr>
        <w:t>Acta Paediatr Scand</w:t>
      </w:r>
      <w:r w:rsidRPr="00F61D64">
        <w:t>,</w:t>
      </w:r>
      <w:r w:rsidRPr="00F61D64">
        <w:rPr>
          <w:i/>
        </w:rPr>
        <w:t xml:space="preserve"> 70</w:t>
      </w:r>
      <w:r w:rsidRPr="00F61D64">
        <w:t xml:space="preserve">(2), 189-194. </w:t>
      </w:r>
      <w:hyperlink r:id="rId170" w:history="1">
        <w:r w:rsidRPr="00F61D64">
          <w:rPr>
            <w:rStyle w:val="Hyperlink"/>
          </w:rPr>
          <w:t>https://doi.org/10.1111/j.1651-2227.1981.tb05540.x</w:t>
        </w:r>
      </w:hyperlink>
      <w:r w:rsidRPr="00F61D64">
        <w:t xml:space="preserve"> </w:t>
      </w:r>
    </w:p>
    <w:p w14:paraId="2EE69B03" w14:textId="77777777" w:rsidR="00F61D64" w:rsidRPr="00F61D64" w:rsidRDefault="00F61D64" w:rsidP="00F61D64">
      <w:pPr>
        <w:pStyle w:val="EndNoteBibliography"/>
        <w:spacing w:after="0"/>
        <w:ind w:left="720" w:hanging="720"/>
      </w:pPr>
      <w:r w:rsidRPr="00F61D64">
        <w:t xml:space="preserve">Pitkin, R. M., Kaminetzky, H. A., Newton, M., &amp; Pritchard, J. A. (1972). Maternal nutrition. A selective review of clinical topics. </w:t>
      </w:r>
      <w:r w:rsidRPr="00F61D64">
        <w:rPr>
          <w:i/>
        </w:rPr>
        <w:t>Obstet Gynecol</w:t>
      </w:r>
      <w:r w:rsidRPr="00F61D64">
        <w:t>,</w:t>
      </w:r>
      <w:r w:rsidRPr="00F61D64">
        <w:rPr>
          <w:i/>
        </w:rPr>
        <w:t xml:space="preserve"> 40</w:t>
      </w:r>
      <w:r w:rsidRPr="00F61D64">
        <w:t xml:space="preserve">(6), 773-785. </w:t>
      </w:r>
    </w:p>
    <w:p w14:paraId="2DAF5156" w14:textId="49F01A89" w:rsidR="00F61D64" w:rsidRPr="00F61D64" w:rsidRDefault="00F61D64" w:rsidP="00F61D64">
      <w:pPr>
        <w:pStyle w:val="EndNoteBibliography"/>
        <w:spacing w:after="0"/>
        <w:ind w:left="720" w:hanging="720"/>
      </w:pPr>
      <w:r w:rsidRPr="00F61D64">
        <w:t xml:space="preserve">Rosewarne, E., Santos, J. A., Hoek, A., Grimes, C., Nowson, C., Webster, J., &amp; Bolton, K. A. (2021). Are there socio-demographic differences in salt behaviours and fruit and vegetable consumption in Australian adults? A nationally representative cross-sectional survey. </w:t>
      </w:r>
      <w:r w:rsidRPr="00F61D64">
        <w:rPr>
          <w:i/>
        </w:rPr>
        <w:t>Nutrition journal</w:t>
      </w:r>
      <w:r w:rsidRPr="00F61D64">
        <w:t>,</w:t>
      </w:r>
      <w:r w:rsidRPr="00F61D64">
        <w:rPr>
          <w:i/>
        </w:rPr>
        <w:t xml:space="preserve"> 20</w:t>
      </w:r>
      <w:r w:rsidRPr="00F61D64">
        <w:t xml:space="preserve">(1), 77. </w:t>
      </w:r>
      <w:hyperlink r:id="rId171" w:history="1">
        <w:r w:rsidRPr="00F61D64">
          <w:rPr>
            <w:rStyle w:val="Hyperlink"/>
          </w:rPr>
          <w:t>https://doi.org/10.1186/s12937-021-00734-0</w:t>
        </w:r>
      </w:hyperlink>
      <w:r w:rsidRPr="00F61D64">
        <w:t xml:space="preserve"> </w:t>
      </w:r>
    </w:p>
    <w:p w14:paraId="0F9F1C01" w14:textId="72C97D44" w:rsidR="00F61D64" w:rsidRPr="00F61D64" w:rsidRDefault="00F61D64" w:rsidP="00F61D64">
      <w:pPr>
        <w:pStyle w:val="EndNoteBibliography"/>
        <w:spacing w:after="0"/>
        <w:ind w:left="720" w:hanging="720"/>
      </w:pPr>
      <w:r w:rsidRPr="00F61D64">
        <w:t xml:space="preserve">Sacks, F. M., Svetkey, L. P., Vollmer, W. M., Appel, L. J., Bray, G. A., Harsha, D., Obarzanek, E., Conlin, P. R., Miller, E. R., 3rd, Simons-Morton, D. G., Karanja, N., &amp; Lin, P. H. (2001). Effects on blood pressure of reduced dietary sodium and the Dietary Approaches to Stop Hypertension (DASH) diet. DASH-Sodium Collaborative Research Group. </w:t>
      </w:r>
      <w:r w:rsidRPr="00F61D64">
        <w:rPr>
          <w:i/>
        </w:rPr>
        <w:t>N Engl J Med</w:t>
      </w:r>
      <w:r w:rsidRPr="00F61D64">
        <w:t>,</w:t>
      </w:r>
      <w:r w:rsidRPr="00F61D64">
        <w:rPr>
          <w:i/>
        </w:rPr>
        <w:t xml:space="preserve"> 344</w:t>
      </w:r>
      <w:r w:rsidRPr="00F61D64">
        <w:t xml:space="preserve">(1), 3-10. </w:t>
      </w:r>
      <w:hyperlink r:id="rId172" w:history="1">
        <w:r w:rsidRPr="00F61D64">
          <w:rPr>
            <w:rStyle w:val="Hyperlink"/>
          </w:rPr>
          <w:t>https://doi.org/10.1056/nejm200101043440101</w:t>
        </w:r>
      </w:hyperlink>
      <w:r w:rsidRPr="00F61D64">
        <w:t xml:space="preserve"> </w:t>
      </w:r>
    </w:p>
    <w:p w14:paraId="7DF1A5CF" w14:textId="69C91A7E" w:rsidR="00F61D64" w:rsidRPr="00F61D64" w:rsidRDefault="00F61D64" w:rsidP="00F61D64">
      <w:pPr>
        <w:pStyle w:val="EndNoteBibliography"/>
        <w:spacing w:after="0"/>
        <w:ind w:left="720" w:hanging="720"/>
      </w:pPr>
      <w:r w:rsidRPr="00F61D64">
        <w:t xml:space="preserve">Sciarrone, S. E., Beilin, L. J., Rouse, I. L., &amp; Rogers, P. B. (1992). A factorial study of salt restriction and a low-fat/high-fibre diet in hypertensive subjects. </w:t>
      </w:r>
      <w:r w:rsidRPr="00F61D64">
        <w:rPr>
          <w:i/>
        </w:rPr>
        <w:t>J Hypertens</w:t>
      </w:r>
      <w:r w:rsidRPr="00F61D64">
        <w:t>,</w:t>
      </w:r>
      <w:r w:rsidRPr="00F61D64">
        <w:rPr>
          <w:i/>
        </w:rPr>
        <w:t xml:space="preserve"> 10</w:t>
      </w:r>
      <w:r w:rsidRPr="00F61D64">
        <w:t xml:space="preserve">(3), 287-298. </w:t>
      </w:r>
      <w:hyperlink r:id="rId173" w:history="1">
        <w:r w:rsidRPr="00F61D64">
          <w:rPr>
            <w:rStyle w:val="Hyperlink"/>
          </w:rPr>
          <w:t>https://doi.org/10.1097/00004872-199203000-00013</w:t>
        </w:r>
      </w:hyperlink>
      <w:r w:rsidRPr="00F61D64">
        <w:t xml:space="preserve"> </w:t>
      </w:r>
    </w:p>
    <w:p w14:paraId="23B35C13" w14:textId="79441450" w:rsidR="00F61D64" w:rsidRPr="00F61D64" w:rsidRDefault="00F61D64" w:rsidP="00F61D64">
      <w:pPr>
        <w:pStyle w:val="EndNoteBibliography"/>
        <w:spacing w:after="0"/>
        <w:ind w:left="720" w:hanging="720"/>
      </w:pPr>
      <w:r w:rsidRPr="00F61D64">
        <w:t xml:space="preserve">Shim, J. S., Oh, K., &amp; Kim, H. C. (2014). Dietary assessment methods in epidemiologic studies. </w:t>
      </w:r>
      <w:r w:rsidRPr="00F61D64">
        <w:rPr>
          <w:i/>
        </w:rPr>
        <w:t>Epidemiol Health</w:t>
      </w:r>
      <w:r w:rsidRPr="00F61D64">
        <w:t>,</w:t>
      </w:r>
      <w:r w:rsidRPr="00F61D64">
        <w:rPr>
          <w:i/>
        </w:rPr>
        <w:t xml:space="preserve"> 36</w:t>
      </w:r>
      <w:r w:rsidRPr="00F61D64">
        <w:t xml:space="preserve">, e2014009. </w:t>
      </w:r>
      <w:hyperlink r:id="rId174" w:history="1">
        <w:r w:rsidRPr="00F61D64">
          <w:rPr>
            <w:rStyle w:val="Hyperlink"/>
          </w:rPr>
          <w:t>https://doi.org/10.4178/epih/e2014009</w:t>
        </w:r>
      </w:hyperlink>
      <w:r w:rsidRPr="00F61D64">
        <w:t xml:space="preserve"> </w:t>
      </w:r>
    </w:p>
    <w:p w14:paraId="0424945D" w14:textId="007A15DF" w:rsidR="00F61D64" w:rsidRPr="00F61D64" w:rsidRDefault="00F61D64" w:rsidP="00F61D64">
      <w:pPr>
        <w:pStyle w:val="EndNoteBibliography"/>
        <w:spacing w:after="0"/>
        <w:ind w:left="720" w:hanging="720"/>
      </w:pPr>
      <w:r w:rsidRPr="00F61D64">
        <w:t xml:space="preserve">Stein, L. J., Cowart, B. J., &amp; Beauchamp, G. K. (2012). The development of salty taste acceptance is related to dietary experience in human infants: a prospective study. </w:t>
      </w:r>
      <w:r w:rsidRPr="00F61D64">
        <w:rPr>
          <w:i/>
        </w:rPr>
        <w:t>Am J Clin Nutr</w:t>
      </w:r>
      <w:r w:rsidRPr="00F61D64">
        <w:t>,</w:t>
      </w:r>
      <w:r w:rsidRPr="00F61D64">
        <w:rPr>
          <w:i/>
        </w:rPr>
        <w:t xml:space="preserve"> 95</w:t>
      </w:r>
      <w:r w:rsidRPr="00F61D64">
        <w:t xml:space="preserve">(1), 123-129. </w:t>
      </w:r>
      <w:hyperlink r:id="rId175" w:history="1">
        <w:r w:rsidRPr="00F61D64">
          <w:rPr>
            <w:rStyle w:val="Hyperlink"/>
          </w:rPr>
          <w:t>https://doi.org/10.3945/ajcn.111.014282</w:t>
        </w:r>
      </w:hyperlink>
      <w:r w:rsidRPr="00F61D64">
        <w:t xml:space="preserve"> </w:t>
      </w:r>
    </w:p>
    <w:p w14:paraId="14403A8B" w14:textId="7575FB4B" w:rsidR="00F61D64" w:rsidRPr="00F61D64" w:rsidRDefault="00F61D64" w:rsidP="00F61D64">
      <w:pPr>
        <w:pStyle w:val="EndNoteBibliography"/>
        <w:spacing w:after="0"/>
        <w:ind w:left="720" w:hanging="720"/>
      </w:pPr>
      <w:r w:rsidRPr="00F61D64">
        <w:lastRenderedPageBreak/>
        <w:t xml:space="preserve">Sterns, R. H. (2015). Disorders of Plasma Sodium — Causes, Consequences, and Correction. </w:t>
      </w:r>
      <w:r w:rsidRPr="00F61D64">
        <w:rPr>
          <w:i/>
        </w:rPr>
        <w:t>New England Journal of Medicine</w:t>
      </w:r>
      <w:r w:rsidRPr="00F61D64">
        <w:t>,</w:t>
      </w:r>
      <w:r w:rsidRPr="00F61D64">
        <w:rPr>
          <w:i/>
        </w:rPr>
        <w:t xml:space="preserve"> 372</w:t>
      </w:r>
      <w:r w:rsidRPr="00F61D64">
        <w:t xml:space="preserve">(1), 55-65. </w:t>
      </w:r>
      <w:hyperlink r:id="rId176" w:history="1">
        <w:r w:rsidRPr="00F61D64">
          <w:rPr>
            <w:rStyle w:val="Hyperlink"/>
          </w:rPr>
          <w:t>https://doi.org/doi:10.1056/NEJMra1404489</w:t>
        </w:r>
      </w:hyperlink>
      <w:r w:rsidRPr="00F61D64">
        <w:t xml:space="preserve"> </w:t>
      </w:r>
    </w:p>
    <w:p w14:paraId="4EF82B08" w14:textId="4CFEE7E2" w:rsidR="00F61D64" w:rsidRPr="00F61D64" w:rsidRDefault="00F61D64" w:rsidP="00F61D64">
      <w:pPr>
        <w:pStyle w:val="EndNoteBibliography"/>
        <w:spacing w:after="0"/>
        <w:ind w:left="720" w:hanging="720"/>
      </w:pPr>
      <w:r w:rsidRPr="00F61D64">
        <w:t xml:space="preserve">Stolarz-Skrzypek, K., Kuznetsova, T., Thijs, L., Tikhonoff, V., Seidlerová, J., Richart, T., Jin, Y., Olszanecka, A., Malyutina, S., Casiglia, E., Filipovský, J., Kawecka-Jaszcz, K., Nikitin, Y., &amp; Staessen, J. A. (2011). Fatal and nonfatal outcomes, incidence of hypertension, and blood pressure changes in relation to urinary sodium excretion. </w:t>
      </w:r>
      <w:r w:rsidRPr="00F61D64">
        <w:rPr>
          <w:i/>
        </w:rPr>
        <w:t>Jama</w:t>
      </w:r>
      <w:r w:rsidRPr="00F61D64">
        <w:t>,</w:t>
      </w:r>
      <w:r w:rsidRPr="00F61D64">
        <w:rPr>
          <w:i/>
        </w:rPr>
        <w:t xml:space="preserve"> 305</w:t>
      </w:r>
      <w:r w:rsidRPr="00F61D64">
        <w:t xml:space="preserve">(17), 1777-1785. </w:t>
      </w:r>
      <w:hyperlink r:id="rId177" w:history="1">
        <w:r w:rsidRPr="00F61D64">
          <w:rPr>
            <w:rStyle w:val="Hyperlink"/>
          </w:rPr>
          <w:t>https://doi.org/10.1001/jama.2011.574</w:t>
        </w:r>
      </w:hyperlink>
      <w:r w:rsidRPr="00F61D64">
        <w:t xml:space="preserve"> </w:t>
      </w:r>
    </w:p>
    <w:p w14:paraId="14688976" w14:textId="4C80FD07" w:rsidR="00F61D64" w:rsidRPr="00F61D64" w:rsidRDefault="00F61D64" w:rsidP="00F61D64">
      <w:pPr>
        <w:pStyle w:val="EndNoteBibliography"/>
        <w:spacing w:after="0"/>
        <w:ind w:left="720" w:hanging="720"/>
      </w:pPr>
      <w:r w:rsidRPr="00F61D64">
        <w:t xml:space="preserve">Strohm, D., Bechthold, A., Ellinger, S., Leschik-Bonnet, E., Stehle, P., &amp; Heseker, H. (2018). Revised Reference Values for the Intake of Sodium and Chloride. </w:t>
      </w:r>
      <w:r w:rsidRPr="00F61D64">
        <w:rPr>
          <w:i/>
        </w:rPr>
        <w:t>Ann Nutr Metab</w:t>
      </w:r>
      <w:r w:rsidRPr="00F61D64">
        <w:t>,</w:t>
      </w:r>
      <w:r w:rsidRPr="00F61D64">
        <w:rPr>
          <w:i/>
        </w:rPr>
        <w:t xml:space="preserve"> 72</w:t>
      </w:r>
      <w:r w:rsidRPr="00F61D64">
        <w:t xml:space="preserve">(1), 12-17. </w:t>
      </w:r>
      <w:hyperlink r:id="rId178" w:history="1">
        <w:r w:rsidRPr="00F61D64">
          <w:rPr>
            <w:rStyle w:val="Hyperlink"/>
          </w:rPr>
          <w:t>https://doi.org/10.1159/000484355</w:t>
        </w:r>
      </w:hyperlink>
      <w:r w:rsidRPr="00F61D64">
        <w:t xml:space="preserve"> </w:t>
      </w:r>
    </w:p>
    <w:p w14:paraId="17007F0D" w14:textId="6215C55C" w:rsidR="00F61D64" w:rsidRPr="00F61D64" w:rsidRDefault="00F61D64" w:rsidP="00F61D64">
      <w:pPr>
        <w:pStyle w:val="EndNoteBibliography"/>
        <w:spacing w:after="0"/>
        <w:ind w:left="720" w:hanging="720"/>
      </w:pPr>
      <w:r w:rsidRPr="00F61D64">
        <w:t xml:space="preserve">Subar, A. F., Freedman, L. S., Tooze, J. A., Kirkpatrick, S. I., Boushey, C., Neuhouser, M. L., Thompson, F. E., Potischman, N., Guenther, P. M., Tarasuk, V., Reedy, J., &amp; Krebs-Smith, S. M. (2015). Addressing Current Criticism Regarding the Value of Self-Report Dietary Data. </w:t>
      </w:r>
      <w:r w:rsidRPr="00F61D64">
        <w:rPr>
          <w:i/>
        </w:rPr>
        <w:t>J Nutr</w:t>
      </w:r>
      <w:r w:rsidRPr="00F61D64">
        <w:t>,</w:t>
      </w:r>
      <w:r w:rsidRPr="00F61D64">
        <w:rPr>
          <w:i/>
        </w:rPr>
        <w:t xml:space="preserve"> 145</w:t>
      </w:r>
      <w:r w:rsidRPr="00F61D64">
        <w:t xml:space="preserve">(12), 2639-2645. </w:t>
      </w:r>
      <w:hyperlink r:id="rId179" w:history="1">
        <w:r w:rsidRPr="00F61D64">
          <w:rPr>
            <w:rStyle w:val="Hyperlink"/>
          </w:rPr>
          <w:t>https://doi.org/10.3945/jn.115.219634</w:t>
        </w:r>
      </w:hyperlink>
      <w:r w:rsidRPr="00F61D64">
        <w:t xml:space="preserve"> </w:t>
      </w:r>
    </w:p>
    <w:p w14:paraId="66957E46" w14:textId="4A6DAE5F" w:rsidR="00F61D64" w:rsidRPr="00F61D64" w:rsidRDefault="00F61D64" w:rsidP="00F61D64">
      <w:pPr>
        <w:pStyle w:val="EndNoteBibliography"/>
        <w:spacing w:after="0"/>
        <w:ind w:left="720" w:hanging="720"/>
      </w:pPr>
      <w:r w:rsidRPr="00F61D64">
        <w:t xml:space="preserve">Surma, S., Surma, S., Banach, M., Pruc, M., Pruc, M., Szarpak, L., Szarpak, L., Banach, M., Banach, M., &amp; Banach, M. (2025). Dietary salt on vascular function: a meta-analysis. </w:t>
      </w:r>
      <w:r w:rsidRPr="00F61D64">
        <w:rPr>
          <w:i/>
        </w:rPr>
        <w:t>Arch. Med. Sci.</w:t>
      </w:r>
      <w:r w:rsidRPr="00F61D64">
        <w:t>,</w:t>
      </w:r>
      <w:r w:rsidRPr="00F61D64">
        <w:rPr>
          <w:i/>
        </w:rPr>
        <w:t xml:space="preserve"> 21</w:t>
      </w:r>
      <w:r w:rsidRPr="00F61D64">
        <w:t xml:space="preserve">(4), 1631-1635. </w:t>
      </w:r>
      <w:hyperlink r:id="rId180" w:history="1">
        <w:r w:rsidRPr="00F61D64">
          <w:rPr>
            <w:rStyle w:val="Hyperlink"/>
          </w:rPr>
          <w:t>https://doi.org/10.5114/aoms/209720</w:t>
        </w:r>
      </w:hyperlink>
      <w:r w:rsidRPr="00F61D64">
        <w:t xml:space="preserve"> </w:t>
      </w:r>
    </w:p>
    <w:p w14:paraId="02A99ABC" w14:textId="3D4D9E6A" w:rsidR="00F61D64" w:rsidRPr="00F61D64" w:rsidRDefault="00F61D64" w:rsidP="00F61D64">
      <w:pPr>
        <w:pStyle w:val="EndNoteBibliography"/>
        <w:spacing w:after="0"/>
        <w:ind w:left="720" w:hanging="720"/>
      </w:pPr>
      <w:r w:rsidRPr="00F61D64">
        <w:t xml:space="preserve">Todd, A. S., Macginley, R. J., Schollum, J. B., Williams, S. M., Sutherland, W. H., Mann, J. I., &amp; Walker, R. J. (2012). Dietary sodium loading in normotensive healthy volunteers does not increase arterial vascular reactivity or blood pressure. </w:t>
      </w:r>
      <w:r w:rsidRPr="00F61D64">
        <w:rPr>
          <w:i/>
        </w:rPr>
        <w:t>Nephrology (Carlton)</w:t>
      </w:r>
      <w:r w:rsidRPr="00F61D64">
        <w:t>,</w:t>
      </w:r>
      <w:r w:rsidRPr="00F61D64">
        <w:rPr>
          <w:i/>
        </w:rPr>
        <w:t xml:space="preserve"> 17</w:t>
      </w:r>
      <w:r w:rsidRPr="00F61D64">
        <w:t xml:space="preserve">(3), 249-256. </w:t>
      </w:r>
      <w:hyperlink r:id="rId181" w:history="1">
        <w:r w:rsidRPr="00F61D64">
          <w:rPr>
            <w:rStyle w:val="Hyperlink"/>
          </w:rPr>
          <w:t>https://doi.org/10.1111/j.1440-1797.2011.01550.x</w:t>
        </w:r>
      </w:hyperlink>
      <w:r w:rsidRPr="00F61D64">
        <w:t xml:space="preserve"> </w:t>
      </w:r>
    </w:p>
    <w:p w14:paraId="1C6381A8" w14:textId="2E70C025" w:rsidR="00F61D64" w:rsidRPr="00F61D64" w:rsidRDefault="00F61D64" w:rsidP="00F61D64">
      <w:pPr>
        <w:pStyle w:val="EndNoteBibliography"/>
        <w:spacing w:after="0"/>
        <w:ind w:left="720" w:hanging="720"/>
      </w:pPr>
      <w:r w:rsidRPr="00F61D64">
        <w:t xml:space="preserve">Truchet, S., &amp; Honvo-Houéto, E. (2017). Physiology of milk secretion. </w:t>
      </w:r>
      <w:r w:rsidRPr="00F61D64">
        <w:rPr>
          <w:i/>
        </w:rPr>
        <w:t>Best Pract Res Clin Endocrinol Metab</w:t>
      </w:r>
      <w:r w:rsidRPr="00F61D64">
        <w:t>,</w:t>
      </w:r>
      <w:r w:rsidRPr="00F61D64">
        <w:rPr>
          <w:i/>
        </w:rPr>
        <w:t xml:space="preserve"> 31</w:t>
      </w:r>
      <w:r w:rsidRPr="00F61D64">
        <w:t xml:space="preserve">(4), 367-384. </w:t>
      </w:r>
      <w:hyperlink r:id="rId182" w:history="1">
        <w:r w:rsidRPr="00F61D64">
          <w:rPr>
            <w:rStyle w:val="Hyperlink"/>
          </w:rPr>
          <w:t>https://doi.org/10.1016/j.beem.2017.10.008</w:t>
        </w:r>
      </w:hyperlink>
      <w:r w:rsidRPr="00F61D64">
        <w:t xml:space="preserve"> </w:t>
      </w:r>
    </w:p>
    <w:p w14:paraId="39A710B5" w14:textId="77777777" w:rsidR="00F61D64" w:rsidRPr="00F61D64" w:rsidRDefault="00F61D64" w:rsidP="00F61D64">
      <w:pPr>
        <w:pStyle w:val="EndNoteBibliography"/>
        <w:spacing w:after="0"/>
        <w:ind w:left="720" w:hanging="720"/>
      </w:pPr>
      <w:r w:rsidRPr="00F61D64">
        <w:t xml:space="preserve">United States Institute of Medicine, U. I. (2005). </w:t>
      </w:r>
      <w:r w:rsidRPr="00F61D64">
        <w:rPr>
          <w:i/>
        </w:rPr>
        <w:t>Dietary Reference Intakes for water, potassium, sodium, chloride, and sulfate</w:t>
      </w:r>
      <w:r w:rsidRPr="00F61D64">
        <w:t>. Washington (DC): The National Academies Press</w:t>
      </w:r>
    </w:p>
    <w:p w14:paraId="079F51EB" w14:textId="6B3BD661" w:rsidR="00F61D64" w:rsidRPr="00F61D64" w:rsidRDefault="00F61D64" w:rsidP="00F61D64">
      <w:pPr>
        <w:pStyle w:val="EndNoteBibliography"/>
        <w:spacing w:after="0"/>
        <w:ind w:left="720" w:hanging="720"/>
      </w:pPr>
      <w:r w:rsidRPr="00F61D64">
        <w:t xml:space="preserve">University of Otago and Ministry of Health. (2011). </w:t>
      </w:r>
      <w:r w:rsidRPr="00F61D64">
        <w:rPr>
          <w:i/>
        </w:rPr>
        <w:t>A Focus on Nutrition: Key findings of the 2008/09 New Zealand Adult Nutrition Survey</w:t>
      </w:r>
      <w:r w:rsidRPr="00F61D64">
        <w:t xml:space="preserve">. Wellington: Ministry of Health Retrieved from </w:t>
      </w:r>
      <w:hyperlink r:id="rId183" w:history="1">
        <w:r w:rsidRPr="00F61D64">
          <w:rPr>
            <w:rStyle w:val="Hyperlink"/>
          </w:rPr>
          <w:t>https://www.health.govt.nz/system/files/2011-10/a-focus-on-nutrition-v2.pdf</w:t>
        </w:r>
      </w:hyperlink>
    </w:p>
    <w:p w14:paraId="48885981" w14:textId="442F542C" w:rsidR="00F61D64" w:rsidRPr="00F61D64" w:rsidRDefault="00F61D64" w:rsidP="00F61D64">
      <w:pPr>
        <w:pStyle w:val="EndNoteBibliography"/>
        <w:spacing w:after="0"/>
        <w:ind w:left="720" w:hanging="720"/>
      </w:pPr>
      <w:r w:rsidRPr="00F61D64">
        <w:t xml:space="preserve">Wack, R. P., Lien, E. L., Taft, D., &amp; Roscelli, J. D. (1997). Electrolyte composition of human breast milk beyond the early postpartum period. </w:t>
      </w:r>
      <w:r w:rsidRPr="00F61D64">
        <w:rPr>
          <w:i/>
        </w:rPr>
        <w:t>Nutrition</w:t>
      </w:r>
      <w:r w:rsidRPr="00F61D64">
        <w:t>,</w:t>
      </w:r>
      <w:r w:rsidRPr="00F61D64">
        <w:rPr>
          <w:i/>
        </w:rPr>
        <w:t xml:space="preserve"> 13</w:t>
      </w:r>
      <w:r w:rsidRPr="00F61D64">
        <w:t xml:space="preserve">(9), 774-777. </w:t>
      </w:r>
      <w:hyperlink r:id="rId184" w:history="1">
        <w:r w:rsidRPr="00F61D64">
          <w:rPr>
            <w:rStyle w:val="Hyperlink"/>
          </w:rPr>
          <w:t>https://doi.org/10.1016/s0899-9007(97)00187-1</w:t>
        </w:r>
      </w:hyperlink>
      <w:r w:rsidRPr="00F61D64">
        <w:t xml:space="preserve"> </w:t>
      </w:r>
    </w:p>
    <w:p w14:paraId="3D70D367" w14:textId="46BFD135" w:rsidR="00F61D64" w:rsidRPr="00F61D64" w:rsidRDefault="00F61D64" w:rsidP="00F61D64">
      <w:pPr>
        <w:pStyle w:val="EndNoteBibliography"/>
        <w:spacing w:after="0"/>
        <w:ind w:left="720" w:hanging="720"/>
      </w:pPr>
      <w:r w:rsidRPr="00F61D64">
        <w:t xml:space="preserve">Wang, N. X., McLean, R. M., Cameron, C., &amp; Skeaff, S. A. (2023). The quantification of sodium intake from discretionary salt intake in New Zealand using the lithium-tagged salt method [Original Research]. </w:t>
      </w:r>
      <w:r w:rsidRPr="00F61D64">
        <w:rPr>
          <w:i/>
        </w:rPr>
        <w:t>Frontiers in nutrition</w:t>
      </w:r>
      <w:r w:rsidRPr="00F61D64">
        <w:t>,</w:t>
      </w:r>
      <w:r w:rsidRPr="00F61D64">
        <w:rPr>
          <w:i/>
        </w:rPr>
        <w:t xml:space="preserve"> Volume 9 - 2022</w:t>
      </w:r>
      <w:r w:rsidRPr="00F61D64">
        <w:t xml:space="preserve">. </w:t>
      </w:r>
      <w:hyperlink r:id="rId185" w:history="1">
        <w:r w:rsidRPr="00F61D64">
          <w:rPr>
            <w:rStyle w:val="Hyperlink"/>
          </w:rPr>
          <w:t>https://doi.org/10.3389/fnut.2022.1065710</w:t>
        </w:r>
      </w:hyperlink>
      <w:r w:rsidRPr="00F61D64">
        <w:t xml:space="preserve"> </w:t>
      </w:r>
    </w:p>
    <w:p w14:paraId="737678A9" w14:textId="199CAA87" w:rsidR="00F61D64" w:rsidRPr="00F61D64" w:rsidRDefault="00F61D64" w:rsidP="00F61D64">
      <w:pPr>
        <w:pStyle w:val="EndNoteBibliography"/>
        <w:spacing w:after="0"/>
        <w:ind w:left="720" w:hanging="720"/>
      </w:pPr>
      <w:r w:rsidRPr="00F61D64">
        <w:t xml:space="preserve">Wang, N. X., Skeaff, S., Cameron, C., Fleming, E., &amp; McLean, R. M. (2022). Sodium in the New Zealand diet: proposed voluntary food reformulation targets will not meet the WHO goal of a 30% reduction in total sodium intake. </w:t>
      </w:r>
      <w:r w:rsidRPr="00F61D64">
        <w:rPr>
          <w:i/>
        </w:rPr>
        <w:t>Eur J Nutr</w:t>
      </w:r>
      <w:r w:rsidRPr="00F61D64">
        <w:t>,</w:t>
      </w:r>
      <w:r w:rsidRPr="00F61D64">
        <w:rPr>
          <w:i/>
        </w:rPr>
        <w:t xml:space="preserve"> 61</w:t>
      </w:r>
      <w:r w:rsidRPr="00F61D64">
        <w:t xml:space="preserve">(6), 3067-3076. </w:t>
      </w:r>
      <w:hyperlink r:id="rId186" w:history="1">
        <w:r w:rsidRPr="00F61D64">
          <w:rPr>
            <w:rStyle w:val="Hyperlink"/>
          </w:rPr>
          <w:t>https://doi.org/10.1007/s00394-022-02864-5</w:t>
        </w:r>
      </w:hyperlink>
      <w:r w:rsidRPr="00F61D64">
        <w:t xml:space="preserve"> </w:t>
      </w:r>
    </w:p>
    <w:p w14:paraId="7C7DE587" w14:textId="5A817BBC" w:rsidR="00F61D64" w:rsidRPr="00F61D64" w:rsidRDefault="00F61D64" w:rsidP="00F61D64">
      <w:pPr>
        <w:pStyle w:val="EndNoteBibliography"/>
        <w:spacing w:after="0"/>
        <w:ind w:left="720" w:hanging="720"/>
      </w:pPr>
      <w:r w:rsidRPr="00F61D64">
        <w:t xml:space="preserve">Wang, P., Deger, M. S., Kang, H., Ikizler, T. A., Titze, J., &amp; Gore, J. C. (2017). Sex differences in sodium deposition in human muscle and skin. </w:t>
      </w:r>
      <w:r w:rsidRPr="00F61D64">
        <w:rPr>
          <w:i/>
        </w:rPr>
        <w:t>Magn Reson Imaging</w:t>
      </w:r>
      <w:r w:rsidRPr="00F61D64">
        <w:t>,</w:t>
      </w:r>
      <w:r w:rsidRPr="00F61D64">
        <w:rPr>
          <w:i/>
        </w:rPr>
        <w:t xml:space="preserve"> 36</w:t>
      </w:r>
      <w:r w:rsidRPr="00F61D64">
        <w:t xml:space="preserve">, 93-97. </w:t>
      </w:r>
      <w:hyperlink r:id="rId187" w:history="1">
        <w:r w:rsidRPr="00F61D64">
          <w:rPr>
            <w:rStyle w:val="Hyperlink"/>
          </w:rPr>
          <w:t>https://doi.org/10.1016/j.mri.2016.10.023</w:t>
        </w:r>
      </w:hyperlink>
      <w:r w:rsidRPr="00F61D64">
        <w:t xml:space="preserve"> </w:t>
      </w:r>
    </w:p>
    <w:p w14:paraId="0CF1640D" w14:textId="566482B4" w:rsidR="00F61D64" w:rsidRPr="00F61D64" w:rsidRDefault="00F61D64" w:rsidP="00F61D64">
      <w:pPr>
        <w:pStyle w:val="EndNoteBibliography"/>
        <w:spacing w:after="0"/>
        <w:ind w:left="720" w:hanging="720"/>
      </w:pPr>
      <w:r w:rsidRPr="00F61D64">
        <w:t xml:space="preserve">Wheeler, A., Rahiri, J.-L., Ellison-Lupena, R., Hanchard, S., Brewer, K. M., Paynter, J., Winter-Smith, J., Selak, V., Ameratunga, S., Grey, C., &amp; Harwood, M. (2025). Assessing the gaps in cardiovascular disease risk assessment and management in primary care for M&amp;#x101;ori and Pacific peoples in Aotearoa New Zealand&amp;#x2014; a systematic review. </w:t>
      </w:r>
      <w:r w:rsidRPr="00F61D64">
        <w:rPr>
          <w:i/>
        </w:rPr>
        <w:t>The Lancet Regional Health – Western Pacific</w:t>
      </w:r>
      <w:r w:rsidRPr="00F61D64">
        <w:t>,</w:t>
      </w:r>
      <w:r w:rsidRPr="00F61D64">
        <w:rPr>
          <w:i/>
        </w:rPr>
        <w:t xml:space="preserve"> 56</w:t>
      </w:r>
      <w:r w:rsidRPr="00F61D64">
        <w:t xml:space="preserve">. </w:t>
      </w:r>
      <w:hyperlink r:id="rId188" w:history="1">
        <w:r w:rsidRPr="00F61D64">
          <w:rPr>
            <w:rStyle w:val="Hyperlink"/>
          </w:rPr>
          <w:t>https://doi.org/10.1016/j.lanwpc.2025.101511</w:t>
        </w:r>
      </w:hyperlink>
      <w:r w:rsidRPr="00F61D64">
        <w:t xml:space="preserve"> </w:t>
      </w:r>
    </w:p>
    <w:p w14:paraId="3255FE4D" w14:textId="5879F7AA" w:rsidR="00F61D64" w:rsidRPr="00F61D64" w:rsidRDefault="00F61D64" w:rsidP="00F61D64">
      <w:pPr>
        <w:pStyle w:val="EndNoteBibliography"/>
        <w:spacing w:after="0"/>
        <w:ind w:left="720" w:hanging="720"/>
      </w:pPr>
      <w:r w:rsidRPr="00F61D64">
        <w:t xml:space="preserve">Wilson, N., Cleghorn, C., Nghiem, N., &amp; Blakely, T. (2023). Prioritization of intervention domains to prevent cardiovascular disease: a country-level case study using global burden of </w:t>
      </w:r>
      <w:r w:rsidRPr="00F61D64">
        <w:lastRenderedPageBreak/>
        <w:t xml:space="preserve">disease and local data. </w:t>
      </w:r>
      <w:r w:rsidRPr="00F61D64">
        <w:rPr>
          <w:i/>
        </w:rPr>
        <w:t>Population Health Metrics</w:t>
      </w:r>
      <w:r w:rsidRPr="00F61D64">
        <w:t>,</w:t>
      </w:r>
      <w:r w:rsidRPr="00F61D64">
        <w:rPr>
          <w:i/>
        </w:rPr>
        <w:t xml:space="preserve"> 21</w:t>
      </w:r>
      <w:r w:rsidRPr="00F61D64">
        <w:t xml:space="preserve">(1), 1. </w:t>
      </w:r>
      <w:hyperlink r:id="rId189" w:history="1">
        <w:r w:rsidRPr="00F61D64">
          <w:rPr>
            <w:rStyle w:val="Hyperlink"/>
          </w:rPr>
          <w:t>https://doi.org/10.1186/s12963-023-00301-1</w:t>
        </w:r>
      </w:hyperlink>
      <w:r w:rsidRPr="00F61D64">
        <w:t xml:space="preserve"> </w:t>
      </w:r>
    </w:p>
    <w:p w14:paraId="04BE7E04" w14:textId="322BEDFE" w:rsidR="00F61D64" w:rsidRPr="00F61D64" w:rsidRDefault="00F61D64" w:rsidP="00F61D64">
      <w:pPr>
        <w:pStyle w:val="EndNoteBibliography"/>
        <w:spacing w:after="0"/>
        <w:ind w:left="720" w:hanging="720"/>
      </w:pPr>
      <w:r w:rsidRPr="00F61D64">
        <w:t xml:space="preserve">World Health Organisation. (2013). </w:t>
      </w:r>
      <w:r w:rsidRPr="00F61D64">
        <w:rPr>
          <w:i/>
        </w:rPr>
        <w:t>Global action plan for the prevention and control of noncommunicable diseases 2013-2020</w:t>
      </w:r>
      <w:r w:rsidRPr="00F61D64">
        <w:t xml:space="preserve">. </w:t>
      </w:r>
      <w:hyperlink r:id="rId190" w:history="1">
        <w:r w:rsidRPr="00F61D64">
          <w:rPr>
            <w:rStyle w:val="Hyperlink"/>
          </w:rPr>
          <w:t>https://iris.who.int/server/api/core/bitstreams/15f51d0a-bfbd-43ad-a637-73778feb57e3/content</w:t>
        </w:r>
      </w:hyperlink>
    </w:p>
    <w:p w14:paraId="455757FB" w14:textId="0AED8301" w:rsidR="00F61D64" w:rsidRPr="00F61D64" w:rsidRDefault="00F61D64" w:rsidP="00F61D64">
      <w:pPr>
        <w:pStyle w:val="EndNoteBibliography"/>
        <w:spacing w:after="0"/>
        <w:ind w:left="720" w:hanging="720"/>
      </w:pPr>
      <w:r w:rsidRPr="00F61D64">
        <w:t xml:space="preserve">World Health Organisation. (2026, 11/05/2026). </w:t>
      </w:r>
      <w:r w:rsidRPr="00F61D64">
        <w:rPr>
          <w:i/>
        </w:rPr>
        <w:t>Sodium reduction</w:t>
      </w:r>
      <w:r w:rsidRPr="00F61D64">
        <w:t xml:space="preserve">. Retrieved 09/06/2026 from </w:t>
      </w:r>
      <w:hyperlink r:id="rId191" w:history="1">
        <w:r w:rsidRPr="00F61D64">
          <w:rPr>
            <w:rStyle w:val="Hyperlink"/>
          </w:rPr>
          <w:t>https://www.who.int/news-room/fact-sheets/detail/sodium-reduction</w:t>
        </w:r>
      </w:hyperlink>
    </w:p>
    <w:p w14:paraId="4F126C15" w14:textId="7AC7BFBF" w:rsidR="00F61D64" w:rsidRPr="00F61D64" w:rsidRDefault="00F61D64" w:rsidP="00F61D64">
      <w:pPr>
        <w:pStyle w:val="EndNoteBibliography"/>
        <w:spacing w:after="0"/>
        <w:ind w:left="720" w:hanging="720"/>
      </w:pPr>
      <w:r w:rsidRPr="00F61D64">
        <w:t xml:space="preserve">World Health Organization, W. (2012). </w:t>
      </w:r>
      <w:r w:rsidRPr="00F61D64">
        <w:rPr>
          <w:i/>
        </w:rPr>
        <w:t>Guideline: Sodium Intake for Adults and Children</w:t>
      </w:r>
      <w:r w:rsidRPr="00F61D64">
        <w:t xml:space="preserve">. WHO. </w:t>
      </w:r>
      <w:hyperlink r:id="rId192" w:history="1">
        <w:r w:rsidRPr="00F61D64">
          <w:rPr>
            <w:rStyle w:val="Hyperlink"/>
          </w:rPr>
          <w:t>https://www.who.int/publications/i/item/9789241504836</w:t>
        </w:r>
      </w:hyperlink>
      <w:r w:rsidRPr="00F61D64">
        <w:t xml:space="preserve"> </w:t>
      </w:r>
    </w:p>
    <w:p w14:paraId="1199AC2D" w14:textId="5DAE49EB" w:rsidR="00F61D64" w:rsidRPr="00F61D64" w:rsidRDefault="00F61D64" w:rsidP="00F61D64">
      <w:pPr>
        <w:pStyle w:val="EndNoteBibliography"/>
        <w:spacing w:after="0"/>
        <w:ind w:left="720" w:hanging="720"/>
      </w:pPr>
      <w:r w:rsidRPr="00F61D64">
        <w:t xml:space="preserve">World Health Organization, W. (2026). </w:t>
      </w:r>
      <w:r w:rsidRPr="00F61D64">
        <w:rPr>
          <w:i/>
        </w:rPr>
        <w:t>Cardiovascular diseases</w:t>
      </w:r>
      <w:r w:rsidRPr="00F61D64">
        <w:t xml:space="preserve">. Retrieved 31/03/2026 from </w:t>
      </w:r>
      <w:hyperlink r:id="rId193" w:history="1">
        <w:r w:rsidRPr="00F61D64">
          <w:rPr>
            <w:rStyle w:val="Hyperlink"/>
          </w:rPr>
          <w:t>https://www.who.int/health-topics/cardiovascular-diseases</w:t>
        </w:r>
      </w:hyperlink>
    </w:p>
    <w:p w14:paraId="0743A949" w14:textId="11C4B889" w:rsidR="00F61D64" w:rsidRPr="00F61D64" w:rsidRDefault="00F61D64" w:rsidP="00F61D64">
      <w:pPr>
        <w:pStyle w:val="EndNoteBibliography"/>
        <w:ind w:left="720" w:hanging="720"/>
      </w:pPr>
      <w:r w:rsidRPr="00F61D64">
        <w:t xml:space="preserve">Zhao, D., Li, H. M., Li, C. X., &amp; Zhou, B. (2022). 24-Hour Urinary Sodium Excretion Association with Cardiovascular Events: A Systematic Review and Dose-Response Meta-Analysis. </w:t>
      </w:r>
      <w:r w:rsidRPr="00F61D64">
        <w:rPr>
          <w:i/>
        </w:rPr>
        <w:t>Biomed Environ Sci</w:t>
      </w:r>
      <w:r w:rsidRPr="00F61D64">
        <w:t>,</w:t>
      </w:r>
      <w:r w:rsidRPr="00F61D64">
        <w:rPr>
          <w:i/>
        </w:rPr>
        <w:t xml:space="preserve"> 35</w:t>
      </w:r>
      <w:r w:rsidRPr="00F61D64">
        <w:t xml:space="preserve">(10), 921-930. </w:t>
      </w:r>
      <w:hyperlink r:id="rId194" w:history="1">
        <w:r w:rsidRPr="00F61D64">
          <w:rPr>
            <w:rStyle w:val="Hyperlink"/>
          </w:rPr>
          <w:t>https://doi.org/10.3967/bes2022.119</w:t>
        </w:r>
      </w:hyperlink>
      <w:r w:rsidRPr="00F61D64">
        <w:t xml:space="preserve"> </w:t>
      </w:r>
    </w:p>
    <w:p w14:paraId="5406CA0F" w14:textId="6ECE9C00" w:rsidR="00347857" w:rsidRDefault="00C70A33" w:rsidP="2145493A">
      <w:pPr>
        <w:spacing w:line="360" w:lineRule="auto"/>
        <w:rPr>
          <w:highlight w:val="yellow"/>
        </w:rPr>
        <w:sectPr w:rsidR="00347857">
          <w:footnotePr>
            <w:pos w:val="beneathText"/>
          </w:footnotePr>
          <w:pgSz w:w="11906" w:h="16838"/>
          <w:pgMar w:top="1440" w:right="1440" w:bottom="1440" w:left="1440" w:header="708" w:footer="708" w:gutter="0"/>
          <w:cols w:space="708"/>
          <w:docGrid w:linePitch="360"/>
        </w:sectPr>
      </w:pPr>
      <w:r w:rsidRPr="009C6E13">
        <w:rPr>
          <w:highlight w:val="yellow"/>
        </w:rPr>
        <w:fldChar w:fldCharType="end"/>
      </w:r>
    </w:p>
    <w:p w14:paraId="10DC9DA4" w14:textId="77777777" w:rsidR="00347857" w:rsidRDefault="00347857" w:rsidP="00F1784E">
      <w:pPr>
        <w:pStyle w:val="Heading1"/>
        <w:spacing w:before="0"/>
        <w:rPr>
          <w:b/>
          <w:bCs/>
        </w:rPr>
      </w:pPr>
      <w:bookmarkStart w:id="105" w:name="_Ref233719705"/>
      <w:bookmarkStart w:id="106" w:name="_Toc234960879"/>
      <w:bookmarkStart w:id="107" w:name="_Ref231319654"/>
      <w:r w:rsidRPr="005F45FC">
        <w:rPr>
          <w:b/>
          <w:bCs/>
        </w:rPr>
        <w:lastRenderedPageBreak/>
        <w:t xml:space="preserve">Appendix A </w:t>
      </w:r>
      <w:r w:rsidR="00F87620">
        <w:rPr>
          <w:b/>
          <w:bCs/>
        </w:rPr>
        <w:t>–</w:t>
      </w:r>
      <w:r w:rsidRPr="005F45FC">
        <w:rPr>
          <w:b/>
          <w:bCs/>
        </w:rPr>
        <w:t xml:space="preserve"> </w:t>
      </w:r>
      <w:r w:rsidR="001542FB">
        <w:rPr>
          <w:b/>
          <w:bCs/>
        </w:rPr>
        <w:t>Assessment of guideline suitability</w:t>
      </w:r>
      <w:bookmarkEnd w:id="105"/>
      <w:bookmarkEnd w:id="106"/>
      <w:r w:rsidR="001542FB">
        <w:rPr>
          <w:b/>
          <w:bCs/>
        </w:rPr>
        <w:t xml:space="preserve">  </w:t>
      </w:r>
    </w:p>
    <w:p w14:paraId="74EA1589" w14:textId="77777777" w:rsidR="00F1784E" w:rsidRDefault="008075FC" w:rsidP="005338A3">
      <w:pPr>
        <w:pStyle w:val="Heading2"/>
      </w:pPr>
      <w:bookmarkStart w:id="108" w:name="_Toc234960880"/>
      <w:r w:rsidRPr="008075FC">
        <w:t>Administrative and technical criteria for assessing existing nutrient reference values</w:t>
      </w:r>
      <w:bookmarkEnd w:id="108"/>
    </w:p>
    <w:p w14:paraId="2B44F2B6" w14:textId="77777777" w:rsidR="00377A96" w:rsidRDefault="00CF6834" w:rsidP="005338A3">
      <w:pPr>
        <w:pStyle w:val="Heading3"/>
      </w:pPr>
      <w:bookmarkStart w:id="109" w:name="_Toc234960881"/>
      <w:r w:rsidRPr="00C06783">
        <w:t>Title/Reference:</w:t>
      </w:r>
      <w:bookmarkEnd w:id="109"/>
      <w:r w:rsidRPr="00C06783">
        <w:t xml:space="preserve"> </w:t>
      </w:r>
    </w:p>
    <w:p w14:paraId="5349218E" w14:textId="00507FD6" w:rsidR="00CF6834" w:rsidRPr="00C06783" w:rsidRDefault="00CF6834" w:rsidP="00576EA7">
      <w:pPr>
        <w:rPr>
          <w:rFonts w:cstheme="minorHAnsi"/>
          <w:sz w:val="24"/>
        </w:rPr>
      </w:pPr>
      <w:r w:rsidRPr="00C06783">
        <w:rPr>
          <w:rFonts w:cstheme="minorHAnsi"/>
          <w:sz w:val="24"/>
        </w:rPr>
        <w:t>National Academies of Sciences, Engineering, and Medicine. 2019. Dietary Reference Intakes for Sodium and Potassium. Washington, DC: The National Academies Press. https://doi.org/10.17226/25353.</w:t>
      </w:r>
    </w:p>
    <w:p w14:paraId="36F4C796" w14:textId="120B059A" w:rsidR="00377A96" w:rsidRDefault="00CF6834" w:rsidP="005338A3">
      <w:pPr>
        <w:pStyle w:val="Heading3"/>
      </w:pPr>
      <w:bookmarkStart w:id="110" w:name="_Toc234960882"/>
      <w:r w:rsidRPr="00377A96">
        <w:t>Assessment:</w:t>
      </w:r>
      <w:bookmarkEnd w:id="110"/>
      <w:r w:rsidRPr="00377A96">
        <w:t xml:space="preserve"> </w:t>
      </w:r>
    </w:p>
    <w:p w14:paraId="07119A35" w14:textId="69D4DEE4" w:rsidR="00CF6834" w:rsidRPr="00C06783" w:rsidRDefault="00CF6834" w:rsidP="00576EA7">
      <w:pPr>
        <w:rPr>
          <w:rFonts w:cstheme="minorHAnsi"/>
          <w:sz w:val="24"/>
        </w:rPr>
      </w:pPr>
      <w:r w:rsidRPr="00C06783">
        <w:rPr>
          <w:rFonts w:cstheme="minorHAnsi"/>
          <w:sz w:val="24"/>
        </w:rPr>
        <w:t>February 2024</w:t>
      </w:r>
      <w:r w:rsidR="00B41E86">
        <w:rPr>
          <w:rFonts w:cstheme="minorHAnsi"/>
          <w:sz w:val="24"/>
        </w:rPr>
        <w:t xml:space="preserve"> by NHMRC Project Team</w:t>
      </w:r>
    </w:p>
    <w:p w14:paraId="5B990958" w14:textId="77777777" w:rsidR="00CF6834" w:rsidRDefault="00CF6834" w:rsidP="005338A3">
      <w:pPr>
        <w:pStyle w:val="Heading3"/>
        <w:rPr>
          <w:sz w:val="18"/>
          <w:shd w:val="clear" w:color="auto" w:fill="D86DCB" w:themeFill="accent5" w:themeFillTint="99"/>
        </w:rPr>
      </w:pPr>
      <w:bookmarkStart w:id="111" w:name="_Toc234960883"/>
      <w:r>
        <w:t>Overall guidance/advice development process</w:t>
      </w:r>
      <w:bookmarkEnd w:id="111"/>
    </w:p>
    <w:tbl>
      <w:tblPr>
        <w:tblStyle w:val="TableGrid1"/>
        <w:tblW w:w="15452" w:type="dxa"/>
        <w:tblInd w:w="-294"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686"/>
        <w:gridCol w:w="992"/>
        <w:gridCol w:w="9073"/>
        <w:gridCol w:w="1701"/>
      </w:tblGrid>
      <w:tr w:rsidR="00CF6834" w:rsidRPr="00C250A1" w14:paraId="7661BAD5" w14:textId="77777777" w:rsidTr="00C577A7">
        <w:trPr>
          <w:cantSplit/>
          <w:trHeight w:val="541"/>
          <w:tblHeader/>
        </w:trPr>
        <w:tc>
          <w:tcPr>
            <w:tcW w:w="368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19086151" w14:textId="77777777" w:rsidR="00CF6834" w:rsidRPr="00C250A1" w:rsidRDefault="00CF6834" w:rsidP="00576EA7">
            <w:pPr>
              <w:rPr>
                <w:b/>
                <w:bCs/>
                <w:sz w:val="20"/>
                <w:szCs w:val="20"/>
                <w:vertAlign w:val="superscript"/>
              </w:rPr>
            </w:pPr>
            <w:r w:rsidRPr="00C250A1">
              <w:rPr>
                <w:b/>
                <w:bCs/>
                <w:sz w:val="20"/>
                <w:szCs w:val="20"/>
              </w:rPr>
              <w:t>Criteria</w:t>
            </w:r>
          </w:p>
        </w:tc>
        <w:tc>
          <w:tcPr>
            <w:tcW w:w="992" w:type="dxa"/>
            <w:tcBorders>
              <w:top w:val="single" w:sz="8" w:space="0" w:color="auto"/>
              <w:left w:val="single" w:sz="4" w:space="0" w:color="auto"/>
              <w:bottom w:val="single" w:sz="8" w:space="0" w:color="auto"/>
              <w:right w:val="single" w:sz="8" w:space="0" w:color="auto"/>
            </w:tcBorders>
            <w:shd w:val="clear" w:color="auto" w:fill="BFBFBF" w:themeFill="background1" w:themeFillShade="BF"/>
            <w:vAlign w:val="center"/>
            <w:hideMark/>
          </w:tcPr>
          <w:p w14:paraId="718A2CED" w14:textId="77777777" w:rsidR="00CF6834" w:rsidRPr="00C250A1" w:rsidRDefault="00CF6834" w:rsidP="00576EA7">
            <w:pPr>
              <w:rPr>
                <w:b/>
                <w:bCs/>
                <w:sz w:val="20"/>
                <w:szCs w:val="20"/>
              </w:rPr>
            </w:pPr>
            <w:r w:rsidRPr="00C250A1">
              <w:rPr>
                <w:b/>
                <w:bCs/>
                <w:sz w:val="20"/>
                <w:szCs w:val="20"/>
              </w:rPr>
              <w:t>Yes/No/NA</w:t>
            </w:r>
          </w:p>
        </w:tc>
        <w:tc>
          <w:tcPr>
            <w:tcW w:w="9073"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5CEA6B65" w14:textId="77777777" w:rsidR="00CF6834" w:rsidRPr="00C250A1" w:rsidRDefault="00CF6834" w:rsidP="00576EA7">
            <w:pPr>
              <w:rPr>
                <w:b/>
                <w:bCs/>
                <w:sz w:val="20"/>
                <w:szCs w:val="20"/>
              </w:rPr>
            </w:pPr>
            <w:r w:rsidRPr="00C250A1">
              <w:rPr>
                <w:b/>
                <w:bCs/>
                <w:sz w:val="20"/>
                <w:szCs w:val="20"/>
              </w:rPr>
              <w:t>Comment</w:t>
            </w:r>
          </w:p>
        </w:tc>
        <w:tc>
          <w:tcPr>
            <w:tcW w:w="170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2826DFBA" w14:textId="77777777" w:rsidR="00CF6834" w:rsidRPr="00C250A1" w:rsidRDefault="00CF6834" w:rsidP="00576EA7">
            <w:pPr>
              <w:rPr>
                <w:b/>
                <w:bCs/>
                <w:sz w:val="20"/>
                <w:szCs w:val="20"/>
              </w:rPr>
            </w:pPr>
            <w:r w:rsidRPr="00C250A1">
              <w:rPr>
                <w:b/>
                <w:bCs/>
                <w:sz w:val="20"/>
                <w:szCs w:val="20"/>
              </w:rPr>
              <w:t>Page #</w:t>
            </w:r>
          </w:p>
        </w:tc>
      </w:tr>
      <w:tr w:rsidR="00CF6834" w:rsidRPr="00C250A1" w14:paraId="077B5175"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1E497C89" w14:textId="77777777" w:rsidR="00CF6834" w:rsidRPr="00C250A1" w:rsidRDefault="00CF6834" w:rsidP="00576EA7">
            <w:pPr>
              <w:rPr>
                <w:sz w:val="20"/>
                <w:szCs w:val="20"/>
              </w:rPr>
            </w:pPr>
            <w:r w:rsidRPr="00C250A1">
              <w:rPr>
                <w:sz w:val="20"/>
                <w:szCs w:val="20"/>
              </w:rPr>
              <w:t>Are the administrative processes (e.g. the NRV development process and associated governance, principles and procedures) documented and publicly available?</w:t>
            </w:r>
          </w:p>
        </w:tc>
        <w:tc>
          <w:tcPr>
            <w:tcW w:w="992" w:type="dxa"/>
            <w:tcBorders>
              <w:top w:val="single" w:sz="4" w:space="0" w:color="auto"/>
              <w:left w:val="single" w:sz="4" w:space="0" w:color="auto"/>
              <w:bottom w:val="single" w:sz="4" w:space="0" w:color="auto"/>
              <w:right w:val="single" w:sz="4" w:space="0" w:color="auto"/>
            </w:tcBorders>
            <w:vAlign w:val="center"/>
          </w:tcPr>
          <w:p w14:paraId="043B50B1" w14:textId="77777777" w:rsidR="00CF6834" w:rsidRPr="00C250A1" w:rsidRDefault="00CF6834" w:rsidP="00576EA7">
            <w:pPr>
              <w:rPr>
                <w:sz w:val="20"/>
                <w:szCs w:val="20"/>
              </w:rPr>
            </w:pPr>
            <w:r w:rsidRPr="00C250A1">
              <w:rPr>
                <w:sz w:val="20"/>
                <w:szCs w:val="20"/>
              </w:rPr>
              <w:t>Mostly Yes</w:t>
            </w:r>
          </w:p>
        </w:tc>
        <w:tc>
          <w:tcPr>
            <w:tcW w:w="9073" w:type="dxa"/>
            <w:tcBorders>
              <w:top w:val="single" w:sz="4" w:space="0" w:color="auto"/>
              <w:left w:val="single" w:sz="4" w:space="0" w:color="auto"/>
              <w:bottom w:val="single" w:sz="4" w:space="0" w:color="auto"/>
              <w:right w:val="single" w:sz="8" w:space="0" w:color="auto"/>
            </w:tcBorders>
            <w:vAlign w:val="center"/>
          </w:tcPr>
          <w:p w14:paraId="72933D43" w14:textId="2D191456" w:rsidR="00CF6834" w:rsidRPr="00C250A1" w:rsidRDefault="00CF6834" w:rsidP="00576EA7">
            <w:pPr>
              <w:rPr>
                <w:sz w:val="20"/>
                <w:szCs w:val="20"/>
              </w:rPr>
            </w:pPr>
            <w:r w:rsidRPr="00C250A1">
              <w:rPr>
                <w:sz w:val="20"/>
                <w:szCs w:val="20"/>
              </w:rPr>
              <w:t>Methodologies are outlined in detail, but some of the administrative procedures are unclear</w:t>
            </w:r>
            <w:r w:rsidR="00B41E86" w:rsidRPr="00C250A1">
              <w:rPr>
                <w:sz w:val="20"/>
                <w:szCs w:val="20"/>
              </w:rPr>
              <w:t xml:space="preserve"> (s</w:t>
            </w:r>
            <w:r w:rsidRPr="00C250A1">
              <w:rPr>
                <w:sz w:val="20"/>
                <w:szCs w:val="20"/>
              </w:rPr>
              <w:t>ee below</w:t>
            </w:r>
            <w:r w:rsidR="00B41E86" w:rsidRPr="00C250A1">
              <w:rPr>
                <w:sz w:val="20"/>
                <w:szCs w:val="20"/>
              </w:rPr>
              <w:t>)</w:t>
            </w:r>
          </w:p>
        </w:tc>
        <w:tc>
          <w:tcPr>
            <w:tcW w:w="1701" w:type="dxa"/>
            <w:tcBorders>
              <w:top w:val="single" w:sz="4" w:space="0" w:color="auto"/>
              <w:left w:val="single" w:sz="4" w:space="0" w:color="auto"/>
              <w:bottom w:val="single" w:sz="4" w:space="0" w:color="auto"/>
              <w:right w:val="single" w:sz="8" w:space="0" w:color="auto"/>
            </w:tcBorders>
            <w:vAlign w:val="center"/>
          </w:tcPr>
          <w:p w14:paraId="15A21E91" w14:textId="67AEF475" w:rsidR="00CF6834" w:rsidRPr="00C250A1" w:rsidRDefault="006B644A" w:rsidP="00576EA7">
            <w:pPr>
              <w:rPr>
                <w:sz w:val="20"/>
                <w:szCs w:val="20"/>
              </w:rPr>
            </w:pPr>
            <w:r w:rsidRPr="00C250A1">
              <w:rPr>
                <w:sz w:val="20"/>
                <w:szCs w:val="20"/>
              </w:rPr>
              <w:t>NA</w:t>
            </w:r>
          </w:p>
        </w:tc>
      </w:tr>
      <w:tr w:rsidR="00CF6834" w:rsidRPr="00C250A1" w14:paraId="4776187A" w14:textId="77777777" w:rsidTr="00C577A7">
        <w:trPr>
          <w:cantSplit/>
        </w:trPr>
        <w:tc>
          <w:tcPr>
            <w:tcW w:w="3686" w:type="dxa"/>
            <w:tcBorders>
              <w:top w:val="single" w:sz="8" w:space="0" w:color="auto"/>
              <w:left w:val="single" w:sz="4" w:space="0" w:color="auto"/>
              <w:bottom w:val="single" w:sz="4" w:space="0" w:color="auto"/>
              <w:right w:val="single" w:sz="4" w:space="0" w:color="auto"/>
            </w:tcBorders>
            <w:vAlign w:val="center"/>
            <w:hideMark/>
          </w:tcPr>
          <w:p w14:paraId="20F0B27F" w14:textId="77777777" w:rsidR="00CF6834" w:rsidRPr="00C250A1" w:rsidRDefault="00CF6834" w:rsidP="00576EA7">
            <w:pPr>
              <w:rPr>
                <w:sz w:val="20"/>
                <w:szCs w:val="20"/>
              </w:rPr>
            </w:pPr>
            <w:r w:rsidRPr="00C250A1">
              <w:rPr>
                <w:sz w:val="20"/>
                <w:szCs w:val="20"/>
              </w:rPr>
              <w:t>Are the key stages of the organisation’s NRV development processes compatible with NHMRC processes? (i.e., relevant and useful, transparent, overseen by a guideline development group/committee,</w:t>
            </w:r>
            <w:r w:rsidRPr="00C250A1">
              <w:rPr>
                <w:color w:val="FF0000"/>
                <w:sz w:val="20"/>
                <w:szCs w:val="20"/>
              </w:rPr>
              <w:t xml:space="preserve"> </w:t>
            </w:r>
            <w:r w:rsidRPr="00C250A1">
              <w:rPr>
                <w:sz w:val="20"/>
                <w:szCs w:val="20"/>
              </w:rPr>
              <w:t>COI management, focussed on health-related outcomes, evidence informed, actionable recs, up to date and accessible)</w:t>
            </w:r>
          </w:p>
        </w:tc>
        <w:tc>
          <w:tcPr>
            <w:tcW w:w="992" w:type="dxa"/>
            <w:tcBorders>
              <w:top w:val="single" w:sz="8" w:space="0" w:color="auto"/>
              <w:left w:val="single" w:sz="4" w:space="0" w:color="auto"/>
              <w:bottom w:val="single" w:sz="4" w:space="0" w:color="auto"/>
              <w:right w:val="single" w:sz="4" w:space="0" w:color="auto"/>
            </w:tcBorders>
            <w:vAlign w:val="center"/>
          </w:tcPr>
          <w:p w14:paraId="4CFC866E" w14:textId="77777777" w:rsidR="00CF6834" w:rsidRPr="00C250A1" w:rsidRDefault="00CF6834" w:rsidP="00576EA7">
            <w:pPr>
              <w:rPr>
                <w:sz w:val="20"/>
                <w:szCs w:val="20"/>
              </w:rPr>
            </w:pPr>
            <w:r w:rsidRPr="00C250A1">
              <w:rPr>
                <w:sz w:val="20"/>
                <w:szCs w:val="20"/>
              </w:rPr>
              <w:t>Mostly Yes</w:t>
            </w:r>
          </w:p>
        </w:tc>
        <w:tc>
          <w:tcPr>
            <w:tcW w:w="9073" w:type="dxa"/>
            <w:tcBorders>
              <w:top w:val="single" w:sz="8" w:space="0" w:color="auto"/>
              <w:left w:val="single" w:sz="4" w:space="0" w:color="auto"/>
              <w:bottom w:val="single" w:sz="4" w:space="0" w:color="auto"/>
              <w:right w:val="single" w:sz="8" w:space="0" w:color="auto"/>
            </w:tcBorders>
            <w:vAlign w:val="center"/>
          </w:tcPr>
          <w:p w14:paraId="0EBE1111" w14:textId="50BC3FF3" w:rsidR="00CF6834" w:rsidRPr="00C250A1" w:rsidRDefault="00915970" w:rsidP="00576EA7">
            <w:pPr>
              <w:rPr>
                <w:sz w:val="20"/>
                <w:szCs w:val="20"/>
              </w:rPr>
            </w:pPr>
            <w:r>
              <w:rPr>
                <w:sz w:val="20"/>
                <w:szCs w:val="20"/>
              </w:rPr>
              <w:t>Development process is b</w:t>
            </w:r>
            <w:r w:rsidR="00CF6834" w:rsidRPr="00C250A1">
              <w:rPr>
                <w:sz w:val="20"/>
                <w:szCs w:val="20"/>
              </w:rPr>
              <w:t xml:space="preserve">roadly compatible with NHMRC 2016 Standards: Relevant and useful, transparent, overseen by a </w:t>
            </w:r>
            <w:r w:rsidR="00130F60" w:rsidRPr="00C250A1">
              <w:rPr>
                <w:sz w:val="20"/>
                <w:szCs w:val="20"/>
              </w:rPr>
              <w:t>guideline development group, procedures for conflict of interest declaration and management</w:t>
            </w:r>
            <w:r w:rsidR="00CF6834" w:rsidRPr="00C250A1">
              <w:rPr>
                <w:sz w:val="20"/>
                <w:szCs w:val="20"/>
              </w:rPr>
              <w:t>, focussed on health-related outcomes, evidence informed, actionable rec</w:t>
            </w:r>
            <w:r w:rsidR="00130F60" w:rsidRPr="00C250A1">
              <w:rPr>
                <w:sz w:val="20"/>
                <w:szCs w:val="20"/>
              </w:rPr>
              <w:t>ommendations</w:t>
            </w:r>
            <w:r w:rsidR="00CF6834" w:rsidRPr="00C250A1">
              <w:rPr>
                <w:sz w:val="20"/>
                <w:szCs w:val="20"/>
              </w:rPr>
              <w:t>, accessible.</w:t>
            </w:r>
            <w:r w:rsidR="00130F60" w:rsidRPr="00C250A1">
              <w:rPr>
                <w:sz w:val="20"/>
                <w:szCs w:val="20"/>
              </w:rPr>
              <w:t xml:space="preserve"> Although not </w:t>
            </w:r>
            <w:r w:rsidR="00D24913" w:rsidRPr="00C250A1">
              <w:rPr>
                <w:sz w:val="20"/>
                <w:szCs w:val="20"/>
              </w:rPr>
              <w:t xml:space="preserve">up to date, </w:t>
            </w:r>
            <w:r w:rsidR="003205DA" w:rsidRPr="00C250A1">
              <w:rPr>
                <w:sz w:val="20"/>
                <w:szCs w:val="20"/>
              </w:rPr>
              <w:t xml:space="preserve">within 5 year </w:t>
            </w:r>
            <w:proofErr w:type="gramStart"/>
            <w:r w:rsidR="003205DA" w:rsidRPr="00C250A1">
              <w:rPr>
                <w:sz w:val="20"/>
                <w:szCs w:val="20"/>
              </w:rPr>
              <w:t>time period</w:t>
            </w:r>
            <w:proofErr w:type="gramEnd"/>
            <w:r w:rsidR="003205DA" w:rsidRPr="00C250A1">
              <w:rPr>
                <w:sz w:val="20"/>
                <w:szCs w:val="20"/>
              </w:rPr>
              <w:t xml:space="preserve"> at the time of checklist completion (see below).</w:t>
            </w:r>
          </w:p>
        </w:tc>
        <w:tc>
          <w:tcPr>
            <w:tcW w:w="1701" w:type="dxa"/>
            <w:tcBorders>
              <w:top w:val="single" w:sz="8" w:space="0" w:color="auto"/>
              <w:left w:val="single" w:sz="4" w:space="0" w:color="auto"/>
              <w:bottom w:val="single" w:sz="4" w:space="0" w:color="auto"/>
              <w:right w:val="single" w:sz="8" w:space="0" w:color="auto"/>
            </w:tcBorders>
            <w:vAlign w:val="center"/>
          </w:tcPr>
          <w:p w14:paraId="2CA16A41" w14:textId="166D8CED" w:rsidR="00CF6834" w:rsidRPr="00C250A1" w:rsidRDefault="006B644A" w:rsidP="00576EA7">
            <w:pPr>
              <w:rPr>
                <w:sz w:val="20"/>
                <w:szCs w:val="20"/>
              </w:rPr>
            </w:pPr>
            <w:r w:rsidRPr="00C250A1">
              <w:rPr>
                <w:sz w:val="20"/>
                <w:szCs w:val="20"/>
              </w:rPr>
              <w:t>NA</w:t>
            </w:r>
          </w:p>
        </w:tc>
      </w:tr>
      <w:tr w:rsidR="00CF6834" w:rsidRPr="00C250A1" w14:paraId="54094F9C"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1895EA7F" w14:textId="674FF3D9" w:rsidR="00CF6834" w:rsidRPr="00C250A1" w:rsidRDefault="00CF6834" w:rsidP="00576EA7">
            <w:pPr>
              <w:rPr>
                <w:sz w:val="20"/>
                <w:szCs w:val="20"/>
              </w:rPr>
            </w:pPr>
            <w:r w:rsidRPr="00C250A1">
              <w:rPr>
                <w:sz w:val="20"/>
                <w:szCs w:val="20"/>
              </w:rPr>
              <w:t>Was the work overseen by an expert advisory committee?</w:t>
            </w:r>
          </w:p>
        </w:tc>
        <w:tc>
          <w:tcPr>
            <w:tcW w:w="992" w:type="dxa"/>
            <w:tcBorders>
              <w:top w:val="single" w:sz="4" w:space="0" w:color="auto"/>
              <w:left w:val="single" w:sz="4" w:space="0" w:color="auto"/>
              <w:bottom w:val="single" w:sz="4" w:space="0" w:color="auto"/>
              <w:right w:val="single" w:sz="4" w:space="0" w:color="auto"/>
            </w:tcBorders>
            <w:vAlign w:val="center"/>
          </w:tcPr>
          <w:p w14:paraId="4A51CC5F" w14:textId="77777777" w:rsidR="00CF6834" w:rsidRPr="00C250A1" w:rsidRDefault="00CF6834" w:rsidP="00576EA7">
            <w:pPr>
              <w:rPr>
                <w:sz w:val="20"/>
                <w:szCs w:val="20"/>
              </w:rPr>
            </w:pPr>
            <w:r w:rsidRPr="00C250A1">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3F1A483B" w14:textId="484F46AF" w:rsidR="00CF6834" w:rsidRPr="00C250A1" w:rsidRDefault="00CF6834" w:rsidP="00576EA7">
            <w:pPr>
              <w:rPr>
                <w:sz w:val="20"/>
                <w:szCs w:val="20"/>
              </w:rPr>
            </w:pPr>
            <w:r w:rsidRPr="00C250A1">
              <w:rPr>
                <w:sz w:val="20"/>
                <w:szCs w:val="20"/>
              </w:rPr>
              <w:t xml:space="preserve">Committee to Review the Dietary Reference Intakes for Sodium and Potassium – </w:t>
            </w:r>
            <w:r w:rsidR="0000657D" w:rsidRPr="00C250A1">
              <w:rPr>
                <w:sz w:val="20"/>
                <w:szCs w:val="20"/>
              </w:rPr>
              <w:t>membership is</w:t>
            </w:r>
            <w:r w:rsidRPr="00C250A1">
              <w:rPr>
                <w:sz w:val="20"/>
                <w:szCs w:val="20"/>
              </w:rPr>
              <w:t xml:space="preserve"> listed</w:t>
            </w:r>
          </w:p>
        </w:tc>
        <w:tc>
          <w:tcPr>
            <w:tcW w:w="1701" w:type="dxa"/>
            <w:tcBorders>
              <w:top w:val="single" w:sz="4" w:space="0" w:color="auto"/>
              <w:left w:val="single" w:sz="4" w:space="0" w:color="auto"/>
              <w:bottom w:val="single" w:sz="4" w:space="0" w:color="auto"/>
              <w:right w:val="single" w:sz="8" w:space="0" w:color="auto"/>
            </w:tcBorders>
            <w:vAlign w:val="center"/>
          </w:tcPr>
          <w:p w14:paraId="6E51D29A" w14:textId="77777777" w:rsidR="00CF6834" w:rsidRPr="00C250A1" w:rsidRDefault="00CF6834" w:rsidP="00576EA7">
            <w:pPr>
              <w:rPr>
                <w:sz w:val="20"/>
                <w:szCs w:val="20"/>
              </w:rPr>
            </w:pPr>
            <w:r w:rsidRPr="00C250A1">
              <w:rPr>
                <w:sz w:val="20"/>
                <w:szCs w:val="20"/>
              </w:rPr>
              <w:t>v</w:t>
            </w:r>
          </w:p>
        </w:tc>
      </w:tr>
      <w:tr w:rsidR="00CF6834" w:rsidRPr="00C250A1" w14:paraId="593E9277"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044002A5" w14:textId="77777777" w:rsidR="00CF6834" w:rsidRPr="00C250A1" w:rsidRDefault="00CF6834" w:rsidP="00576EA7">
            <w:pPr>
              <w:rPr>
                <w:sz w:val="20"/>
                <w:szCs w:val="20"/>
              </w:rPr>
            </w:pPr>
            <w:r w:rsidRPr="00C250A1">
              <w:rPr>
                <w:sz w:val="20"/>
                <w:szCs w:val="20"/>
              </w:rPr>
              <w:t>Are potential conflicts of interest of committee members declared, managed and/or reported?</w:t>
            </w:r>
          </w:p>
        </w:tc>
        <w:tc>
          <w:tcPr>
            <w:tcW w:w="992" w:type="dxa"/>
            <w:tcBorders>
              <w:top w:val="single" w:sz="4" w:space="0" w:color="auto"/>
              <w:left w:val="single" w:sz="4" w:space="0" w:color="auto"/>
              <w:bottom w:val="single" w:sz="4" w:space="0" w:color="auto"/>
              <w:right w:val="single" w:sz="4" w:space="0" w:color="auto"/>
            </w:tcBorders>
            <w:vAlign w:val="center"/>
          </w:tcPr>
          <w:p w14:paraId="26B227CB" w14:textId="77777777" w:rsidR="00CF6834" w:rsidRPr="00C250A1" w:rsidRDefault="00CF6834" w:rsidP="00576EA7">
            <w:pPr>
              <w:rPr>
                <w:sz w:val="20"/>
                <w:szCs w:val="20"/>
              </w:rPr>
            </w:pPr>
            <w:r w:rsidRPr="00C250A1">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1BAD64E6" w14:textId="014AAFF1" w:rsidR="00CF6834" w:rsidRPr="00C250A1" w:rsidRDefault="00CF6834" w:rsidP="00576EA7">
            <w:pPr>
              <w:rPr>
                <w:sz w:val="20"/>
                <w:szCs w:val="20"/>
              </w:rPr>
            </w:pPr>
            <w:r w:rsidRPr="00C250A1">
              <w:rPr>
                <w:sz w:val="20"/>
                <w:szCs w:val="20"/>
              </w:rPr>
              <w:t xml:space="preserve">The report has biographical sketches of committee members but no </w:t>
            </w:r>
            <w:r w:rsidR="0000657D" w:rsidRPr="00C250A1">
              <w:rPr>
                <w:sz w:val="20"/>
                <w:szCs w:val="20"/>
              </w:rPr>
              <w:t xml:space="preserve">explicit </w:t>
            </w:r>
            <w:r w:rsidRPr="00C250A1">
              <w:rPr>
                <w:sz w:val="20"/>
                <w:szCs w:val="20"/>
              </w:rPr>
              <w:t>mention of a</w:t>
            </w:r>
            <w:r w:rsidR="0000657D" w:rsidRPr="00C250A1">
              <w:rPr>
                <w:sz w:val="20"/>
                <w:szCs w:val="20"/>
              </w:rPr>
              <w:t xml:space="preserve"> conflict of interest </w:t>
            </w:r>
            <w:r w:rsidRPr="00C250A1">
              <w:rPr>
                <w:sz w:val="20"/>
                <w:szCs w:val="20"/>
              </w:rPr>
              <w:t>process.</w:t>
            </w:r>
          </w:p>
          <w:p w14:paraId="66049056" w14:textId="294C5771" w:rsidR="00CF6834" w:rsidRPr="00C250A1" w:rsidRDefault="00CF6834" w:rsidP="00576EA7">
            <w:pPr>
              <w:rPr>
                <w:sz w:val="20"/>
                <w:szCs w:val="20"/>
              </w:rPr>
            </w:pPr>
            <w:proofErr w:type="spellStart"/>
            <w:r w:rsidRPr="00C250A1">
              <w:rPr>
                <w:sz w:val="20"/>
                <w:szCs w:val="20"/>
              </w:rPr>
              <w:t>CoI</w:t>
            </w:r>
            <w:proofErr w:type="spellEnd"/>
            <w:r w:rsidRPr="00C250A1">
              <w:rPr>
                <w:sz w:val="20"/>
                <w:szCs w:val="20"/>
              </w:rPr>
              <w:t xml:space="preserve"> processes are managed under a general National Academies policy.</w:t>
            </w:r>
          </w:p>
          <w:p w14:paraId="582229B4" w14:textId="77777777" w:rsidR="00CF6834" w:rsidRPr="00C250A1" w:rsidRDefault="00CF6834" w:rsidP="00576EA7">
            <w:pPr>
              <w:rPr>
                <w:rFonts w:cstheme="minorHAnsi"/>
                <w:sz w:val="20"/>
                <w:szCs w:val="20"/>
              </w:rPr>
            </w:pPr>
            <w:r w:rsidRPr="00C250A1">
              <w:rPr>
                <w:sz w:val="20"/>
                <w:szCs w:val="20"/>
              </w:rPr>
              <w:t>The AHRQ report used by the committee has a declaration that none of the authors had conflicts of interest.</w:t>
            </w:r>
          </w:p>
        </w:tc>
        <w:tc>
          <w:tcPr>
            <w:tcW w:w="1701" w:type="dxa"/>
            <w:tcBorders>
              <w:top w:val="single" w:sz="4" w:space="0" w:color="auto"/>
              <w:left w:val="single" w:sz="4" w:space="0" w:color="auto"/>
              <w:bottom w:val="single" w:sz="4" w:space="0" w:color="auto"/>
              <w:right w:val="single" w:sz="8" w:space="0" w:color="auto"/>
            </w:tcBorders>
            <w:vAlign w:val="center"/>
          </w:tcPr>
          <w:p w14:paraId="31A6BEE6" w14:textId="3B443395" w:rsidR="00CF6834" w:rsidRPr="00C250A1" w:rsidRDefault="00CF6834" w:rsidP="00576EA7">
            <w:pPr>
              <w:rPr>
                <w:rFonts w:eastAsia="Times New Roman" w:cstheme="minorHAnsi"/>
                <w:sz w:val="20"/>
                <w:szCs w:val="20"/>
              </w:rPr>
            </w:pPr>
            <w:hyperlink r:id="rId195" w:history="1">
              <w:r w:rsidRPr="00C250A1">
                <w:rPr>
                  <w:rFonts w:eastAsia="Times New Roman" w:cstheme="minorHAnsi"/>
                  <w:color w:val="0000FF"/>
                  <w:sz w:val="20"/>
                  <w:szCs w:val="20"/>
                  <w:u w:val="single"/>
                </w:rPr>
                <w:t>NASEM 2003 COI Policy.pdf</w:t>
              </w:r>
            </w:hyperlink>
          </w:p>
          <w:p w14:paraId="64F65598" w14:textId="77777777" w:rsidR="00CF6834" w:rsidRPr="00C250A1" w:rsidRDefault="00CF6834" w:rsidP="00576EA7">
            <w:pPr>
              <w:rPr>
                <w:sz w:val="20"/>
                <w:szCs w:val="20"/>
              </w:rPr>
            </w:pPr>
          </w:p>
        </w:tc>
      </w:tr>
      <w:tr w:rsidR="00CF6834" w:rsidRPr="00C250A1" w14:paraId="086A9D68"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5085CECC" w14:textId="77777777" w:rsidR="00CF6834" w:rsidRPr="00C250A1" w:rsidRDefault="00CF6834" w:rsidP="00576EA7">
            <w:pPr>
              <w:rPr>
                <w:sz w:val="20"/>
                <w:szCs w:val="20"/>
              </w:rPr>
            </w:pPr>
            <w:r w:rsidRPr="00C250A1">
              <w:rPr>
                <w:sz w:val="20"/>
                <w:szCs w:val="20"/>
              </w:rPr>
              <w:lastRenderedPageBreak/>
              <w:t>Are funding sources declared?</w:t>
            </w:r>
          </w:p>
        </w:tc>
        <w:tc>
          <w:tcPr>
            <w:tcW w:w="992" w:type="dxa"/>
            <w:tcBorders>
              <w:top w:val="single" w:sz="4" w:space="0" w:color="auto"/>
              <w:left w:val="single" w:sz="4" w:space="0" w:color="auto"/>
              <w:bottom w:val="single" w:sz="4" w:space="0" w:color="auto"/>
              <w:right w:val="single" w:sz="4" w:space="0" w:color="auto"/>
            </w:tcBorders>
            <w:vAlign w:val="center"/>
          </w:tcPr>
          <w:p w14:paraId="385B53B5" w14:textId="77777777" w:rsidR="00CF6834" w:rsidRPr="00C250A1" w:rsidRDefault="00CF6834" w:rsidP="00576EA7">
            <w:pPr>
              <w:rPr>
                <w:sz w:val="20"/>
                <w:szCs w:val="20"/>
              </w:rPr>
            </w:pPr>
            <w:r w:rsidRPr="00C250A1">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22A71A4D" w14:textId="70C347F1" w:rsidR="00CF6834" w:rsidRPr="00C250A1" w:rsidRDefault="00CF6834" w:rsidP="00576EA7">
            <w:pPr>
              <w:rPr>
                <w:sz w:val="20"/>
                <w:szCs w:val="20"/>
              </w:rPr>
            </w:pPr>
            <w:r w:rsidRPr="00C250A1">
              <w:rPr>
                <w:sz w:val="20"/>
                <w:szCs w:val="20"/>
              </w:rPr>
              <w:t>Details are provided – most funding is between government departments, but the WK Kellogg Foundation and Kellogg Health Public fund also contributed. These are charitable organisations, with independent boards, but still hold shares in the food company.</w:t>
            </w:r>
          </w:p>
        </w:tc>
        <w:tc>
          <w:tcPr>
            <w:tcW w:w="1701" w:type="dxa"/>
            <w:tcBorders>
              <w:top w:val="single" w:sz="4" w:space="0" w:color="auto"/>
              <w:left w:val="single" w:sz="4" w:space="0" w:color="auto"/>
              <w:bottom w:val="single" w:sz="4" w:space="0" w:color="auto"/>
              <w:right w:val="single" w:sz="8" w:space="0" w:color="auto"/>
            </w:tcBorders>
            <w:vAlign w:val="center"/>
          </w:tcPr>
          <w:p w14:paraId="7FA8C3C0" w14:textId="77777777" w:rsidR="00CF6834" w:rsidRPr="00C250A1" w:rsidRDefault="00CF6834" w:rsidP="00576EA7">
            <w:pPr>
              <w:rPr>
                <w:sz w:val="20"/>
                <w:szCs w:val="20"/>
              </w:rPr>
            </w:pPr>
            <w:r w:rsidRPr="00C250A1">
              <w:rPr>
                <w:sz w:val="20"/>
                <w:szCs w:val="20"/>
              </w:rPr>
              <w:t>ii</w:t>
            </w:r>
          </w:p>
        </w:tc>
      </w:tr>
      <w:tr w:rsidR="00CF6834" w:rsidRPr="00C250A1" w14:paraId="16767FCD"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7D254D9C" w14:textId="77777777" w:rsidR="00CF6834" w:rsidRPr="00C250A1" w:rsidRDefault="00CF6834" w:rsidP="00576EA7">
            <w:pPr>
              <w:rPr>
                <w:sz w:val="20"/>
                <w:szCs w:val="20"/>
              </w:rPr>
            </w:pPr>
            <w:r w:rsidRPr="00C250A1">
              <w:rPr>
                <w:sz w:val="20"/>
                <w:szCs w:val="20"/>
              </w:rPr>
              <w:t>Was there public consultation on this work? if yes, is the public consultation documented and/or published?</w:t>
            </w:r>
          </w:p>
        </w:tc>
        <w:tc>
          <w:tcPr>
            <w:tcW w:w="992" w:type="dxa"/>
            <w:tcBorders>
              <w:top w:val="single" w:sz="4" w:space="0" w:color="auto"/>
              <w:left w:val="single" w:sz="4" w:space="0" w:color="auto"/>
              <w:bottom w:val="single" w:sz="4" w:space="0" w:color="auto"/>
              <w:right w:val="single" w:sz="4" w:space="0" w:color="auto"/>
            </w:tcBorders>
            <w:vAlign w:val="center"/>
          </w:tcPr>
          <w:p w14:paraId="1B1F47AB" w14:textId="77777777" w:rsidR="00CF6834" w:rsidRPr="00C250A1" w:rsidRDefault="00CF6834" w:rsidP="00576EA7">
            <w:pPr>
              <w:rPr>
                <w:sz w:val="20"/>
                <w:szCs w:val="20"/>
              </w:rPr>
            </w:pPr>
            <w:r w:rsidRPr="00C250A1">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1A0D377A" w14:textId="1B148058" w:rsidR="00CF6834" w:rsidRPr="00C250A1" w:rsidRDefault="00CF6834" w:rsidP="00576EA7">
            <w:pPr>
              <w:rPr>
                <w:sz w:val="20"/>
                <w:szCs w:val="20"/>
              </w:rPr>
            </w:pPr>
            <w:r w:rsidRPr="00C250A1">
              <w:rPr>
                <w:sz w:val="20"/>
                <w:szCs w:val="20"/>
              </w:rPr>
              <w:t>Open meeting Dec 6</w:t>
            </w:r>
            <w:r w:rsidRPr="00C250A1">
              <w:rPr>
                <w:sz w:val="20"/>
                <w:szCs w:val="20"/>
                <w:vertAlign w:val="superscript"/>
              </w:rPr>
              <w:t>th</w:t>
            </w:r>
            <w:proofErr w:type="gramStart"/>
            <w:r w:rsidRPr="00C250A1">
              <w:rPr>
                <w:sz w:val="20"/>
                <w:szCs w:val="20"/>
              </w:rPr>
              <w:t xml:space="preserve"> 2017</w:t>
            </w:r>
            <w:proofErr w:type="gramEnd"/>
            <w:r w:rsidRPr="00C250A1">
              <w:rPr>
                <w:sz w:val="20"/>
                <w:szCs w:val="20"/>
              </w:rPr>
              <w:t xml:space="preserve"> – targeted and public</w:t>
            </w:r>
          </w:p>
          <w:p w14:paraId="0815FA52" w14:textId="0EABCF3E" w:rsidR="00CF6834" w:rsidRPr="00C250A1" w:rsidRDefault="00CF6834" w:rsidP="00576EA7">
            <w:pPr>
              <w:rPr>
                <w:sz w:val="20"/>
                <w:szCs w:val="20"/>
              </w:rPr>
            </w:pPr>
            <w:r w:rsidRPr="00C250A1">
              <w:rPr>
                <w:sz w:val="20"/>
                <w:szCs w:val="20"/>
              </w:rPr>
              <w:t>Public workshop Mar 7</w:t>
            </w:r>
            <w:r w:rsidRPr="00C250A1">
              <w:rPr>
                <w:sz w:val="20"/>
                <w:szCs w:val="20"/>
                <w:vertAlign w:val="superscript"/>
              </w:rPr>
              <w:t>th</w:t>
            </w:r>
            <w:proofErr w:type="gramStart"/>
            <w:r w:rsidRPr="00C250A1">
              <w:rPr>
                <w:sz w:val="20"/>
                <w:szCs w:val="20"/>
              </w:rPr>
              <w:t xml:space="preserve"> 2018</w:t>
            </w:r>
            <w:proofErr w:type="gramEnd"/>
            <w:r w:rsidRPr="00C250A1">
              <w:rPr>
                <w:sz w:val="20"/>
                <w:szCs w:val="20"/>
              </w:rPr>
              <w:t xml:space="preserve"> – targeted and public, included a session for public comment</w:t>
            </w:r>
          </w:p>
          <w:p w14:paraId="4E30DBB4" w14:textId="77777777" w:rsidR="00CF6834" w:rsidRPr="00C250A1" w:rsidRDefault="00CF6834" w:rsidP="00576EA7">
            <w:pPr>
              <w:rPr>
                <w:sz w:val="20"/>
                <w:szCs w:val="20"/>
              </w:rPr>
            </w:pPr>
            <w:r w:rsidRPr="00C250A1">
              <w:rPr>
                <w:sz w:val="20"/>
                <w:szCs w:val="20"/>
              </w:rPr>
              <w:t>Open meeting Mar 9</w:t>
            </w:r>
            <w:r w:rsidRPr="00C250A1">
              <w:rPr>
                <w:sz w:val="20"/>
                <w:szCs w:val="20"/>
                <w:vertAlign w:val="superscript"/>
              </w:rPr>
              <w:t>th</w:t>
            </w:r>
            <w:proofErr w:type="gramStart"/>
            <w:r w:rsidRPr="00C250A1">
              <w:rPr>
                <w:sz w:val="20"/>
                <w:szCs w:val="20"/>
              </w:rPr>
              <w:t xml:space="preserve"> 2018</w:t>
            </w:r>
            <w:proofErr w:type="gramEnd"/>
            <w:r w:rsidRPr="00C250A1">
              <w:rPr>
                <w:sz w:val="20"/>
                <w:szCs w:val="20"/>
              </w:rPr>
              <w:t xml:space="preserve"> - targeted and public</w:t>
            </w:r>
          </w:p>
          <w:p w14:paraId="43695FE8" w14:textId="77777777" w:rsidR="00CF6834" w:rsidRPr="00C250A1" w:rsidRDefault="00CF6834" w:rsidP="00576EA7">
            <w:pPr>
              <w:rPr>
                <w:sz w:val="20"/>
                <w:szCs w:val="20"/>
              </w:rPr>
            </w:pPr>
            <w:r w:rsidRPr="00C250A1">
              <w:rPr>
                <w:sz w:val="20"/>
                <w:szCs w:val="20"/>
              </w:rPr>
              <w:t>The request seemed to be for the public to provide comment and sources early in the process, though p.450 also notes “</w:t>
            </w:r>
            <w:r w:rsidRPr="00C250A1">
              <w:rPr>
                <w:i/>
                <w:iCs/>
                <w:sz w:val="20"/>
                <w:szCs w:val="20"/>
              </w:rPr>
              <w:t>This public call for information was in addition to the existing public comment mechanism, in which the public could provide written comments for the committee’s consideration throughout the duration of the study</w:t>
            </w:r>
            <w:r w:rsidRPr="00C250A1">
              <w:rPr>
                <w:sz w:val="20"/>
                <w:szCs w:val="20"/>
              </w:rPr>
              <w:t>.”</w:t>
            </w:r>
          </w:p>
          <w:p w14:paraId="3C91271D" w14:textId="703A41EE" w:rsidR="00CF6834" w:rsidRPr="00C250A1" w:rsidRDefault="00CF6834" w:rsidP="00576EA7">
            <w:pPr>
              <w:rPr>
                <w:sz w:val="20"/>
                <w:szCs w:val="20"/>
              </w:rPr>
            </w:pPr>
            <w:r w:rsidRPr="00C250A1">
              <w:rPr>
                <w:sz w:val="20"/>
                <w:szCs w:val="20"/>
              </w:rPr>
              <w:t>Results of public consultation do not seem to be available, but the agendas for the meetings are.</w:t>
            </w:r>
          </w:p>
          <w:p w14:paraId="27966997" w14:textId="77777777" w:rsidR="00CF6834" w:rsidRPr="00C250A1" w:rsidRDefault="00CF6834" w:rsidP="00576EA7">
            <w:pPr>
              <w:rPr>
                <w:sz w:val="20"/>
                <w:szCs w:val="20"/>
              </w:rPr>
            </w:pPr>
            <w:r w:rsidRPr="00C250A1">
              <w:rPr>
                <w:sz w:val="20"/>
                <w:szCs w:val="20"/>
              </w:rPr>
              <w:t>AHRQ report was available for public consultation for 4 weeks. Comments are publicly available.</w:t>
            </w:r>
          </w:p>
          <w:p w14:paraId="505D8877" w14:textId="06004173" w:rsidR="00CF6834" w:rsidRPr="00C250A1" w:rsidRDefault="00CF6834" w:rsidP="00576EA7">
            <w:pPr>
              <w:rPr>
                <w:sz w:val="20"/>
                <w:szCs w:val="20"/>
              </w:rPr>
            </w:pPr>
            <w:r w:rsidRPr="00C250A1">
              <w:rPr>
                <w:sz w:val="20"/>
                <w:szCs w:val="20"/>
              </w:rPr>
              <w:t>Recommendations are not open for public consultation before the publication of the report (NASEM has a FACA exemption from Congress to do this work).</w:t>
            </w:r>
          </w:p>
        </w:tc>
        <w:tc>
          <w:tcPr>
            <w:tcW w:w="1701" w:type="dxa"/>
            <w:tcBorders>
              <w:top w:val="single" w:sz="4" w:space="0" w:color="auto"/>
              <w:left w:val="single" w:sz="4" w:space="0" w:color="auto"/>
              <w:bottom w:val="single" w:sz="4" w:space="0" w:color="auto"/>
              <w:right w:val="single" w:sz="8" w:space="0" w:color="auto"/>
            </w:tcBorders>
            <w:vAlign w:val="center"/>
          </w:tcPr>
          <w:p w14:paraId="2F49296E" w14:textId="77777777" w:rsidR="00CF6834" w:rsidRPr="00C250A1" w:rsidRDefault="00CF6834" w:rsidP="00576EA7">
            <w:pPr>
              <w:rPr>
                <w:sz w:val="20"/>
                <w:szCs w:val="20"/>
              </w:rPr>
            </w:pPr>
            <w:r w:rsidRPr="00C250A1">
              <w:rPr>
                <w:sz w:val="20"/>
                <w:szCs w:val="20"/>
              </w:rPr>
              <w:t>Appendix B pp 425-429</w:t>
            </w:r>
          </w:p>
          <w:p w14:paraId="24C71F87" w14:textId="77777777" w:rsidR="00CF6834" w:rsidRPr="00C250A1" w:rsidRDefault="00CF6834" w:rsidP="00576EA7">
            <w:pPr>
              <w:rPr>
                <w:sz w:val="20"/>
                <w:szCs w:val="20"/>
              </w:rPr>
            </w:pPr>
            <w:r w:rsidRPr="00C250A1">
              <w:rPr>
                <w:sz w:val="20"/>
                <w:szCs w:val="20"/>
              </w:rPr>
              <w:t>p. 450</w:t>
            </w:r>
          </w:p>
          <w:p w14:paraId="06114B39" w14:textId="77777777" w:rsidR="00CF6834" w:rsidRPr="00C250A1" w:rsidRDefault="00CF6834" w:rsidP="00576EA7">
            <w:pPr>
              <w:rPr>
                <w:sz w:val="20"/>
                <w:szCs w:val="20"/>
              </w:rPr>
            </w:pPr>
          </w:p>
          <w:p w14:paraId="607F80A1" w14:textId="1B50E881" w:rsidR="00CF6834" w:rsidRPr="00C250A1" w:rsidRDefault="00CF6834" w:rsidP="00576EA7">
            <w:pPr>
              <w:rPr>
                <w:rFonts w:cstheme="minorHAnsi"/>
                <w:color w:val="FF0000"/>
                <w:sz w:val="20"/>
                <w:szCs w:val="20"/>
              </w:rPr>
            </w:pPr>
            <w:hyperlink r:id="rId196" w:history="1">
              <w:r w:rsidRPr="00C250A1">
                <w:rPr>
                  <w:rFonts w:cstheme="minorHAnsi"/>
                  <w:color w:val="0000FF"/>
                  <w:sz w:val="20"/>
                  <w:szCs w:val="20"/>
                  <w:u w:val="single"/>
                </w:rPr>
                <w:t>AHRQ(2018)-sodium-potassium-disposition-comments.pdf</w:t>
              </w:r>
            </w:hyperlink>
          </w:p>
        </w:tc>
      </w:tr>
      <w:tr w:rsidR="00CF6834" w:rsidRPr="00C250A1" w14:paraId="375805BA"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5B1190BF" w14:textId="77777777" w:rsidR="00CF6834" w:rsidRPr="00C250A1" w:rsidRDefault="00CF6834" w:rsidP="00576EA7">
            <w:pPr>
              <w:rPr>
                <w:sz w:val="20"/>
                <w:szCs w:val="20"/>
              </w:rPr>
            </w:pPr>
            <w:r w:rsidRPr="00C250A1">
              <w:rPr>
                <w:sz w:val="20"/>
                <w:szCs w:val="20"/>
              </w:rPr>
              <w:t>Was the guidance/advice developed or updated recently?</w:t>
            </w:r>
          </w:p>
        </w:tc>
        <w:tc>
          <w:tcPr>
            <w:tcW w:w="992" w:type="dxa"/>
            <w:tcBorders>
              <w:top w:val="single" w:sz="4" w:space="0" w:color="auto"/>
              <w:left w:val="single" w:sz="4" w:space="0" w:color="auto"/>
              <w:bottom w:val="single" w:sz="4" w:space="0" w:color="auto"/>
              <w:right w:val="single" w:sz="4" w:space="0" w:color="auto"/>
            </w:tcBorders>
            <w:vAlign w:val="center"/>
          </w:tcPr>
          <w:p w14:paraId="4BEACED8" w14:textId="77777777" w:rsidR="00CF6834" w:rsidRPr="00C250A1" w:rsidRDefault="00CF6834" w:rsidP="00576EA7">
            <w:pPr>
              <w:rPr>
                <w:sz w:val="20"/>
                <w:szCs w:val="20"/>
              </w:rPr>
            </w:pPr>
          </w:p>
          <w:p w14:paraId="0A0E1E0C" w14:textId="77777777" w:rsidR="00CF6834" w:rsidRPr="00C250A1" w:rsidRDefault="00CF6834" w:rsidP="00576EA7">
            <w:pPr>
              <w:rPr>
                <w:sz w:val="20"/>
                <w:szCs w:val="20"/>
              </w:rPr>
            </w:pPr>
            <w:r w:rsidRPr="00C250A1">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5AA36336" w14:textId="77777777" w:rsidR="00CF6834" w:rsidRPr="00C250A1" w:rsidRDefault="00CF6834" w:rsidP="00576EA7">
            <w:pPr>
              <w:rPr>
                <w:sz w:val="20"/>
                <w:szCs w:val="20"/>
              </w:rPr>
            </w:pPr>
            <w:r w:rsidRPr="00C250A1">
              <w:rPr>
                <w:sz w:val="20"/>
                <w:szCs w:val="20"/>
              </w:rPr>
              <w:t>Evidence was assessed in 2018 – published 2019. This checklist completed in 2024 (Feb), i.e. within 5 years of publication.</w:t>
            </w:r>
          </w:p>
        </w:tc>
        <w:tc>
          <w:tcPr>
            <w:tcW w:w="1701" w:type="dxa"/>
            <w:tcBorders>
              <w:top w:val="single" w:sz="4" w:space="0" w:color="auto"/>
              <w:left w:val="single" w:sz="4" w:space="0" w:color="auto"/>
              <w:bottom w:val="single" w:sz="4" w:space="0" w:color="auto"/>
              <w:right w:val="single" w:sz="8" w:space="0" w:color="auto"/>
            </w:tcBorders>
            <w:vAlign w:val="center"/>
          </w:tcPr>
          <w:p w14:paraId="4921F8F1" w14:textId="77777777" w:rsidR="00CF6834" w:rsidRPr="00C250A1" w:rsidRDefault="00CF6834" w:rsidP="00576EA7">
            <w:pPr>
              <w:rPr>
                <w:color w:val="FF0000"/>
                <w:sz w:val="20"/>
                <w:szCs w:val="20"/>
              </w:rPr>
            </w:pPr>
          </w:p>
        </w:tc>
      </w:tr>
    </w:tbl>
    <w:p w14:paraId="2B761A7F" w14:textId="664A98E6" w:rsidR="00CF6834" w:rsidRDefault="00CF6834" w:rsidP="005338A3">
      <w:pPr>
        <w:pStyle w:val="Heading3"/>
        <w:spacing w:before="240"/>
      </w:pPr>
      <w:bookmarkStart w:id="112" w:name="_Toc234960884"/>
      <w:r>
        <w:t xml:space="preserve">Evidence </w:t>
      </w:r>
      <w:proofErr w:type="gramStart"/>
      <w:r>
        <w:t>review</w:t>
      </w:r>
      <w:proofErr w:type="gramEnd"/>
      <w:r>
        <w:t xml:space="preserve"> parameters</w:t>
      </w:r>
      <w:bookmarkEnd w:id="112"/>
    </w:p>
    <w:tbl>
      <w:tblPr>
        <w:tblStyle w:val="TableGrid1"/>
        <w:tblW w:w="15452" w:type="dxa"/>
        <w:tblInd w:w="-294"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686"/>
        <w:gridCol w:w="992"/>
        <w:gridCol w:w="9073"/>
        <w:gridCol w:w="1701"/>
      </w:tblGrid>
      <w:tr w:rsidR="00CF6834" w:rsidRPr="00C250A1" w14:paraId="508FFD4F" w14:textId="77777777" w:rsidTr="00C577A7">
        <w:trPr>
          <w:cantSplit/>
          <w:tblHeader/>
        </w:trPr>
        <w:tc>
          <w:tcPr>
            <w:tcW w:w="368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6CE33E65" w14:textId="77777777" w:rsidR="00CF6834" w:rsidRPr="00C250A1" w:rsidRDefault="00CF6834" w:rsidP="00576EA7">
            <w:pPr>
              <w:rPr>
                <w:b/>
                <w:bCs/>
                <w:sz w:val="20"/>
                <w:szCs w:val="20"/>
                <w:vertAlign w:val="superscript"/>
              </w:rPr>
            </w:pPr>
            <w:r w:rsidRPr="00C250A1">
              <w:rPr>
                <w:b/>
                <w:bCs/>
                <w:sz w:val="20"/>
                <w:szCs w:val="20"/>
              </w:rPr>
              <w:t>Criteria</w:t>
            </w:r>
          </w:p>
        </w:tc>
        <w:tc>
          <w:tcPr>
            <w:tcW w:w="992" w:type="dxa"/>
            <w:tcBorders>
              <w:top w:val="single" w:sz="8" w:space="0" w:color="auto"/>
              <w:left w:val="single" w:sz="4" w:space="0" w:color="auto"/>
              <w:bottom w:val="single" w:sz="8" w:space="0" w:color="auto"/>
              <w:right w:val="single" w:sz="8" w:space="0" w:color="auto"/>
            </w:tcBorders>
            <w:shd w:val="clear" w:color="auto" w:fill="BFBFBF" w:themeFill="background1" w:themeFillShade="BF"/>
            <w:vAlign w:val="center"/>
            <w:hideMark/>
          </w:tcPr>
          <w:p w14:paraId="64DD94BC" w14:textId="77777777" w:rsidR="00CF6834" w:rsidRPr="00C250A1" w:rsidRDefault="00CF6834" w:rsidP="00576EA7">
            <w:pPr>
              <w:rPr>
                <w:b/>
                <w:bCs/>
                <w:sz w:val="20"/>
                <w:szCs w:val="20"/>
              </w:rPr>
            </w:pPr>
            <w:r w:rsidRPr="00C250A1">
              <w:rPr>
                <w:b/>
                <w:bCs/>
                <w:sz w:val="20"/>
                <w:szCs w:val="20"/>
              </w:rPr>
              <w:t>Yes/No/NA</w:t>
            </w:r>
          </w:p>
        </w:tc>
        <w:tc>
          <w:tcPr>
            <w:tcW w:w="9073"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239FEDCE" w14:textId="77777777" w:rsidR="00CF6834" w:rsidRPr="00C250A1" w:rsidRDefault="00CF6834" w:rsidP="00576EA7">
            <w:pPr>
              <w:rPr>
                <w:b/>
                <w:bCs/>
                <w:sz w:val="20"/>
                <w:szCs w:val="20"/>
              </w:rPr>
            </w:pPr>
            <w:r w:rsidRPr="00C250A1">
              <w:rPr>
                <w:b/>
                <w:bCs/>
                <w:sz w:val="20"/>
                <w:szCs w:val="20"/>
              </w:rPr>
              <w:t>Comment</w:t>
            </w:r>
          </w:p>
        </w:tc>
        <w:tc>
          <w:tcPr>
            <w:tcW w:w="170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4972B4D4" w14:textId="77777777" w:rsidR="00CF6834" w:rsidRPr="00C250A1" w:rsidRDefault="00CF6834" w:rsidP="00576EA7">
            <w:pPr>
              <w:rPr>
                <w:b/>
                <w:bCs/>
                <w:sz w:val="20"/>
                <w:szCs w:val="20"/>
              </w:rPr>
            </w:pPr>
            <w:r w:rsidRPr="00C250A1">
              <w:rPr>
                <w:b/>
                <w:bCs/>
                <w:sz w:val="20"/>
                <w:szCs w:val="20"/>
              </w:rPr>
              <w:t>Page #</w:t>
            </w:r>
          </w:p>
        </w:tc>
      </w:tr>
      <w:tr w:rsidR="00CF6834" w:rsidRPr="00C250A1" w14:paraId="5317D66A" w14:textId="77777777" w:rsidTr="00C577A7">
        <w:trPr>
          <w:cantSplit/>
        </w:trPr>
        <w:tc>
          <w:tcPr>
            <w:tcW w:w="3686" w:type="dxa"/>
            <w:tcBorders>
              <w:top w:val="single" w:sz="8" w:space="0" w:color="auto"/>
              <w:left w:val="single" w:sz="4" w:space="0" w:color="auto"/>
              <w:bottom w:val="single" w:sz="4" w:space="0" w:color="auto"/>
              <w:right w:val="single" w:sz="4" w:space="0" w:color="auto"/>
            </w:tcBorders>
            <w:vAlign w:val="center"/>
            <w:hideMark/>
          </w:tcPr>
          <w:p w14:paraId="3EF5A6CD" w14:textId="77777777" w:rsidR="00CF6834" w:rsidRPr="00C250A1" w:rsidRDefault="00CF6834" w:rsidP="00576EA7">
            <w:pPr>
              <w:rPr>
                <w:sz w:val="20"/>
                <w:szCs w:val="20"/>
              </w:rPr>
            </w:pPr>
            <w:r w:rsidRPr="00C250A1">
              <w:rPr>
                <w:sz w:val="20"/>
                <w:szCs w:val="20"/>
              </w:rPr>
              <w:t>Are decisions about scope, definitions and evidence review parameters documented and publicly available?</w:t>
            </w:r>
          </w:p>
        </w:tc>
        <w:tc>
          <w:tcPr>
            <w:tcW w:w="992" w:type="dxa"/>
            <w:tcBorders>
              <w:top w:val="single" w:sz="8" w:space="0" w:color="auto"/>
              <w:left w:val="single" w:sz="4" w:space="0" w:color="auto"/>
              <w:bottom w:val="single" w:sz="4" w:space="0" w:color="auto"/>
              <w:right w:val="single" w:sz="4" w:space="0" w:color="auto"/>
            </w:tcBorders>
            <w:vAlign w:val="center"/>
          </w:tcPr>
          <w:p w14:paraId="710CDDE9" w14:textId="483A449D" w:rsidR="00CF6834" w:rsidRPr="00C250A1" w:rsidRDefault="00CF6834" w:rsidP="00576EA7">
            <w:pPr>
              <w:rPr>
                <w:color w:val="FF0000"/>
                <w:sz w:val="20"/>
                <w:szCs w:val="20"/>
              </w:rPr>
            </w:pPr>
            <w:r w:rsidRPr="00C250A1">
              <w:rPr>
                <w:sz w:val="20"/>
                <w:szCs w:val="20"/>
              </w:rPr>
              <w:t>Yes</w:t>
            </w:r>
          </w:p>
        </w:tc>
        <w:tc>
          <w:tcPr>
            <w:tcW w:w="9073" w:type="dxa"/>
            <w:tcBorders>
              <w:top w:val="single" w:sz="8" w:space="0" w:color="auto"/>
              <w:left w:val="single" w:sz="4" w:space="0" w:color="auto"/>
              <w:bottom w:val="single" w:sz="4" w:space="0" w:color="auto"/>
              <w:right w:val="single" w:sz="8" w:space="0" w:color="auto"/>
            </w:tcBorders>
            <w:vAlign w:val="center"/>
          </w:tcPr>
          <w:p w14:paraId="15AA32E0" w14:textId="7E672162" w:rsidR="00CF6834" w:rsidRPr="00C250A1" w:rsidRDefault="00CF6834" w:rsidP="00576EA7">
            <w:pPr>
              <w:rPr>
                <w:color w:val="FF0000"/>
                <w:sz w:val="20"/>
                <w:szCs w:val="20"/>
              </w:rPr>
            </w:pPr>
            <w:r w:rsidRPr="00C250A1">
              <w:rPr>
                <w:sz w:val="20"/>
                <w:szCs w:val="20"/>
              </w:rPr>
              <w:t>Clear in AHRQ report. Available in the main NASEM report, but slightly harder to find details (in Appendix D and E).</w:t>
            </w:r>
          </w:p>
        </w:tc>
        <w:tc>
          <w:tcPr>
            <w:tcW w:w="1701" w:type="dxa"/>
            <w:tcBorders>
              <w:top w:val="single" w:sz="8" w:space="0" w:color="auto"/>
              <w:left w:val="single" w:sz="4" w:space="0" w:color="auto"/>
              <w:bottom w:val="single" w:sz="4" w:space="0" w:color="auto"/>
              <w:right w:val="single" w:sz="8" w:space="0" w:color="auto"/>
            </w:tcBorders>
            <w:vAlign w:val="center"/>
          </w:tcPr>
          <w:p w14:paraId="3D6E7F56" w14:textId="77777777" w:rsidR="00CF6834" w:rsidRPr="00C250A1" w:rsidRDefault="00CF6834" w:rsidP="00576EA7">
            <w:pPr>
              <w:rPr>
                <w:color w:val="FF0000"/>
                <w:sz w:val="20"/>
                <w:szCs w:val="20"/>
              </w:rPr>
            </w:pPr>
          </w:p>
        </w:tc>
      </w:tr>
      <w:tr w:rsidR="00CF6834" w:rsidRPr="00C250A1" w14:paraId="39B82D9A"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tcPr>
          <w:p w14:paraId="548987FC" w14:textId="77777777" w:rsidR="00CF6834" w:rsidRPr="00C250A1" w:rsidRDefault="00CF6834" w:rsidP="00576EA7">
            <w:pPr>
              <w:rPr>
                <w:sz w:val="20"/>
                <w:szCs w:val="20"/>
              </w:rPr>
            </w:pPr>
            <w:r w:rsidRPr="00C250A1">
              <w:rPr>
                <w:sz w:val="20"/>
                <w:szCs w:val="20"/>
              </w:rPr>
              <w:t>Were clinical/research questions articulated and PICO criteria outlined appropriate to the topic?</w:t>
            </w:r>
          </w:p>
        </w:tc>
        <w:tc>
          <w:tcPr>
            <w:tcW w:w="992" w:type="dxa"/>
            <w:tcBorders>
              <w:top w:val="single" w:sz="4" w:space="0" w:color="auto"/>
              <w:left w:val="single" w:sz="4" w:space="0" w:color="auto"/>
              <w:bottom w:val="single" w:sz="4" w:space="0" w:color="auto"/>
              <w:right w:val="single" w:sz="4" w:space="0" w:color="auto"/>
            </w:tcBorders>
            <w:vAlign w:val="center"/>
          </w:tcPr>
          <w:p w14:paraId="3B32A278" w14:textId="77777777" w:rsidR="00CF6834" w:rsidRPr="00C250A1" w:rsidRDefault="00CF6834" w:rsidP="00576EA7">
            <w:pPr>
              <w:rPr>
                <w:sz w:val="20"/>
                <w:szCs w:val="20"/>
              </w:rPr>
            </w:pPr>
            <w:r w:rsidRPr="00C250A1">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208F99DB" w14:textId="5578B173" w:rsidR="00CF6834" w:rsidRPr="00C250A1" w:rsidRDefault="00CF6834" w:rsidP="00576EA7">
            <w:pPr>
              <w:rPr>
                <w:sz w:val="20"/>
                <w:szCs w:val="20"/>
              </w:rPr>
            </w:pPr>
            <w:r w:rsidRPr="00C250A1">
              <w:rPr>
                <w:sz w:val="20"/>
                <w:szCs w:val="20"/>
              </w:rPr>
              <w:t>8 questions were articulated for the AHRQ Systematic review. Numbers 1-4 relate to sodium, 5-8 to potassium.</w:t>
            </w:r>
          </w:p>
          <w:p w14:paraId="400E2C3E" w14:textId="77777777" w:rsidR="00CF6834" w:rsidRPr="00C250A1" w:rsidRDefault="00CF6834" w:rsidP="00576EA7">
            <w:pPr>
              <w:rPr>
                <w:sz w:val="20"/>
                <w:szCs w:val="20"/>
              </w:rPr>
            </w:pPr>
            <w:r w:rsidRPr="00C250A1">
              <w:rPr>
                <w:sz w:val="20"/>
                <w:szCs w:val="20"/>
              </w:rPr>
              <w:t>P – adults, children, older, pregnant, lactating (sub-pops = hypertension, diabetes, obesity and renal health status)</w:t>
            </w:r>
          </w:p>
          <w:p w14:paraId="7AC41D83" w14:textId="77777777" w:rsidR="00CF6834" w:rsidRPr="00C250A1" w:rsidRDefault="00CF6834" w:rsidP="00576EA7">
            <w:pPr>
              <w:rPr>
                <w:sz w:val="20"/>
                <w:szCs w:val="20"/>
              </w:rPr>
            </w:pPr>
            <w:r w:rsidRPr="00C250A1">
              <w:rPr>
                <w:sz w:val="20"/>
                <w:szCs w:val="20"/>
              </w:rPr>
              <w:t>I/C – dietary sodium intake</w:t>
            </w:r>
          </w:p>
          <w:p w14:paraId="50AD265F" w14:textId="77777777" w:rsidR="00CF6834" w:rsidRPr="00C250A1" w:rsidRDefault="00CF6834" w:rsidP="00576EA7">
            <w:pPr>
              <w:rPr>
                <w:sz w:val="20"/>
                <w:szCs w:val="20"/>
              </w:rPr>
            </w:pPr>
            <w:r w:rsidRPr="00C250A1">
              <w:rPr>
                <w:sz w:val="20"/>
                <w:szCs w:val="20"/>
              </w:rPr>
              <w:t>O – blood pressure, cardiovascular, kidney disease, coronary, stroke</w:t>
            </w:r>
          </w:p>
          <w:p w14:paraId="108AD5B0" w14:textId="77777777" w:rsidR="00C250A1" w:rsidRPr="00C250A1" w:rsidRDefault="00CF6834" w:rsidP="00576EA7">
            <w:pPr>
              <w:rPr>
                <w:sz w:val="20"/>
                <w:szCs w:val="20"/>
              </w:rPr>
            </w:pPr>
            <w:r w:rsidRPr="00C250A1">
              <w:rPr>
                <w:sz w:val="20"/>
                <w:szCs w:val="20"/>
              </w:rPr>
              <w:t xml:space="preserve">Committee considered additional indicators (outcomes), and those chosen were based on expert judgment and scoping reviews. </w:t>
            </w:r>
          </w:p>
          <w:p w14:paraId="1DA5E70D" w14:textId="011EAACB" w:rsidR="00CF6834" w:rsidRPr="00C250A1" w:rsidRDefault="00CF6834" w:rsidP="00576EA7">
            <w:pPr>
              <w:rPr>
                <w:sz w:val="20"/>
                <w:szCs w:val="20"/>
              </w:rPr>
            </w:pPr>
            <w:r w:rsidRPr="00C250A1">
              <w:rPr>
                <w:sz w:val="20"/>
                <w:szCs w:val="20"/>
              </w:rPr>
              <w:t>Additional searches for headache; then blood lipids; bone health;  catecholamines; type 2 diabetes, glucose intolerance, and insulin sensitivity; and plasma renin activity. (NB some of the outcomes may be more relevant for the potassium component of the review.)</w:t>
            </w:r>
          </w:p>
        </w:tc>
        <w:tc>
          <w:tcPr>
            <w:tcW w:w="1701" w:type="dxa"/>
            <w:tcBorders>
              <w:top w:val="single" w:sz="4" w:space="0" w:color="auto"/>
              <w:left w:val="single" w:sz="4" w:space="0" w:color="auto"/>
              <w:bottom w:val="single" w:sz="4" w:space="0" w:color="auto"/>
              <w:right w:val="single" w:sz="8" w:space="0" w:color="auto"/>
            </w:tcBorders>
            <w:vAlign w:val="center"/>
          </w:tcPr>
          <w:p w14:paraId="009D9DB7" w14:textId="77777777" w:rsidR="00CF6834" w:rsidRPr="00C250A1" w:rsidRDefault="00CF6834" w:rsidP="00576EA7">
            <w:pPr>
              <w:rPr>
                <w:rFonts w:cstheme="minorHAnsi"/>
                <w:color w:val="FF0000"/>
                <w:sz w:val="20"/>
                <w:szCs w:val="20"/>
              </w:rPr>
            </w:pPr>
            <w:r w:rsidRPr="00C250A1">
              <w:rPr>
                <w:rFonts w:cstheme="minorHAnsi"/>
                <w:sz w:val="20"/>
                <w:szCs w:val="20"/>
              </w:rPr>
              <w:t>Box 1-3, p.30</w:t>
            </w:r>
          </w:p>
        </w:tc>
      </w:tr>
      <w:tr w:rsidR="00CF6834" w:rsidRPr="00C250A1" w14:paraId="38865948"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69BA48A8" w14:textId="123C6491" w:rsidR="00CF6834" w:rsidRPr="00C250A1" w:rsidRDefault="00CF6834" w:rsidP="00576EA7">
            <w:pPr>
              <w:rPr>
                <w:sz w:val="20"/>
                <w:szCs w:val="20"/>
              </w:rPr>
            </w:pPr>
            <w:r w:rsidRPr="00C250A1">
              <w:rPr>
                <w:sz w:val="20"/>
                <w:szCs w:val="20"/>
              </w:rPr>
              <w:lastRenderedPageBreak/>
              <w:t>Does the organisation use or adopt review findings or risk assessments from other organisations?</w:t>
            </w:r>
          </w:p>
        </w:tc>
        <w:tc>
          <w:tcPr>
            <w:tcW w:w="992" w:type="dxa"/>
            <w:tcBorders>
              <w:top w:val="single" w:sz="4" w:space="0" w:color="auto"/>
              <w:left w:val="single" w:sz="4" w:space="0" w:color="auto"/>
              <w:bottom w:val="single" w:sz="4" w:space="0" w:color="auto"/>
              <w:right w:val="single" w:sz="4" w:space="0" w:color="auto"/>
            </w:tcBorders>
            <w:vAlign w:val="center"/>
          </w:tcPr>
          <w:p w14:paraId="2A8246ED" w14:textId="77777777" w:rsidR="00CF6834" w:rsidRPr="00C250A1" w:rsidRDefault="00CF6834" w:rsidP="00576EA7">
            <w:pPr>
              <w:rPr>
                <w:color w:val="FF0000"/>
                <w:sz w:val="20"/>
                <w:szCs w:val="20"/>
              </w:rPr>
            </w:pPr>
            <w:r w:rsidRPr="00C250A1">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62E7A92B" w14:textId="77777777" w:rsidR="00CF6834" w:rsidRPr="00C250A1" w:rsidRDefault="00CF6834" w:rsidP="00576EA7">
            <w:pPr>
              <w:rPr>
                <w:rFonts w:cstheme="minorHAnsi"/>
                <w:sz w:val="20"/>
                <w:szCs w:val="20"/>
              </w:rPr>
            </w:pPr>
            <w:r w:rsidRPr="00C250A1">
              <w:rPr>
                <w:rFonts w:cstheme="minorHAnsi"/>
                <w:sz w:val="20"/>
                <w:szCs w:val="20"/>
              </w:rPr>
              <w:t>AHRQ Systematic Review = Agency for Healthcare Research and Quality systematic review, Sodium and Potassium Intake: Effects on Chronic Disease Outcomes and Risks (Newberry et al., 2018)</w:t>
            </w:r>
          </w:p>
          <w:p w14:paraId="6C51C3DD" w14:textId="31EAD5B6" w:rsidR="00CF6834" w:rsidRPr="00C250A1" w:rsidRDefault="00CF6834" w:rsidP="00576EA7">
            <w:pPr>
              <w:rPr>
                <w:rFonts w:cstheme="minorHAnsi"/>
                <w:sz w:val="20"/>
                <w:szCs w:val="20"/>
              </w:rPr>
            </w:pPr>
            <w:r w:rsidRPr="00C250A1">
              <w:rPr>
                <w:rFonts w:cstheme="minorHAnsi"/>
                <w:sz w:val="20"/>
                <w:szCs w:val="20"/>
              </w:rPr>
              <w:t>The 2018 draft EFSA report on sodium was mined for references – this is the report as available for public comment and included the evidence, but not NRVs.</w:t>
            </w:r>
          </w:p>
        </w:tc>
        <w:tc>
          <w:tcPr>
            <w:tcW w:w="1701" w:type="dxa"/>
            <w:tcBorders>
              <w:top w:val="single" w:sz="4" w:space="0" w:color="auto"/>
              <w:left w:val="single" w:sz="4" w:space="0" w:color="auto"/>
              <w:bottom w:val="single" w:sz="4" w:space="0" w:color="auto"/>
              <w:right w:val="single" w:sz="8" w:space="0" w:color="auto"/>
            </w:tcBorders>
            <w:vAlign w:val="center"/>
          </w:tcPr>
          <w:p w14:paraId="17D3EF0C" w14:textId="77777777" w:rsidR="00CF6834" w:rsidRPr="00C250A1" w:rsidRDefault="00CF6834" w:rsidP="00576EA7">
            <w:pPr>
              <w:rPr>
                <w:color w:val="FF0000"/>
                <w:sz w:val="20"/>
                <w:szCs w:val="20"/>
              </w:rPr>
            </w:pPr>
          </w:p>
        </w:tc>
      </w:tr>
      <w:tr w:rsidR="00CF6834" w:rsidRPr="00C250A1" w14:paraId="3E658C6D"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151BE24C" w14:textId="77777777" w:rsidR="00CF6834" w:rsidRPr="00C250A1" w:rsidRDefault="00CF6834" w:rsidP="00576EA7">
            <w:pPr>
              <w:rPr>
                <w:sz w:val="20"/>
                <w:szCs w:val="20"/>
              </w:rPr>
            </w:pPr>
            <w:r w:rsidRPr="00C250A1">
              <w:rPr>
                <w:sz w:val="20"/>
                <w:szCs w:val="20"/>
              </w:rPr>
              <w:t>what process was used to critically assess these external findings?</w:t>
            </w:r>
          </w:p>
        </w:tc>
        <w:tc>
          <w:tcPr>
            <w:tcW w:w="992" w:type="dxa"/>
            <w:tcBorders>
              <w:top w:val="single" w:sz="4" w:space="0" w:color="auto"/>
              <w:left w:val="single" w:sz="4" w:space="0" w:color="auto"/>
              <w:bottom w:val="single" w:sz="4" w:space="0" w:color="auto"/>
              <w:right w:val="single" w:sz="4" w:space="0" w:color="auto"/>
            </w:tcBorders>
            <w:vAlign w:val="center"/>
          </w:tcPr>
          <w:p w14:paraId="69C5277E" w14:textId="77777777" w:rsidR="00CF6834" w:rsidRPr="00C250A1" w:rsidRDefault="00CF6834" w:rsidP="00576EA7">
            <w:pPr>
              <w:rPr>
                <w:color w:val="FF0000"/>
                <w:sz w:val="20"/>
                <w:szCs w:val="20"/>
              </w:rPr>
            </w:pPr>
          </w:p>
        </w:tc>
        <w:tc>
          <w:tcPr>
            <w:tcW w:w="9073" w:type="dxa"/>
            <w:tcBorders>
              <w:top w:val="single" w:sz="4" w:space="0" w:color="auto"/>
              <w:left w:val="single" w:sz="4" w:space="0" w:color="auto"/>
              <w:bottom w:val="single" w:sz="4" w:space="0" w:color="auto"/>
              <w:right w:val="single" w:sz="8" w:space="0" w:color="auto"/>
            </w:tcBorders>
            <w:vAlign w:val="center"/>
          </w:tcPr>
          <w:p w14:paraId="4B88FB38" w14:textId="19156217" w:rsidR="00CF6834" w:rsidRPr="00C250A1" w:rsidRDefault="00CF6834" w:rsidP="00576EA7">
            <w:pPr>
              <w:rPr>
                <w:sz w:val="20"/>
                <w:szCs w:val="20"/>
              </w:rPr>
            </w:pPr>
            <w:r w:rsidRPr="00C250A1">
              <w:rPr>
                <w:rFonts w:cstheme="minorHAnsi"/>
                <w:sz w:val="20"/>
                <w:szCs w:val="20"/>
              </w:rPr>
              <w:t xml:space="preserve">AHRQ Systematic Review assessed by committee with </w:t>
            </w:r>
            <w:r w:rsidRPr="00C250A1">
              <w:rPr>
                <w:sz w:val="20"/>
                <w:szCs w:val="20"/>
              </w:rPr>
              <w:t xml:space="preserve">AMSTAR 2 – but then additional analyses were used in many of the final decisions for the </w:t>
            </w:r>
            <w:r w:rsidRPr="00C250A1">
              <w:rPr>
                <w:rFonts w:cstheme="minorHAnsi"/>
                <w:sz w:val="20"/>
                <w:szCs w:val="20"/>
              </w:rPr>
              <w:t>Chronic Disease Risk Reduction Intake (CDRR).</w:t>
            </w:r>
          </w:p>
          <w:p w14:paraId="611A6324" w14:textId="77777777" w:rsidR="00CF6834" w:rsidRPr="00C250A1" w:rsidRDefault="00CF6834" w:rsidP="00576EA7">
            <w:pPr>
              <w:rPr>
                <w:sz w:val="20"/>
                <w:szCs w:val="20"/>
              </w:rPr>
            </w:pPr>
            <w:r w:rsidRPr="00C250A1">
              <w:rPr>
                <w:sz w:val="20"/>
                <w:szCs w:val="20"/>
              </w:rPr>
              <w:t>SR for additional topics were also assessed with AMSTAR-2.</w:t>
            </w:r>
          </w:p>
        </w:tc>
        <w:tc>
          <w:tcPr>
            <w:tcW w:w="1701" w:type="dxa"/>
            <w:tcBorders>
              <w:top w:val="single" w:sz="4" w:space="0" w:color="auto"/>
              <w:left w:val="single" w:sz="4" w:space="0" w:color="auto"/>
              <w:bottom w:val="single" w:sz="4" w:space="0" w:color="auto"/>
              <w:right w:val="single" w:sz="8" w:space="0" w:color="auto"/>
            </w:tcBorders>
            <w:vAlign w:val="center"/>
          </w:tcPr>
          <w:p w14:paraId="4C5A4713" w14:textId="77777777" w:rsidR="00CF6834" w:rsidRPr="00C250A1" w:rsidRDefault="00CF6834" w:rsidP="00576EA7">
            <w:pPr>
              <w:rPr>
                <w:color w:val="FF0000"/>
                <w:sz w:val="20"/>
                <w:szCs w:val="20"/>
              </w:rPr>
            </w:pPr>
          </w:p>
        </w:tc>
      </w:tr>
      <w:tr w:rsidR="00CF6834" w:rsidRPr="00C250A1" w14:paraId="0F1184EC"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tcPr>
          <w:p w14:paraId="58C91A59" w14:textId="77777777" w:rsidR="00CF6834" w:rsidRPr="00C250A1" w:rsidRDefault="00CF6834" w:rsidP="00576EA7">
            <w:pPr>
              <w:rPr>
                <w:sz w:val="20"/>
                <w:szCs w:val="20"/>
              </w:rPr>
            </w:pPr>
            <w:r w:rsidRPr="00C250A1">
              <w:rPr>
                <w:sz w:val="20"/>
                <w:szCs w:val="20"/>
              </w:rPr>
              <w:t>Did the organisation undertake their own systematic literature review?</w:t>
            </w:r>
          </w:p>
        </w:tc>
        <w:tc>
          <w:tcPr>
            <w:tcW w:w="992" w:type="dxa"/>
            <w:tcBorders>
              <w:top w:val="single" w:sz="4" w:space="0" w:color="auto"/>
              <w:left w:val="single" w:sz="4" w:space="0" w:color="auto"/>
              <w:bottom w:val="single" w:sz="4" w:space="0" w:color="auto"/>
              <w:right w:val="single" w:sz="4" w:space="0" w:color="auto"/>
            </w:tcBorders>
            <w:vAlign w:val="center"/>
          </w:tcPr>
          <w:p w14:paraId="36049FA0" w14:textId="77777777" w:rsidR="00CF6834" w:rsidRPr="00C250A1" w:rsidRDefault="00CF6834" w:rsidP="00576EA7">
            <w:pPr>
              <w:rPr>
                <w:color w:val="FF0000"/>
                <w:sz w:val="20"/>
                <w:szCs w:val="20"/>
              </w:rPr>
            </w:pPr>
            <w:r w:rsidRPr="00C250A1">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6A6C880D" w14:textId="77777777" w:rsidR="00CF6834" w:rsidRPr="00C250A1" w:rsidRDefault="00CF6834" w:rsidP="00576EA7">
            <w:pPr>
              <w:rPr>
                <w:sz w:val="20"/>
                <w:szCs w:val="20"/>
              </w:rPr>
            </w:pPr>
            <w:r w:rsidRPr="00C250A1">
              <w:rPr>
                <w:sz w:val="20"/>
                <w:szCs w:val="20"/>
              </w:rPr>
              <w:t>Searches based on the AHRQ strategy for Headache. Only in PubMed.</w:t>
            </w:r>
          </w:p>
          <w:p w14:paraId="60AC4D23" w14:textId="6460BDF5" w:rsidR="00CF6834" w:rsidRPr="00C250A1" w:rsidRDefault="00CF6834" w:rsidP="00576EA7">
            <w:pPr>
              <w:rPr>
                <w:sz w:val="20"/>
                <w:szCs w:val="20"/>
              </w:rPr>
            </w:pPr>
            <w:r w:rsidRPr="00C250A1">
              <w:rPr>
                <w:sz w:val="20"/>
                <w:szCs w:val="20"/>
              </w:rPr>
              <w:t>For the other additional searches started by searching Medline and Cochrane database – 2013 onwards – for SR.</w:t>
            </w:r>
          </w:p>
          <w:p w14:paraId="4D181F91" w14:textId="6E644348" w:rsidR="00CF6834" w:rsidRPr="00C250A1" w:rsidRDefault="00CF6834" w:rsidP="00576EA7">
            <w:pPr>
              <w:rPr>
                <w:sz w:val="20"/>
                <w:szCs w:val="20"/>
              </w:rPr>
            </w:pPr>
            <w:r w:rsidRPr="00C250A1">
              <w:rPr>
                <w:sz w:val="20"/>
                <w:szCs w:val="20"/>
              </w:rPr>
              <w:t>For topics where no SR was found primary searches were conducted in Ovid MEDLINE – 2003 to 2018 (i.e. since previous report), only English and humans.</w:t>
            </w:r>
          </w:p>
        </w:tc>
        <w:tc>
          <w:tcPr>
            <w:tcW w:w="1701" w:type="dxa"/>
            <w:tcBorders>
              <w:top w:val="single" w:sz="4" w:space="0" w:color="auto"/>
              <w:left w:val="single" w:sz="4" w:space="0" w:color="auto"/>
              <w:bottom w:val="single" w:sz="4" w:space="0" w:color="auto"/>
              <w:right w:val="single" w:sz="8" w:space="0" w:color="auto"/>
            </w:tcBorders>
            <w:vAlign w:val="center"/>
          </w:tcPr>
          <w:p w14:paraId="317FCE13" w14:textId="77777777" w:rsidR="00CF6834" w:rsidRPr="00C250A1" w:rsidRDefault="00CF6834" w:rsidP="00576EA7">
            <w:pPr>
              <w:rPr>
                <w:color w:val="FF0000"/>
                <w:sz w:val="20"/>
                <w:szCs w:val="20"/>
              </w:rPr>
            </w:pPr>
            <w:r w:rsidRPr="00C250A1">
              <w:rPr>
                <w:sz w:val="20"/>
                <w:szCs w:val="20"/>
              </w:rPr>
              <w:t>Appendix E, p.486 onwards</w:t>
            </w:r>
          </w:p>
        </w:tc>
      </w:tr>
      <w:tr w:rsidR="00CF6834" w:rsidRPr="00C250A1" w14:paraId="587673DC"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tcPr>
          <w:p w14:paraId="2E25194B" w14:textId="177614D9" w:rsidR="00CF6834" w:rsidRPr="00C250A1" w:rsidRDefault="00CF6834" w:rsidP="00576EA7">
            <w:pPr>
              <w:rPr>
                <w:sz w:val="20"/>
                <w:szCs w:val="20"/>
              </w:rPr>
            </w:pPr>
            <w:r w:rsidRPr="00C250A1">
              <w:rPr>
                <w:sz w:val="20"/>
                <w:szCs w:val="20"/>
              </w:rPr>
              <w:t>Has the evidence report been reviewed by experts independent from the review authors? (e.g. peer review or committee review)?</w:t>
            </w:r>
          </w:p>
        </w:tc>
        <w:tc>
          <w:tcPr>
            <w:tcW w:w="992" w:type="dxa"/>
            <w:tcBorders>
              <w:top w:val="single" w:sz="4" w:space="0" w:color="auto"/>
              <w:left w:val="single" w:sz="4" w:space="0" w:color="auto"/>
              <w:bottom w:val="single" w:sz="4" w:space="0" w:color="auto"/>
              <w:right w:val="single" w:sz="4" w:space="0" w:color="auto"/>
            </w:tcBorders>
            <w:vAlign w:val="center"/>
          </w:tcPr>
          <w:p w14:paraId="604817A1" w14:textId="77777777" w:rsidR="00CF6834" w:rsidRPr="00C250A1" w:rsidRDefault="00CF6834" w:rsidP="00576EA7">
            <w:pPr>
              <w:rPr>
                <w:color w:val="FF0000"/>
                <w:sz w:val="20"/>
                <w:szCs w:val="20"/>
              </w:rPr>
            </w:pPr>
            <w:r w:rsidRPr="00C250A1">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48BF5CF8" w14:textId="280A8DB1" w:rsidR="00CF6834" w:rsidRPr="00C250A1" w:rsidRDefault="00CF6834" w:rsidP="00576EA7">
            <w:pPr>
              <w:rPr>
                <w:rFonts w:cstheme="minorHAnsi"/>
                <w:sz w:val="20"/>
                <w:szCs w:val="20"/>
              </w:rPr>
            </w:pPr>
            <w:r w:rsidRPr="00C250A1">
              <w:rPr>
                <w:sz w:val="20"/>
                <w:szCs w:val="20"/>
              </w:rPr>
              <w:t xml:space="preserve">The </w:t>
            </w:r>
            <w:r w:rsidRPr="00C250A1">
              <w:rPr>
                <w:rFonts w:cstheme="minorHAnsi"/>
                <w:sz w:val="20"/>
                <w:szCs w:val="20"/>
              </w:rPr>
              <w:t>AHRQ Systematic Review was peer reviewed and reviewed by the committee.</w:t>
            </w:r>
          </w:p>
          <w:p w14:paraId="705E7BFE" w14:textId="37EA965E" w:rsidR="00CF6834" w:rsidRPr="00C250A1" w:rsidRDefault="00CF6834" w:rsidP="00576EA7">
            <w:pPr>
              <w:rPr>
                <w:rFonts w:cstheme="minorHAnsi"/>
                <w:sz w:val="20"/>
                <w:szCs w:val="20"/>
              </w:rPr>
            </w:pPr>
            <w:r w:rsidRPr="00C250A1">
              <w:rPr>
                <w:rFonts w:cstheme="minorHAnsi"/>
                <w:sz w:val="20"/>
                <w:szCs w:val="20"/>
              </w:rPr>
              <w:t>The consensus study report (main report) was independently</w:t>
            </w:r>
            <w:r w:rsidRPr="00C250A1">
              <w:rPr>
                <w:rFonts w:cstheme="minorHAnsi"/>
                <w:b/>
                <w:bCs/>
                <w:sz w:val="20"/>
                <w:szCs w:val="20"/>
              </w:rPr>
              <w:t xml:space="preserve"> </w:t>
            </w:r>
            <w:r w:rsidRPr="00C250A1">
              <w:rPr>
                <w:rFonts w:cstheme="minorHAnsi"/>
                <w:sz w:val="20"/>
                <w:szCs w:val="20"/>
              </w:rPr>
              <w:t>reviewed by people chosen for their “diverse perspectives and technical expertise”.</w:t>
            </w:r>
          </w:p>
        </w:tc>
        <w:tc>
          <w:tcPr>
            <w:tcW w:w="1701" w:type="dxa"/>
            <w:tcBorders>
              <w:top w:val="single" w:sz="4" w:space="0" w:color="auto"/>
              <w:left w:val="single" w:sz="4" w:space="0" w:color="auto"/>
              <w:bottom w:val="single" w:sz="4" w:space="0" w:color="auto"/>
              <w:right w:val="single" w:sz="8" w:space="0" w:color="auto"/>
            </w:tcBorders>
            <w:vAlign w:val="center"/>
          </w:tcPr>
          <w:p w14:paraId="73C7C0AC" w14:textId="77777777" w:rsidR="00CF6834" w:rsidRPr="00C250A1" w:rsidRDefault="00CF6834" w:rsidP="00576EA7">
            <w:pPr>
              <w:rPr>
                <w:color w:val="FF0000"/>
                <w:sz w:val="20"/>
                <w:szCs w:val="20"/>
              </w:rPr>
            </w:pPr>
          </w:p>
          <w:p w14:paraId="51377AFF" w14:textId="77777777" w:rsidR="00CF6834" w:rsidRPr="00C250A1" w:rsidRDefault="00CF6834" w:rsidP="00576EA7">
            <w:pPr>
              <w:rPr>
                <w:color w:val="FF0000"/>
                <w:sz w:val="20"/>
                <w:szCs w:val="20"/>
              </w:rPr>
            </w:pPr>
          </w:p>
        </w:tc>
      </w:tr>
      <w:tr w:rsidR="00CF6834" w:rsidRPr="00C250A1" w14:paraId="5F87E755"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534795FD" w14:textId="3D977089" w:rsidR="00CF6834" w:rsidRPr="00C250A1" w:rsidRDefault="00CF6834" w:rsidP="00576EA7">
            <w:pPr>
              <w:rPr>
                <w:sz w:val="20"/>
                <w:szCs w:val="20"/>
              </w:rPr>
            </w:pPr>
            <w:r w:rsidRPr="00C250A1">
              <w:rPr>
                <w:sz w:val="20"/>
                <w:szCs w:val="20"/>
              </w:rPr>
              <w:t>Does the organisation use or undertake systematic literature review methods to identify and select data underpinning the advice?</w:t>
            </w:r>
          </w:p>
        </w:tc>
        <w:tc>
          <w:tcPr>
            <w:tcW w:w="992" w:type="dxa"/>
            <w:tcBorders>
              <w:top w:val="single" w:sz="4" w:space="0" w:color="auto"/>
              <w:left w:val="single" w:sz="4" w:space="0" w:color="auto"/>
              <w:bottom w:val="single" w:sz="4" w:space="0" w:color="auto"/>
              <w:right w:val="single" w:sz="4" w:space="0" w:color="auto"/>
            </w:tcBorders>
            <w:vAlign w:val="center"/>
          </w:tcPr>
          <w:p w14:paraId="7C51E74B" w14:textId="77777777" w:rsidR="00CF6834" w:rsidRPr="00C250A1" w:rsidRDefault="00CF6834" w:rsidP="00576EA7">
            <w:pPr>
              <w:rPr>
                <w:color w:val="FF0000"/>
                <w:sz w:val="20"/>
                <w:szCs w:val="20"/>
              </w:rPr>
            </w:pPr>
            <w:r w:rsidRPr="00C250A1">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6D232706" w14:textId="77777777" w:rsidR="00CF6834" w:rsidRPr="00C250A1" w:rsidRDefault="00CF6834" w:rsidP="00576EA7">
            <w:pPr>
              <w:rPr>
                <w:rFonts w:cstheme="minorHAnsi"/>
                <w:sz w:val="20"/>
                <w:szCs w:val="20"/>
              </w:rPr>
            </w:pPr>
            <w:r w:rsidRPr="00C250A1">
              <w:rPr>
                <w:sz w:val="20"/>
                <w:szCs w:val="20"/>
              </w:rPr>
              <w:t xml:space="preserve">The </w:t>
            </w:r>
            <w:r w:rsidRPr="00C250A1">
              <w:rPr>
                <w:rFonts w:cstheme="minorHAnsi"/>
                <w:sz w:val="20"/>
                <w:szCs w:val="20"/>
              </w:rPr>
              <w:t>AHRQ Systematic Review methods are based on the AHRQ Methods Guide and had a protocol. Methods reported follow standard SR methods (e.g., more than one data base searched, clear inclusion/exclusion criteria, two reviewers for screening etc.)</w:t>
            </w:r>
          </w:p>
          <w:p w14:paraId="789CF7E7" w14:textId="75C5102F" w:rsidR="00CF6834" w:rsidRPr="00C250A1" w:rsidRDefault="00CF6834" w:rsidP="00576EA7">
            <w:pPr>
              <w:rPr>
                <w:rFonts w:cstheme="minorHAnsi"/>
                <w:sz w:val="20"/>
                <w:szCs w:val="20"/>
              </w:rPr>
            </w:pPr>
            <w:r w:rsidRPr="00C250A1">
              <w:rPr>
                <w:rFonts w:cstheme="minorHAnsi"/>
                <w:sz w:val="20"/>
                <w:szCs w:val="20"/>
              </w:rPr>
              <w:t xml:space="preserve">NASEM general methods based on the </w:t>
            </w:r>
            <w:r w:rsidRPr="00C250A1">
              <w:rPr>
                <w:rFonts w:cstheme="minorHAnsi"/>
                <w:i/>
                <w:iCs/>
                <w:sz w:val="20"/>
                <w:szCs w:val="20"/>
              </w:rPr>
              <w:t xml:space="preserve">Guiding Principles for Developing Dietary Reference Intakes Based on Chronic Disease; and </w:t>
            </w:r>
            <w:r w:rsidRPr="00C250A1">
              <w:rPr>
                <w:rFonts w:cstheme="minorHAnsi"/>
                <w:sz w:val="20"/>
                <w:szCs w:val="20"/>
              </w:rPr>
              <w:t>the</w:t>
            </w:r>
            <w:r w:rsidRPr="00C250A1">
              <w:rPr>
                <w:rFonts w:cstheme="minorHAnsi"/>
                <w:i/>
                <w:iCs/>
                <w:sz w:val="20"/>
                <w:szCs w:val="20"/>
              </w:rPr>
              <w:t xml:space="preserve"> DRI organizing framework</w:t>
            </w:r>
            <w:r w:rsidRPr="00C250A1">
              <w:rPr>
                <w:rFonts w:cstheme="minorHAnsi"/>
                <w:sz w:val="20"/>
                <w:szCs w:val="20"/>
              </w:rPr>
              <w:t>.</w:t>
            </w:r>
          </w:p>
          <w:p w14:paraId="38DF5A52" w14:textId="77777777" w:rsidR="00CF6834" w:rsidRPr="00C250A1" w:rsidRDefault="00CF6834" w:rsidP="00576EA7">
            <w:pPr>
              <w:rPr>
                <w:sz w:val="20"/>
                <w:szCs w:val="20"/>
              </w:rPr>
            </w:pPr>
            <w:r w:rsidRPr="00C250A1">
              <w:rPr>
                <w:sz w:val="20"/>
                <w:szCs w:val="20"/>
              </w:rPr>
              <w:t xml:space="preserve">For scoping and additional questions – inclusion/exclusion are clear and two reviewers independently reviewed at </w:t>
            </w:r>
            <w:proofErr w:type="spellStart"/>
            <w:r w:rsidRPr="00C250A1">
              <w:rPr>
                <w:sz w:val="20"/>
                <w:szCs w:val="20"/>
              </w:rPr>
              <w:t>ti</w:t>
            </w:r>
            <w:proofErr w:type="spellEnd"/>
            <w:r w:rsidRPr="00C250A1">
              <w:rPr>
                <w:sz w:val="20"/>
                <w:szCs w:val="20"/>
              </w:rPr>
              <w:t>/abs</w:t>
            </w:r>
          </w:p>
        </w:tc>
        <w:tc>
          <w:tcPr>
            <w:tcW w:w="1701" w:type="dxa"/>
            <w:tcBorders>
              <w:top w:val="single" w:sz="4" w:space="0" w:color="auto"/>
              <w:left w:val="single" w:sz="4" w:space="0" w:color="auto"/>
              <w:bottom w:val="single" w:sz="4" w:space="0" w:color="auto"/>
              <w:right w:val="single" w:sz="8" w:space="0" w:color="auto"/>
            </w:tcBorders>
            <w:vAlign w:val="center"/>
          </w:tcPr>
          <w:p w14:paraId="6B98C9F0" w14:textId="77777777" w:rsidR="00CF6834" w:rsidRPr="00C250A1" w:rsidRDefault="00CF6834" w:rsidP="00576EA7">
            <w:pPr>
              <w:rPr>
                <w:color w:val="FF0000"/>
                <w:sz w:val="20"/>
                <w:szCs w:val="20"/>
              </w:rPr>
            </w:pPr>
          </w:p>
        </w:tc>
      </w:tr>
      <w:tr w:rsidR="00CF6834" w:rsidRPr="00C250A1" w14:paraId="0D23FF44"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7BC29E7D" w14:textId="77777777" w:rsidR="00CF6834" w:rsidRPr="00C250A1" w:rsidRDefault="00CF6834" w:rsidP="00576EA7">
            <w:pPr>
              <w:rPr>
                <w:sz w:val="20"/>
                <w:szCs w:val="20"/>
              </w:rPr>
            </w:pPr>
            <w:r w:rsidRPr="00C250A1">
              <w:rPr>
                <w:sz w:val="20"/>
                <w:szCs w:val="20"/>
              </w:rPr>
              <w:t>are the methods used documented clearly?</w:t>
            </w:r>
          </w:p>
        </w:tc>
        <w:tc>
          <w:tcPr>
            <w:tcW w:w="992" w:type="dxa"/>
            <w:tcBorders>
              <w:top w:val="single" w:sz="4" w:space="0" w:color="auto"/>
              <w:left w:val="single" w:sz="4" w:space="0" w:color="auto"/>
              <w:bottom w:val="single" w:sz="4" w:space="0" w:color="auto"/>
              <w:right w:val="single" w:sz="4" w:space="0" w:color="auto"/>
            </w:tcBorders>
            <w:vAlign w:val="center"/>
          </w:tcPr>
          <w:p w14:paraId="74470FDA" w14:textId="77777777" w:rsidR="00CF6834" w:rsidRPr="00C250A1" w:rsidRDefault="00CF6834" w:rsidP="00576EA7">
            <w:pPr>
              <w:rPr>
                <w:color w:val="FF0000"/>
                <w:sz w:val="20"/>
                <w:szCs w:val="20"/>
              </w:rPr>
            </w:pPr>
            <w:r w:rsidRPr="00C250A1">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65381481" w14:textId="240AC1CE" w:rsidR="00CF6834" w:rsidRPr="00C250A1" w:rsidRDefault="00CF6834" w:rsidP="00576EA7">
            <w:pPr>
              <w:rPr>
                <w:color w:val="FF0000"/>
                <w:sz w:val="20"/>
                <w:szCs w:val="20"/>
              </w:rPr>
            </w:pPr>
            <w:r w:rsidRPr="00C250A1">
              <w:rPr>
                <w:sz w:val="20"/>
                <w:szCs w:val="20"/>
              </w:rPr>
              <w:t>The main NASEM report skips around a bit because of all the details (many in Appendices).</w:t>
            </w:r>
          </w:p>
        </w:tc>
        <w:tc>
          <w:tcPr>
            <w:tcW w:w="1701" w:type="dxa"/>
            <w:tcBorders>
              <w:top w:val="single" w:sz="4" w:space="0" w:color="auto"/>
              <w:left w:val="single" w:sz="4" w:space="0" w:color="auto"/>
              <w:bottom w:val="single" w:sz="4" w:space="0" w:color="auto"/>
              <w:right w:val="single" w:sz="8" w:space="0" w:color="auto"/>
            </w:tcBorders>
            <w:vAlign w:val="center"/>
          </w:tcPr>
          <w:p w14:paraId="337791E0" w14:textId="77777777" w:rsidR="00CF6834" w:rsidRPr="00C250A1" w:rsidRDefault="00CF6834" w:rsidP="00576EA7">
            <w:pPr>
              <w:rPr>
                <w:color w:val="FF0000"/>
                <w:sz w:val="20"/>
                <w:szCs w:val="20"/>
              </w:rPr>
            </w:pPr>
          </w:p>
        </w:tc>
      </w:tr>
      <w:tr w:rsidR="00CF6834" w:rsidRPr="00C250A1" w14:paraId="101553B6"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390492B8" w14:textId="4BB9B083" w:rsidR="00CF6834" w:rsidRPr="00C250A1" w:rsidRDefault="00CF6834" w:rsidP="00576EA7">
            <w:pPr>
              <w:rPr>
                <w:sz w:val="20"/>
                <w:szCs w:val="20"/>
              </w:rPr>
            </w:pPr>
            <w:r w:rsidRPr="00C250A1">
              <w:rPr>
                <w:sz w:val="20"/>
                <w:szCs w:val="20"/>
              </w:rPr>
              <w:t>are inclusion/exclusion criteria used to select or exclude certain studies from the review?</w:t>
            </w:r>
          </w:p>
        </w:tc>
        <w:tc>
          <w:tcPr>
            <w:tcW w:w="992" w:type="dxa"/>
            <w:tcBorders>
              <w:top w:val="single" w:sz="4" w:space="0" w:color="auto"/>
              <w:left w:val="single" w:sz="4" w:space="0" w:color="auto"/>
              <w:bottom w:val="single" w:sz="4" w:space="0" w:color="auto"/>
              <w:right w:val="single" w:sz="4" w:space="0" w:color="auto"/>
            </w:tcBorders>
            <w:vAlign w:val="center"/>
          </w:tcPr>
          <w:p w14:paraId="7F7D6D77" w14:textId="77777777" w:rsidR="00CF6834" w:rsidRPr="00C250A1" w:rsidRDefault="00CF6834" w:rsidP="00576EA7">
            <w:pPr>
              <w:rPr>
                <w:color w:val="FF0000"/>
                <w:sz w:val="20"/>
                <w:szCs w:val="20"/>
              </w:rPr>
            </w:pPr>
            <w:r w:rsidRPr="00C250A1">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09DD5928" w14:textId="2DB55FAB" w:rsidR="00CF6834" w:rsidRPr="00C250A1" w:rsidRDefault="00CF6834" w:rsidP="00576EA7">
            <w:pPr>
              <w:rPr>
                <w:sz w:val="20"/>
                <w:szCs w:val="20"/>
              </w:rPr>
            </w:pPr>
            <w:r w:rsidRPr="00C250A1">
              <w:rPr>
                <w:sz w:val="20"/>
                <w:szCs w:val="20"/>
              </w:rPr>
              <w:t>AHRQ inclusion/exclusion criteria are clearly stated in Table 1 of that report (starting p.46/8 as listed on doc).</w:t>
            </w:r>
          </w:p>
          <w:p w14:paraId="0BB20ECE" w14:textId="77777777" w:rsidR="00CF6834" w:rsidRPr="00C250A1" w:rsidRDefault="00CF6834" w:rsidP="00576EA7">
            <w:pPr>
              <w:rPr>
                <w:sz w:val="20"/>
                <w:szCs w:val="20"/>
              </w:rPr>
            </w:pPr>
            <w:r w:rsidRPr="00C250A1">
              <w:rPr>
                <w:sz w:val="20"/>
                <w:szCs w:val="20"/>
              </w:rPr>
              <w:t>Details relating to the additional questions are provided in Appendix E.</w:t>
            </w:r>
          </w:p>
          <w:p w14:paraId="48EE9BF3" w14:textId="2223E0F0" w:rsidR="00CF6834" w:rsidRPr="00C250A1" w:rsidRDefault="00CF6834" w:rsidP="00576EA7">
            <w:pPr>
              <w:rPr>
                <w:color w:val="FF0000"/>
                <w:sz w:val="20"/>
                <w:szCs w:val="20"/>
              </w:rPr>
            </w:pPr>
            <w:r w:rsidRPr="00C250A1">
              <w:rPr>
                <w:sz w:val="20"/>
                <w:szCs w:val="20"/>
              </w:rPr>
              <w:t>A PRISMA flowchart is provided in the AHRQ Systematic Review.</w:t>
            </w:r>
          </w:p>
        </w:tc>
        <w:tc>
          <w:tcPr>
            <w:tcW w:w="1701" w:type="dxa"/>
            <w:tcBorders>
              <w:top w:val="single" w:sz="4" w:space="0" w:color="auto"/>
              <w:left w:val="single" w:sz="4" w:space="0" w:color="auto"/>
              <w:bottom w:val="single" w:sz="4" w:space="0" w:color="auto"/>
              <w:right w:val="single" w:sz="8" w:space="0" w:color="auto"/>
            </w:tcBorders>
            <w:vAlign w:val="center"/>
          </w:tcPr>
          <w:p w14:paraId="04E18C14" w14:textId="77777777" w:rsidR="00CF6834" w:rsidRPr="00C250A1" w:rsidRDefault="00CF6834" w:rsidP="00576EA7">
            <w:pPr>
              <w:rPr>
                <w:sz w:val="20"/>
                <w:szCs w:val="20"/>
              </w:rPr>
            </w:pPr>
            <w:r w:rsidRPr="00C250A1">
              <w:rPr>
                <w:sz w:val="20"/>
                <w:szCs w:val="20"/>
              </w:rPr>
              <w:t>PRISMA flow chart - AHRQ p.64</w:t>
            </w:r>
          </w:p>
          <w:p w14:paraId="5BC783BA" w14:textId="3EE16911" w:rsidR="00CF6834" w:rsidRPr="00C250A1" w:rsidRDefault="00CF6834" w:rsidP="00576EA7">
            <w:pPr>
              <w:rPr>
                <w:color w:val="FF0000"/>
                <w:sz w:val="20"/>
                <w:szCs w:val="20"/>
              </w:rPr>
            </w:pPr>
            <w:r w:rsidRPr="00C250A1">
              <w:rPr>
                <w:sz w:val="20"/>
                <w:szCs w:val="20"/>
              </w:rPr>
              <w:t>Inclusion /exclusion for additional qu</w:t>
            </w:r>
            <w:r w:rsidR="006F36F7">
              <w:rPr>
                <w:sz w:val="20"/>
                <w:szCs w:val="20"/>
              </w:rPr>
              <w:t>estions</w:t>
            </w:r>
            <w:r w:rsidRPr="00C250A1">
              <w:rPr>
                <w:sz w:val="20"/>
                <w:szCs w:val="20"/>
              </w:rPr>
              <w:t xml:space="preserve"> p. 490 and tables in Ap</w:t>
            </w:r>
            <w:r w:rsidR="006F36F7">
              <w:rPr>
                <w:sz w:val="20"/>
                <w:szCs w:val="20"/>
              </w:rPr>
              <w:t>pen</w:t>
            </w:r>
            <w:r w:rsidRPr="00C250A1">
              <w:rPr>
                <w:sz w:val="20"/>
                <w:szCs w:val="20"/>
              </w:rPr>
              <w:t>d</w:t>
            </w:r>
            <w:r w:rsidR="006F36F7">
              <w:rPr>
                <w:sz w:val="20"/>
                <w:szCs w:val="20"/>
              </w:rPr>
              <w:t>i</w:t>
            </w:r>
            <w:r w:rsidRPr="00C250A1">
              <w:rPr>
                <w:sz w:val="20"/>
                <w:szCs w:val="20"/>
              </w:rPr>
              <w:t>x E</w:t>
            </w:r>
          </w:p>
        </w:tc>
      </w:tr>
      <w:tr w:rsidR="00CF6834" w:rsidRPr="00C250A1" w14:paraId="295B394C"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1D391821" w14:textId="77777777" w:rsidR="00CF6834" w:rsidRPr="00C250A1" w:rsidRDefault="00CF6834" w:rsidP="00576EA7">
            <w:pPr>
              <w:rPr>
                <w:sz w:val="20"/>
                <w:szCs w:val="20"/>
              </w:rPr>
            </w:pPr>
            <w:r w:rsidRPr="00C250A1">
              <w:rPr>
                <w:sz w:val="20"/>
                <w:szCs w:val="20"/>
              </w:rPr>
              <w:lastRenderedPageBreak/>
              <w:t>is justification of inclusion/exclusion criteria provided?</w:t>
            </w:r>
          </w:p>
        </w:tc>
        <w:tc>
          <w:tcPr>
            <w:tcW w:w="992" w:type="dxa"/>
            <w:tcBorders>
              <w:top w:val="single" w:sz="4" w:space="0" w:color="auto"/>
              <w:left w:val="single" w:sz="4" w:space="0" w:color="auto"/>
              <w:bottom w:val="single" w:sz="4" w:space="0" w:color="auto"/>
              <w:right w:val="single" w:sz="4" w:space="0" w:color="auto"/>
            </w:tcBorders>
            <w:vAlign w:val="center"/>
          </w:tcPr>
          <w:p w14:paraId="325F6781" w14:textId="77777777" w:rsidR="00CF6834" w:rsidRPr="00C250A1" w:rsidRDefault="00CF6834" w:rsidP="00576EA7">
            <w:pPr>
              <w:rPr>
                <w:color w:val="FF0000"/>
                <w:sz w:val="20"/>
                <w:szCs w:val="20"/>
              </w:rPr>
            </w:pPr>
            <w:r w:rsidRPr="00C250A1">
              <w:rPr>
                <w:sz w:val="20"/>
                <w:szCs w:val="20"/>
              </w:rPr>
              <w:t>Partly Yes</w:t>
            </w:r>
          </w:p>
        </w:tc>
        <w:tc>
          <w:tcPr>
            <w:tcW w:w="9073" w:type="dxa"/>
            <w:tcBorders>
              <w:top w:val="single" w:sz="4" w:space="0" w:color="auto"/>
              <w:left w:val="single" w:sz="4" w:space="0" w:color="auto"/>
              <w:bottom w:val="single" w:sz="4" w:space="0" w:color="auto"/>
              <w:right w:val="single" w:sz="8" w:space="0" w:color="auto"/>
            </w:tcBorders>
            <w:vAlign w:val="center"/>
          </w:tcPr>
          <w:p w14:paraId="11129E93" w14:textId="77777777" w:rsidR="00CF6834" w:rsidRPr="00C250A1" w:rsidRDefault="00CF6834" w:rsidP="00576EA7">
            <w:pPr>
              <w:rPr>
                <w:rFonts w:cstheme="minorHAnsi"/>
                <w:sz w:val="20"/>
                <w:szCs w:val="20"/>
              </w:rPr>
            </w:pPr>
            <w:r w:rsidRPr="00C250A1">
              <w:rPr>
                <w:sz w:val="20"/>
                <w:szCs w:val="20"/>
              </w:rPr>
              <w:t>AHRQ justified English only “</w:t>
            </w:r>
            <w:r w:rsidRPr="00C250A1">
              <w:rPr>
                <w:rFonts w:cstheme="minorHAnsi"/>
                <w:sz w:val="20"/>
                <w:szCs w:val="20"/>
              </w:rPr>
              <w:t>to ensure that sufficient study detail was provided and accessible to assess study quality fairly” (p.46)</w:t>
            </w:r>
          </w:p>
          <w:p w14:paraId="125A37A9" w14:textId="55792B68" w:rsidR="00CF6834" w:rsidRPr="00C250A1" w:rsidRDefault="00CF6834" w:rsidP="00576EA7">
            <w:pPr>
              <w:rPr>
                <w:sz w:val="20"/>
                <w:szCs w:val="20"/>
              </w:rPr>
            </w:pPr>
            <w:r w:rsidRPr="00C250A1">
              <w:rPr>
                <w:sz w:val="20"/>
                <w:szCs w:val="20"/>
              </w:rPr>
              <w:t>For NASEM dates seem to be based on “since last review”, others do not seem to be specifically justified but relate to the questions (e.g., appropriate study type, humans etc).</w:t>
            </w:r>
          </w:p>
        </w:tc>
        <w:tc>
          <w:tcPr>
            <w:tcW w:w="1701" w:type="dxa"/>
            <w:tcBorders>
              <w:top w:val="single" w:sz="4" w:space="0" w:color="auto"/>
              <w:left w:val="single" w:sz="4" w:space="0" w:color="auto"/>
              <w:bottom w:val="single" w:sz="4" w:space="0" w:color="auto"/>
              <w:right w:val="single" w:sz="8" w:space="0" w:color="auto"/>
            </w:tcBorders>
            <w:vAlign w:val="center"/>
          </w:tcPr>
          <w:p w14:paraId="2A160219" w14:textId="77777777" w:rsidR="00CF6834" w:rsidRPr="00C250A1" w:rsidRDefault="00CF6834" w:rsidP="00576EA7">
            <w:pPr>
              <w:rPr>
                <w:color w:val="FF0000"/>
                <w:sz w:val="20"/>
                <w:szCs w:val="20"/>
              </w:rPr>
            </w:pPr>
          </w:p>
        </w:tc>
      </w:tr>
    </w:tbl>
    <w:p w14:paraId="62C36D90" w14:textId="2C0E9F3B" w:rsidR="00CF6834" w:rsidRDefault="00CF6834" w:rsidP="005338A3">
      <w:pPr>
        <w:pStyle w:val="Heading3"/>
        <w:spacing w:before="240"/>
      </w:pPr>
      <w:bookmarkStart w:id="113" w:name="_Toc234960885"/>
      <w:r>
        <w:t>Evidence search</w:t>
      </w:r>
      <w:bookmarkEnd w:id="113"/>
    </w:p>
    <w:tbl>
      <w:tblPr>
        <w:tblStyle w:val="TableGrid1"/>
        <w:tblW w:w="15452" w:type="dxa"/>
        <w:tblInd w:w="-294"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686"/>
        <w:gridCol w:w="993"/>
        <w:gridCol w:w="9072"/>
        <w:gridCol w:w="1701"/>
      </w:tblGrid>
      <w:tr w:rsidR="00CF6834" w:rsidRPr="00C250A1" w14:paraId="565A34F4" w14:textId="77777777" w:rsidTr="00C577A7">
        <w:trPr>
          <w:cantSplit/>
          <w:tblHeader/>
        </w:trPr>
        <w:tc>
          <w:tcPr>
            <w:tcW w:w="368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7E4F14DC" w14:textId="77777777" w:rsidR="00CF6834" w:rsidRPr="00C250A1" w:rsidRDefault="00CF6834" w:rsidP="00576EA7">
            <w:pPr>
              <w:rPr>
                <w:b/>
                <w:bCs/>
                <w:sz w:val="20"/>
                <w:szCs w:val="20"/>
                <w:vertAlign w:val="superscript"/>
              </w:rPr>
            </w:pPr>
            <w:r w:rsidRPr="00C250A1">
              <w:rPr>
                <w:b/>
                <w:bCs/>
                <w:sz w:val="20"/>
                <w:szCs w:val="20"/>
              </w:rPr>
              <w:t>Criteria</w:t>
            </w:r>
          </w:p>
        </w:tc>
        <w:tc>
          <w:tcPr>
            <w:tcW w:w="993" w:type="dxa"/>
            <w:tcBorders>
              <w:top w:val="single" w:sz="8" w:space="0" w:color="auto"/>
              <w:left w:val="single" w:sz="4" w:space="0" w:color="auto"/>
              <w:bottom w:val="single" w:sz="8" w:space="0" w:color="auto"/>
              <w:right w:val="single" w:sz="8" w:space="0" w:color="auto"/>
            </w:tcBorders>
            <w:shd w:val="clear" w:color="auto" w:fill="BFBFBF" w:themeFill="background1" w:themeFillShade="BF"/>
            <w:vAlign w:val="center"/>
            <w:hideMark/>
          </w:tcPr>
          <w:p w14:paraId="3AE03D2C" w14:textId="77777777" w:rsidR="00CF6834" w:rsidRPr="00C250A1" w:rsidRDefault="00CF6834" w:rsidP="00576EA7">
            <w:pPr>
              <w:rPr>
                <w:b/>
                <w:bCs/>
                <w:sz w:val="20"/>
                <w:szCs w:val="20"/>
              </w:rPr>
            </w:pPr>
            <w:r w:rsidRPr="00C250A1">
              <w:rPr>
                <w:b/>
                <w:bCs/>
                <w:sz w:val="20"/>
                <w:szCs w:val="20"/>
              </w:rPr>
              <w:t>Yes/No/NA</w:t>
            </w:r>
          </w:p>
        </w:tc>
        <w:tc>
          <w:tcPr>
            <w:tcW w:w="9072"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4797A790" w14:textId="77777777" w:rsidR="00CF6834" w:rsidRPr="00C250A1" w:rsidRDefault="00CF6834" w:rsidP="00576EA7">
            <w:pPr>
              <w:rPr>
                <w:b/>
                <w:bCs/>
                <w:sz w:val="20"/>
                <w:szCs w:val="20"/>
              </w:rPr>
            </w:pPr>
            <w:r w:rsidRPr="00C250A1">
              <w:rPr>
                <w:b/>
                <w:bCs/>
                <w:sz w:val="20"/>
                <w:szCs w:val="20"/>
              </w:rPr>
              <w:t>Comment</w:t>
            </w:r>
          </w:p>
        </w:tc>
        <w:tc>
          <w:tcPr>
            <w:tcW w:w="170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20040C57" w14:textId="77777777" w:rsidR="00CF6834" w:rsidRPr="00C250A1" w:rsidRDefault="00CF6834" w:rsidP="00576EA7">
            <w:pPr>
              <w:rPr>
                <w:b/>
                <w:bCs/>
                <w:sz w:val="20"/>
                <w:szCs w:val="20"/>
              </w:rPr>
            </w:pPr>
            <w:r w:rsidRPr="00C250A1">
              <w:rPr>
                <w:b/>
                <w:bCs/>
                <w:sz w:val="20"/>
                <w:szCs w:val="20"/>
              </w:rPr>
              <w:t>Page #</w:t>
            </w:r>
          </w:p>
        </w:tc>
      </w:tr>
      <w:tr w:rsidR="00CF6834" w:rsidRPr="00C250A1" w14:paraId="0F0FD2A5" w14:textId="77777777" w:rsidTr="00C577A7">
        <w:trPr>
          <w:cantSplit/>
        </w:trPr>
        <w:tc>
          <w:tcPr>
            <w:tcW w:w="3686" w:type="dxa"/>
            <w:tcBorders>
              <w:top w:val="single" w:sz="8" w:space="0" w:color="auto"/>
              <w:left w:val="single" w:sz="4" w:space="0" w:color="auto"/>
              <w:bottom w:val="single" w:sz="4" w:space="0" w:color="auto"/>
              <w:right w:val="single" w:sz="4" w:space="0" w:color="auto"/>
            </w:tcBorders>
            <w:vAlign w:val="center"/>
            <w:hideMark/>
          </w:tcPr>
          <w:p w14:paraId="5DAE5C31" w14:textId="77777777" w:rsidR="00CF6834" w:rsidRPr="00C250A1" w:rsidRDefault="00CF6834" w:rsidP="00576EA7">
            <w:pPr>
              <w:rPr>
                <w:sz w:val="20"/>
                <w:szCs w:val="20"/>
              </w:rPr>
            </w:pPr>
            <w:r w:rsidRPr="00C250A1">
              <w:rPr>
                <w:sz w:val="20"/>
                <w:szCs w:val="20"/>
              </w:rPr>
              <w:t>Are databases and other sources of evidence specified?</w:t>
            </w:r>
          </w:p>
        </w:tc>
        <w:tc>
          <w:tcPr>
            <w:tcW w:w="993" w:type="dxa"/>
            <w:tcBorders>
              <w:top w:val="single" w:sz="8" w:space="0" w:color="auto"/>
              <w:left w:val="single" w:sz="4" w:space="0" w:color="auto"/>
              <w:bottom w:val="single" w:sz="4" w:space="0" w:color="auto"/>
              <w:right w:val="single" w:sz="4" w:space="0" w:color="auto"/>
            </w:tcBorders>
            <w:vAlign w:val="center"/>
          </w:tcPr>
          <w:p w14:paraId="05139EB1" w14:textId="77777777" w:rsidR="00CF6834" w:rsidRPr="00C250A1" w:rsidRDefault="00CF6834" w:rsidP="00576EA7">
            <w:pPr>
              <w:rPr>
                <w:color w:val="FF0000"/>
                <w:sz w:val="20"/>
                <w:szCs w:val="20"/>
              </w:rPr>
            </w:pPr>
            <w:r w:rsidRPr="00C250A1">
              <w:rPr>
                <w:sz w:val="20"/>
                <w:szCs w:val="20"/>
              </w:rPr>
              <w:t>Yes</w:t>
            </w:r>
          </w:p>
        </w:tc>
        <w:tc>
          <w:tcPr>
            <w:tcW w:w="9072" w:type="dxa"/>
            <w:tcBorders>
              <w:top w:val="single" w:sz="8" w:space="0" w:color="auto"/>
              <w:left w:val="single" w:sz="4" w:space="0" w:color="auto"/>
              <w:bottom w:val="single" w:sz="4" w:space="0" w:color="auto"/>
              <w:right w:val="single" w:sz="8" w:space="0" w:color="auto"/>
            </w:tcBorders>
            <w:vAlign w:val="center"/>
          </w:tcPr>
          <w:p w14:paraId="5CBBAC70" w14:textId="77777777" w:rsidR="00CF6834" w:rsidRPr="00C250A1" w:rsidRDefault="00CF6834" w:rsidP="00576EA7">
            <w:pPr>
              <w:rPr>
                <w:sz w:val="20"/>
                <w:szCs w:val="20"/>
              </w:rPr>
            </w:pPr>
            <w:r w:rsidRPr="00C250A1">
              <w:rPr>
                <w:sz w:val="20"/>
                <w:szCs w:val="20"/>
              </w:rPr>
              <w:t>See below</w:t>
            </w:r>
          </w:p>
        </w:tc>
        <w:tc>
          <w:tcPr>
            <w:tcW w:w="1701" w:type="dxa"/>
            <w:tcBorders>
              <w:top w:val="single" w:sz="8" w:space="0" w:color="auto"/>
              <w:left w:val="single" w:sz="4" w:space="0" w:color="auto"/>
              <w:bottom w:val="single" w:sz="4" w:space="0" w:color="auto"/>
              <w:right w:val="single" w:sz="8" w:space="0" w:color="auto"/>
            </w:tcBorders>
            <w:vAlign w:val="center"/>
          </w:tcPr>
          <w:p w14:paraId="26D3311C" w14:textId="77777777" w:rsidR="00CF6834" w:rsidRPr="00C250A1" w:rsidRDefault="00CF6834" w:rsidP="00576EA7">
            <w:pPr>
              <w:rPr>
                <w:sz w:val="20"/>
                <w:szCs w:val="20"/>
              </w:rPr>
            </w:pPr>
          </w:p>
        </w:tc>
      </w:tr>
      <w:tr w:rsidR="00CF6834" w:rsidRPr="00C250A1" w14:paraId="085A9334"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6D10C4C1" w14:textId="519ED924" w:rsidR="00CF6834" w:rsidRPr="00C250A1" w:rsidRDefault="00CF6834" w:rsidP="00576EA7">
            <w:pPr>
              <w:rPr>
                <w:sz w:val="20"/>
                <w:szCs w:val="20"/>
              </w:rPr>
            </w:pPr>
            <w:r w:rsidRPr="00C250A1">
              <w:rPr>
                <w:sz w:val="20"/>
                <w:szCs w:val="20"/>
              </w:rPr>
              <w:t>Does the literature search cover at least more than one scientific database as well as additional sources (which may include government reports and grey literature)?</w:t>
            </w:r>
          </w:p>
        </w:tc>
        <w:tc>
          <w:tcPr>
            <w:tcW w:w="993" w:type="dxa"/>
            <w:tcBorders>
              <w:top w:val="single" w:sz="4" w:space="0" w:color="auto"/>
              <w:left w:val="single" w:sz="4" w:space="0" w:color="auto"/>
              <w:bottom w:val="single" w:sz="4" w:space="0" w:color="auto"/>
              <w:right w:val="single" w:sz="4" w:space="0" w:color="auto"/>
            </w:tcBorders>
            <w:vAlign w:val="center"/>
          </w:tcPr>
          <w:p w14:paraId="3758FE86" w14:textId="77777777" w:rsidR="00CF6834" w:rsidRPr="00C250A1" w:rsidRDefault="00CF6834" w:rsidP="00576EA7">
            <w:pPr>
              <w:rPr>
                <w:color w:val="FF0000"/>
                <w:sz w:val="20"/>
                <w:szCs w:val="20"/>
              </w:rPr>
            </w:pPr>
            <w:r w:rsidRPr="00C250A1">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6C292F6C" w14:textId="55FD0E99" w:rsidR="00CF6834" w:rsidRPr="00C250A1" w:rsidRDefault="00CF6834" w:rsidP="00576EA7">
            <w:pPr>
              <w:rPr>
                <w:sz w:val="20"/>
                <w:szCs w:val="20"/>
              </w:rPr>
            </w:pPr>
            <w:r w:rsidRPr="00C250A1">
              <w:rPr>
                <w:sz w:val="20"/>
                <w:szCs w:val="20"/>
              </w:rPr>
              <w:t xml:space="preserve">AHRQ Systematic Review used </w:t>
            </w:r>
            <w:proofErr w:type="spellStart"/>
            <w:r w:rsidRPr="00C250A1">
              <w:rPr>
                <w:sz w:val="20"/>
                <w:szCs w:val="20"/>
              </w:rPr>
              <w:t>Pubmed</w:t>
            </w:r>
            <w:proofErr w:type="spellEnd"/>
            <w:r w:rsidRPr="00C250A1">
              <w:rPr>
                <w:sz w:val="20"/>
                <w:szCs w:val="20"/>
              </w:rPr>
              <w:t>, Embase, Cochrane Library, Cochrane CENTRAL, CINAHL, Web of Science, references of prior reviews, hand search of grey lit, and expert recommendations.</w:t>
            </w:r>
          </w:p>
          <w:p w14:paraId="030D2CC9" w14:textId="6825D939" w:rsidR="00CF6834" w:rsidRPr="00C250A1" w:rsidRDefault="00CF6834" w:rsidP="00576EA7">
            <w:pPr>
              <w:rPr>
                <w:sz w:val="20"/>
                <w:szCs w:val="20"/>
              </w:rPr>
            </w:pPr>
            <w:proofErr w:type="spellStart"/>
            <w:r w:rsidRPr="00C250A1">
              <w:rPr>
                <w:sz w:val="20"/>
                <w:szCs w:val="20"/>
              </w:rPr>
              <w:t>Pubmed</w:t>
            </w:r>
            <w:proofErr w:type="spellEnd"/>
            <w:r w:rsidRPr="00C250A1">
              <w:rPr>
                <w:sz w:val="20"/>
                <w:szCs w:val="20"/>
              </w:rPr>
              <w:t xml:space="preserve"> was used for the scoping searches and headache. Medline and Cochrane for other additional searches for SR. Ovid Medline for additional primary references.</w:t>
            </w:r>
          </w:p>
        </w:tc>
        <w:tc>
          <w:tcPr>
            <w:tcW w:w="1701" w:type="dxa"/>
            <w:tcBorders>
              <w:top w:val="single" w:sz="4" w:space="0" w:color="auto"/>
              <w:left w:val="single" w:sz="4" w:space="0" w:color="auto"/>
              <w:bottom w:val="single" w:sz="4" w:space="0" w:color="auto"/>
              <w:right w:val="single" w:sz="8" w:space="0" w:color="auto"/>
            </w:tcBorders>
            <w:vAlign w:val="center"/>
          </w:tcPr>
          <w:p w14:paraId="2B7BD9E3" w14:textId="77777777" w:rsidR="00CF6834" w:rsidRPr="00C250A1" w:rsidRDefault="00CF6834" w:rsidP="00576EA7">
            <w:pPr>
              <w:rPr>
                <w:sz w:val="20"/>
                <w:szCs w:val="20"/>
              </w:rPr>
            </w:pPr>
            <w:r w:rsidRPr="00C250A1">
              <w:rPr>
                <w:sz w:val="20"/>
                <w:szCs w:val="20"/>
              </w:rPr>
              <w:t>p.453 (appendix D)</w:t>
            </w:r>
          </w:p>
          <w:p w14:paraId="49629C27" w14:textId="77777777" w:rsidR="00CF6834" w:rsidRPr="00C250A1" w:rsidRDefault="00CF6834" w:rsidP="00576EA7">
            <w:pPr>
              <w:rPr>
                <w:sz w:val="20"/>
                <w:szCs w:val="20"/>
              </w:rPr>
            </w:pPr>
            <w:r w:rsidRPr="00C250A1">
              <w:rPr>
                <w:sz w:val="20"/>
                <w:szCs w:val="20"/>
              </w:rPr>
              <w:t>p.486 onward (appendix E)</w:t>
            </w:r>
          </w:p>
          <w:p w14:paraId="670D67F8" w14:textId="77777777" w:rsidR="00CF6834" w:rsidRPr="00C250A1" w:rsidRDefault="00CF6834" w:rsidP="00576EA7">
            <w:pPr>
              <w:rPr>
                <w:sz w:val="20"/>
                <w:szCs w:val="20"/>
              </w:rPr>
            </w:pPr>
            <w:r w:rsidRPr="00C250A1">
              <w:rPr>
                <w:sz w:val="20"/>
                <w:szCs w:val="20"/>
              </w:rPr>
              <w:t>AHRQ vii/p.18</w:t>
            </w:r>
          </w:p>
        </w:tc>
      </w:tr>
      <w:tr w:rsidR="00CF6834" w:rsidRPr="00C250A1" w14:paraId="78503F09"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15CDD9E8" w14:textId="0F0B5127" w:rsidR="00CF6834" w:rsidRPr="00C250A1" w:rsidRDefault="00CF6834" w:rsidP="00576EA7">
            <w:pPr>
              <w:rPr>
                <w:sz w:val="20"/>
                <w:szCs w:val="20"/>
              </w:rPr>
            </w:pPr>
            <w:r w:rsidRPr="00C250A1">
              <w:rPr>
                <w:sz w:val="20"/>
                <w:szCs w:val="20"/>
              </w:rPr>
              <w:t>Is the date range of the literature search specified and justified?</w:t>
            </w:r>
          </w:p>
        </w:tc>
        <w:tc>
          <w:tcPr>
            <w:tcW w:w="993" w:type="dxa"/>
            <w:tcBorders>
              <w:top w:val="single" w:sz="4" w:space="0" w:color="auto"/>
              <w:left w:val="single" w:sz="4" w:space="0" w:color="auto"/>
              <w:bottom w:val="single" w:sz="4" w:space="0" w:color="auto"/>
              <w:right w:val="single" w:sz="4" w:space="0" w:color="auto"/>
            </w:tcBorders>
            <w:vAlign w:val="center"/>
          </w:tcPr>
          <w:p w14:paraId="152D4C9C" w14:textId="77777777" w:rsidR="00CF6834" w:rsidRPr="00C250A1" w:rsidRDefault="00CF6834" w:rsidP="00576EA7">
            <w:pPr>
              <w:rPr>
                <w:sz w:val="20"/>
                <w:szCs w:val="20"/>
              </w:rPr>
            </w:pPr>
            <w:r w:rsidRPr="00C250A1">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05E0C069" w14:textId="4034F8CB" w:rsidR="00CF6834" w:rsidRPr="00C250A1" w:rsidRDefault="00CF6834" w:rsidP="00576EA7">
            <w:pPr>
              <w:rPr>
                <w:sz w:val="20"/>
                <w:szCs w:val="20"/>
              </w:rPr>
            </w:pPr>
            <w:r w:rsidRPr="00C250A1">
              <w:rPr>
                <w:sz w:val="20"/>
                <w:szCs w:val="20"/>
              </w:rPr>
              <w:t>AHRQ – from past report search date to date of search (2017).</w:t>
            </w:r>
          </w:p>
          <w:p w14:paraId="1A42376A" w14:textId="77777777" w:rsidR="00CF6834" w:rsidRPr="00C250A1" w:rsidRDefault="00CF6834" w:rsidP="00576EA7">
            <w:pPr>
              <w:rPr>
                <w:sz w:val="20"/>
                <w:szCs w:val="20"/>
              </w:rPr>
            </w:pPr>
            <w:r w:rsidRPr="00C250A1">
              <w:rPr>
                <w:sz w:val="20"/>
                <w:szCs w:val="20"/>
              </w:rPr>
              <w:t>PubMed, Web of Science: 2003 – 2017 (search date)</w:t>
            </w:r>
          </w:p>
          <w:p w14:paraId="7954AAFB" w14:textId="77777777" w:rsidR="00CF6834" w:rsidRPr="00C250A1" w:rsidRDefault="00CF6834" w:rsidP="00576EA7">
            <w:pPr>
              <w:rPr>
                <w:sz w:val="20"/>
                <w:szCs w:val="20"/>
              </w:rPr>
            </w:pPr>
            <w:r w:rsidRPr="00C250A1">
              <w:rPr>
                <w:sz w:val="20"/>
                <w:szCs w:val="20"/>
              </w:rPr>
              <w:t>Embase, CINAHL, Cochrane CENTRAL: 2011- 2017 (search date)</w:t>
            </w:r>
          </w:p>
          <w:p w14:paraId="40305858" w14:textId="77777777" w:rsidR="00CF6834" w:rsidRPr="00C250A1" w:rsidRDefault="00CF6834" w:rsidP="00576EA7">
            <w:pPr>
              <w:rPr>
                <w:sz w:val="20"/>
                <w:szCs w:val="20"/>
              </w:rPr>
            </w:pPr>
            <w:r w:rsidRPr="00C250A1">
              <w:rPr>
                <w:sz w:val="20"/>
                <w:szCs w:val="20"/>
              </w:rPr>
              <w:t>(NB studies included in the earlier reports were also included where they met the current inclusion criteria.)</w:t>
            </w:r>
          </w:p>
          <w:p w14:paraId="19B9F6DF" w14:textId="77777777" w:rsidR="00CF6834" w:rsidRPr="00C250A1" w:rsidRDefault="00CF6834" w:rsidP="00576EA7">
            <w:pPr>
              <w:rPr>
                <w:sz w:val="20"/>
                <w:szCs w:val="20"/>
              </w:rPr>
            </w:pPr>
            <w:r w:rsidRPr="00C250A1">
              <w:rPr>
                <w:sz w:val="20"/>
                <w:szCs w:val="20"/>
              </w:rPr>
              <w:t>Scoping searches and additional questions varied depending on most recent IOM report – either 2003, or 2012.</w:t>
            </w:r>
          </w:p>
          <w:p w14:paraId="0E4086C2" w14:textId="77777777" w:rsidR="00CF6834" w:rsidRPr="00C250A1" w:rsidRDefault="00CF6834" w:rsidP="00576EA7">
            <w:pPr>
              <w:rPr>
                <w:sz w:val="20"/>
                <w:szCs w:val="20"/>
              </w:rPr>
            </w:pPr>
            <w:r w:rsidRPr="00C250A1">
              <w:rPr>
                <w:sz w:val="20"/>
                <w:szCs w:val="20"/>
              </w:rPr>
              <w:t>NASEM committee re-ran the AHRQ searches up to June 2018 in PubMed.</w:t>
            </w:r>
          </w:p>
        </w:tc>
        <w:tc>
          <w:tcPr>
            <w:tcW w:w="1701" w:type="dxa"/>
            <w:tcBorders>
              <w:top w:val="single" w:sz="4" w:space="0" w:color="auto"/>
              <w:left w:val="single" w:sz="4" w:space="0" w:color="auto"/>
              <w:bottom w:val="single" w:sz="4" w:space="0" w:color="auto"/>
              <w:right w:val="single" w:sz="8" w:space="0" w:color="auto"/>
            </w:tcBorders>
            <w:vAlign w:val="center"/>
          </w:tcPr>
          <w:p w14:paraId="5C7E675D" w14:textId="77777777" w:rsidR="00CF6834" w:rsidRPr="00C250A1" w:rsidRDefault="00CF6834" w:rsidP="00576EA7">
            <w:pPr>
              <w:rPr>
                <w:color w:val="FF0000"/>
                <w:sz w:val="20"/>
                <w:szCs w:val="20"/>
              </w:rPr>
            </w:pPr>
          </w:p>
        </w:tc>
      </w:tr>
      <w:tr w:rsidR="00CF6834" w:rsidRPr="00C250A1" w14:paraId="486F6FB4"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398F3DD2" w14:textId="4B39635B" w:rsidR="00CF6834" w:rsidRPr="00C250A1" w:rsidRDefault="00CF6834" w:rsidP="00576EA7">
            <w:pPr>
              <w:rPr>
                <w:sz w:val="20"/>
                <w:szCs w:val="20"/>
              </w:rPr>
            </w:pPr>
            <w:r w:rsidRPr="00C250A1">
              <w:rPr>
                <w:sz w:val="20"/>
                <w:szCs w:val="20"/>
              </w:rPr>
              <w:t>Are search terms and/or search strings specified?</w:t>
            </w:r>
          </w:p>
        </w:tc>
        <w:tc>
          <w:tcPr>
            <w:tcW w:w="993" w:type="dxa"/>
            <w:tcBorders>
              <w:top w:val="single" w:sz="4" w:space="0" w:color="auto"/>
              <w:left w:val="single" w:sz="4" w:space="0" w:color="auto"/>
              <w:bottom w:val="single" w:sz="4" w:space="0" w:color="auto"/>
              <w:right w:val="single" w:sz="4" w:space="0" w:color="auto"/>
            </w:tcBorders>
            <w:vAlign w:val="center"/>
          </w:tcPr>
          <w:p w14:paraId="47437D60" w14:textId="77777777" w:rsidR="00CF6834" w:rsidRPr="00C250A1" w:rsidRDefault="00CF6834" w:rsidP="00576EA7">
            <w:pPr>
              <w:rPr>
                <w:sz w:val="20"/>
                <w:szCs w:val="20"/>
              </w:rPr>
            </w:pPr>
            <w:r w:rsidRPr="00C250A1">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032DAEC9" w14:textId="73A56B34" w:rsidR="00CF6834" w:rsidRPr="00C250A1" w:rsidRDefault="00CF6834" w:rsidP="00576EA7">
            <w:pPr>
              <w:rPr>
                <w:sz w:val="20"/>
                <w:szCs w:val="20"/>
              </w:rPr>
            </w:pPr>
            <w:r w:rsidRPr="00C250A1">
              <w:rPr>
                <w:sz w:val="20"/>
                <w:szCs w:val="20"/>
              </w:rPr>
              <w:t>Table D-2 for general, footnotes in the report for details.</w:t>
            </w:r>
          </w:p>
          <w:p w14:paraId="0A96FF82" w14:textId="77777777" w:rsidR="00CF6834" w:rsidRPr="00C250A1" w:rsidRDefault="00CF6834" w:rsidP="00576EA7">
            <w:pPr>
              <w:rPr>
                <w:sz w:val="20"/>
                <w:szCs w:val="20"/>
              </w:rPr>
            </w:pPr>
            <w:r w:rsidRPr="00C250A1">
              <w:rPr>
                <w:sz w:val="20"/>
                <w:szCs w:val="20"/>
              </w:rPr>
              <w:t>AHRQ Systematic Review Appendix A</w:t>
            </w:r>
          </w:p>
        </w:tc>
        <w:tc>
          <w:tcPr>
            <w:tcW w:w="1701" w:type="dxa"/>
            <w:tcBorders>
              <w:top w:val="single" w:sz="4" w:space="0" w:color="auto"/>
              <w:left w:val="single" w:sz="4" w:space="0" w:color="auto"/>
              <w:bottom w:val="single" w:sz="4" w:space="0" w:color="auto"/>
              <w:right w:val="single" w:sz="8" w:space="0" w:color="auto"/>
            </w:tcBorders>
            <w:vAlign w:val="center"/>
          </w:tcPr>
          <w:p w14:paraId="5DD4D154" w14:textId="77777777" w:rsidR="00CF6834" w:rsidRPr="00C250A1" w:rsidRDefault="00CF6834" w:rsidP="00576EA7">
            <w:pPr>
              <w:rPr>
                <w:color w:val="FF0000"/>
                <w:sz w:val="20"/>
                <w:szCs w:val="20"/>
              </w:rPr>
            </w:pPr>
          </w:p>
        </w:tc>
      </w:tr>
    </w:tbl>
    <w:p w14:paraId="761D2208" w14:textId="77777777" w:rsidR="00CF6834" w:rsidRDefault="00CF6834" w:rsidP="00576EA7"/>
    <w:p w14:paraId="7774B472" w14:textId="77777777" w:rsidR="00C250A1" w:rsidRDefault="00C250A1" w:rsidP="00576EA7">
      <w:pPr>
        <w:rPr>
          <w:rFonts w:eastAsiaTheme="majorEastAsia" w:cstheme="majorBidi"/>
          <w:color w:val="0F4761" w:themeColor="accent1" w:themeShade="BF"/>
          <w:sz w:val="24"/>
          <w:szCs w:val="28"/>
        </w:rPr>
      </w:pPr>
      <w:r>
        <w:br w:type="page"/>
      </w:r>
    </w:p>
    <w:p w14:paraId="56AF7E59" w14:textId="2AF79750" w:rsidR="00CF6834" w:rsidRDefault="00CF6834" w:rsidP="005338A3">
      <w:pPr>
        <w:pStyle w:val="Heading3"/>
        <w:spacing w:before="240"/>
      </w:pPr>
      <w:bookmarkStart w:id="114" w:name="_Toc234960886"/>
      <w:r>
        <w:lastRenderedPageBreak/>
        <w:t>Critical appraisal methods and tools</w:t>
      </w:r>
      <w:bookmarkEnd w:id="114"/>
    </w:p>
    <w:tbl>
      <w:tblPr>
        <w:tblStyle w:val="TableGrid1"/>
        <w:tblW w:w="15452" w:type="dxa"/>
        <w:tblInd w:w="-294"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686"/>
        <w:gridCol w:w="993"/>
        <w:gridCol w:w="9072"/>
        <w:gridCol w:w="1701"/>
      </w:tblGrid>
      <w:tr w:rsidR="00CF6834" w:rsidRPr="006333C0" w14:paraId="651D39F7" w14:textId="77777777" w:rsidTr="00C577A7">
        <w:trPr>
          <w:cantSplit/>
        </w:trPr>
        <w:tc>
          <w:tcPr>
            <w:tcW w:w="368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258EF679" w14:textId="77777777" w:rsidR="00CF6834" w:rsidRPr="006333C0" w:rsidRDefault="00CF6834" w:rsidP="00576EA7">
            <w:pPr>
              <w:rPr>
                <w:b/>
                <w:bCs/>
                <w:sz w:val="20"/>
                <w:szCs w:val="20"/>
                <w:vertAlign w:val="superscript"/>
              </w:rPr>
            </w:pPr>
            <w:r w:rsidRPr="006333C0">
              <w:rPr>
                <w:b/>
                <w:bCs/>
                <w:sz w:val="20"/>
                <w:szCs w:val="20"/>
              </w:rPr>
              <w:t>Criteria</w:t>
            </w:r>
          </w:p>
        </w:tc>
        <w:tc>
          <w:tcPr>
            <w:tcW w:w="993" w:type="dxa"/>
            <w:tcBorders>
              <w:top w:val="single" w:sz="8" w:space="0" w:color="auto"/>
              <w:left w:val="single" w:sz="4" w:space="0" w:color="auto"/>
              <w:bottom w:val="single" w:sz="8" w:space="0" w:color="auto"/>
              <w:right w:val="single" w:sz="8" w:space="0" w:color="auto"/>
            </w:tcBorders>
            <w:shd w:val="clear" w:color="auto" w:fill="BFBFBF" w:themeFill="background1" w:themeFillShade="BF"/>
            <w:vAlign w:val="center"/>
            <w:hideMark/>
          </w:tcPr>
          <w:p w14:paraId="78924723" w14:textId="77777777" w:rsidR="00CF6834" w:rsidRPr="006333C0" w:rsidRDefault="00CF6834" w:rsidP="00576EA7">
            <w:pPr>
              <w:rPr>
                <w:b/>
                <w:bCs/>
                <w:sz w:val="20"/>
                <w:szCs w:val="20"/>
              </w:rPr>
            </w:pPr>
            <w:r w:rsidRPr="006333C0">
              <w:rPr>
                <w:b/>
                <w:bCs/>
                <w:sz w:val="20"/>
                <w:szCs w:val="20"/>
              </w:rPr>
              <w:t>Yes/No/NA</w:t>
            </w:r>
          </w:p>
        </w:tc>
        <w:tc>
          <w:tcPr>
            <w:tcW w:w="9072"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1EBFF8FC" w14:textId="77777777" w:rsidR="00CF6834" w:rsidRPr="006333C0" w:rsidRDefault="00CF6834" w:rsidP="00576EA7">
            <w:pPr>
              <w:rPr>
                <w:b/>
                <w:bCs/>
                <w:sz w:val="20"/>
                <w:szCs w:val="20"/>
              </w:rPr>
            </w:pPr>
            <w:r w:rsidRPr="006333C0">
              <w:rPr>
                <w:b/>
                <w:bCs/>
                <w:sz w:val="20"/>
                <w:szCs w:val="20"/>
              </w:rPr>
              <w:t>Comment</w:t>
            </w:r>
          </w:p>
        </w:tc>
        <w:tc>
          <w:tcPr>
            <w:tcW w:w="170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45BFAB58" w14:textId="77777777" w:rsidR="00CF6834" w:rsidRPr="006333C0" w:rsidRDefault="00CF6834" w:rsidP="00576EA7">
            <w:pPr>
              <w:rPr>
                <w:b/>
                <w:bCs/>
                <w:sz w:val="20"/>
                <w:szCs w:val="20"/>
              </w:rPr>
            </w:pPr>
            <w:r w:rsidRPr="006333C0">
              <w:rPr>
                <w:b/>
                <w:bCs/>
                <w:sz w:val="20"/>
                <w:szCs w:val="20"/>
              </w:rPr>
              <w:t>Page #</w:t>
            </w:r>
          </w:p>
        </w:tc>
      </w:tr>
      <w:tr w:rsidR="00CF6834" w:rsidRPr="006333C0" w14:paraId="587216ED" w14:textId="77777777" w:rsidTr="00C577A7">
        <w:trPr>
          <w:cantSplit/>
        </w:trPr>
        <w:tc>
          <w:tcPr>
            <w:tcW w:w="3686" w:type="dxa"/>
            <w:tcBorders>
              <w:top w:val="single" w:sz="8" w:space="0" w:color="auto"/>
              <w:left w:val="single" w:sz="4" w:space="0" w:color="auto"/>
              <w:bottom w:val="single" w:sz="4" w:space="0" w:color="auto"/>
              <w:right w:val="single" w:sz="4" w:space="0" w:color="auto"/>
            </w:tcBorders>
            <w:vAlign w:val="center"/>
            <w:hideMark/>
          </w:tcPr>
          <w:p w14:paraId="2D45A142" w14:textId="06CA956C" w:rsidR="00CF6834" w:rsidRPr="006333C0" w:rsidRDefault="00CF6834" w:rsidP="00576EA7">
            <w:pPr>
              <w:rPr>
                <w:sz w:val="20"/>
                <w:szCs w:val="20"/>
              </w:rPr>
            </w:pPr>
            <w:r w:rsidRPr="006333C0">
              <w:rPr>
                <w:sz w:val="20"/>
                <w:szCs w:val="20"/>
              </w:rPr>
              <w:t>Is risk of bias of individual studies assessed and taken into consideration?</w:t>
            </w:r>
          </w:p>
        </w:tc>
        <w:tc>
          <w:tcPr>
            <w:tcW w:w="993" w:type="dxa"/>
            <w:tcBorders>
              <w:top w:val="single" w:sz="8" w:space="0" w:color="auto"/>
              <w:left w:val="single" w:sz="4" w:space="0" w:color="auto"/>
              <w:bottom w:val="single" w:sz="4" w:space="0" w:color="auto"/>
              <w:right w:val="single" w:sz="4" w:space="0" w:color="auto"/>
            </w:tcBorders>
            <w:vAlign w:val="center"/>
          </w:tcPr>
          <w:p w14:paraId="6348235C" w14:textId="77777777" w:rsidR="00CF6834" w:rsidRPr="006333C0" w:rsidRDefault="00CF6834" w:rsidP="00576EA7">
            <w:pPr>
              <w:rPr>
                <w:color w:val="FF0000"/>
                <w:sz w:val="20"/>
                <w:szCs w:val="20"/>
              </w:rPr>
            </w:pPr>
            <w:r w:rsidRPr="006333C0">
              <w:rPr>
                <w:sz w:val="20"/>
                <w:szCs w:val="20"/>
              </w:rPr>
              <w:t>Yes</w:t>
            </w:r>
          </w:p>
        </w:tc>
        <w:tc>
          <w:tcPr>
            <w:tcW w:w="9072" w:type="dxa"/>
            <w:tcBorders>
              <w:top w:val="single" w:sz="8" w:space="0" w:color="auto"/>
              <w:left w:val="single" w:sz="4" w:space="0" w:color="auto"/>
              <w:bottom w:val="single" w:sz="4" w:space="0" w:color="auto"/>
              <w:right w:val="single" w:sz="4" w:space="0" w:color="auto"/>
            </w:tcBorders>
            <w:vAlign w:val="center"/>
          </w:tcPr>
          <w:p w14:paraId="61817E13" w14:textId="77777777" w:rsidR="00CF6834" w:rsidRPr="006333C0" w:rsidRDefault="00CF6834" w:rsidP="00576EA7">
            <w:pPr>
              <w:rPr>
                <w:sz w:val="20"/>
                <w:szCs w:val="20"/>
              </w:rPr>
            </w:pPr>
            <w:proofErr w:type="spellStart"/>
            <w:r w:rsidRPr="006333C0">
              <w:rPr>
                <w:sz w:val="20"/>
                <w:szCs w:val="20"/>
              </w:rPr>
              <w:t>RoB</w:t>
            </w:r>
            <w:proofErr w:type="spellEnd"/>
            <w:r w:rsidRPr="006333C0">
              <w:rPr>
                <w:sz w:val="20"/>
                <w:szCs w:val="20"/>
              </w:rPr>
              <w:t xml:space="preserve"> is assessed for the studies in the AHRQ report, and for additional studies included in the NASEM report. See below for details.</w:t>
            </w:r>
          </w:p>
          <w:p w14:paraId="3FCE9032" w14:textId="77777777" w:rsidR="00CF6834" w:rsidRPr="006333C0" w:rsidRDefault="00CF6834" w:rsidP="00576EA7">
            <w:pPr>
              <w:rPr>
                <w:sz w:val="20"/>
                <w:szCs w:val="20"/>
              </w:rPr>
            </w:pPr>
            <w:r w:rsidRPr="006333C0">
              <w:rPr>
                <w:sz w:val="20"/>
                <w:szCs w:val="20"/>
              </w:rPr>
              <w:t xml:space="preserve">AHRQ used </w:t>
            </w:r>
            <w:proofErr w:type="spellStart"/>
            <w:r w:rsidRPr="006333C0">
              <w:rPr>
                <w:sz w:val="20"/>
                <w:szCs w:val="20"/>
              </w:rPr>
              <w:t>RoB</w:t>
            </w:r>
            <w:proofErr w:type="spellEnd"/>
            <w:r w:rsidRPr="006333C0">
              <w:rPr>
                <w:sz w:val="20"/>
                <w:szCs w:val="20"/>
              </w:rPr>
              <w:t xml:space="preserve"> as part of consideration of Strength of Evidence (similar domains to GRADE).</w:t>
            </w:r>
          </w:p>
          <w:p w14:paraId="727E9A37" w14:textId="24D308E2" w:rsidR="00CF6834" w:rsidRPr="006333C0" w:rsidRDefault="00CF6834" w:rsidP="00576EA7">
            <w:pPr>
              <w:rPr>
                <w:color w:val="FF0000"/>
                <w:sz w:val="20"/>
                <w:szCs w:val="20"/>
              </w:rPr>
            </w:pPr>
            <w:r w:rsidRPr="006333C0">
              <w:rPr>
                <w:sz w:val="20"/>
                <w:szCs w:val="20"/>
              </w:rPr>
              <w:t xml:space="preserve">Main NASEM report considered </w:t>
            </w:r>
            <w:proofErr w:type="spellStart"/>
            <w:r w:rsidRPr="006333C0">
              <w:rPr>
                <w:sz w:val="20"/>
                <w:szCs w:val="20"/>
              </w:rPr>
              <w:t>RoB</w:t>
            </w:r>
            <w:proofErr w:type="spellEnd"/>
            <w:r w:rsidRPr="006333C0">
              <w:rPr>
                <w:sz w:val="20"/>
                <w:szCs w:val="20"/>
              </w:rPr>
              <w:t xml:space="preserve"> as part of modified GRADE for setting </w:t>
            </w:r>
            <w:r w:rsidRPr="006333C0">
              <w:rPr>
                <w:rFonts w:cstheme="minorHAnsi"/>
                <w:sz w:val="20"/>
                <w:szCs w:val="20"/>
              </w:rPr>
              <w:t xml:space="preserve">Chronic Disease Risk Reduction Intake (CDRR) and </w:t>
            </w:r>
            <w:proofErr w:type="spellStart"/>
            <w:proofErr w:type="gramStart"/>
            <w:r w:rsidRPr="006333C0">
              <w:rPr>
                <w:rFonts w:cstheme="minorHAnsi"/>
                <w:sz w:val="20"/>
                <w:szCs w:val="20"/>
              </w:rPr>
              <w:t>RoB</w:t>
            </w:r>
            <w:proofErr w:type="spellEnd"/>
            <w:proofErr w:type="gramEnd"/>
            <w:r w:rsidRPr="006333C0">
              <w:rPr>
                <w:rFonts w:cstheme="minorHAnsi"/>
                <w:sz w:val="20"/>
                <w:szCs w:val="20"/>
              </w:rPr>
              <w:t xml:space="preserve"> when considering evidence for setting AIs.</w:t>
            </w:r>
          </w:p>
        </w:tc>
        <w:tc>
          <w:tcPr>
            <w:tcW w:w="1701" w:type="dxa"/>
            <w:tcBorders>
              <w:top w:val="single" w:sz="8" w:space="0" w:color="auto"/>
              <w:left w:val="single" w:sz="4" w:space="0" w:color="auto"/>
              <w:bottom w:val="single" w:sz="4" w:space="0" w:color="auto"/>
              <w:right w:val="single" w:sz="4" w:space="0" w:color="auto"/>
            </w:tcBorders>
            <w:vAlign w:val="center"/>
          </w:tcPr>
          <w:p w14:paraId="7DEF17D4" w14:textId="77777777" w:rsidR="00CF6834" w:rsidRPr="006333C0" w:rsidRDefault="00CF6834" w:rsidP="00576EA7">
            <w:pPr>
              <w:rPr>
                <w:sz w:val="20"/>
                <w:szCs w:val="20"/>
              </w:rPr>
            </w:pPr>
          </w:p>
        </w:tc>
      </w:tr>
      <w:tr w:rsidR="00CF6834" w:rsidRPr="006333C0" w14:paraId="62937B11"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2BE66621" w14:textId="77777777" w:rsidR="00CF6834" w:rsidRPr="006333C0" w:rsidRDefault="00CF6834" w:rsidP="00576EA7">
            <w:pPr>
              <w:rPr>
                <w:sz w:val="20"/>
                <w:szCs w:val="20"/>
              </w:rPr>
            </w:pPr>
            <w:r w:rsidRPr="006333C0">
              <w:rPr>
                <w:sz w:val="20"/>
                <w:szCs w:val="20"/>
              </w:rPr>
              <w:t>if yes, what tools are used? if no, was any other method used to assess study quality?</w:t>
            </w:r>
          </w:p>
        </w:tc>
        <w:tc>
          <w:tcPr>
            <w:tcW w:w="993" w:type="dxa"/>
            <w:tcBorders>
              <w:top w:val="single" w:sz="4" w:space="0" w:color="auto"/>
              <w:left w:val="single" w:sz="4" w:space="0" w:color="auto"/>
              <w:bottom w:val="single" w:sz="4" w:space="0" w:color="auto"/>
              <w:right w:val="single" w:sz="4" w:space="0" w:color="auto"/>
            </w:tcBorders>
            <w:vAlign w:val="center"/>
          </w:tcPr>
          <w:p w14:paraId="40E8C645" w14:textId="77777777" w:rsidR="00CF6834" w:rsidRPr="006333C0" w:rsidRDefault="00CF6834" w:rsidP="00576EA7">
            <w:pPr>
              <w:rPr>
                <w:color w:val="FF0000"/>
                <w:sz w:val="20"/>
                <w:szCs w:val="20"/>
              </w:rPr>
            </w:pPr>
          </w:p>
        </w:tc>
        <w:tc>
          <w:tcPr>
            <w:tcW w:w="9072" w:type="dxa"/>
            <w:tcBorders>
              <w:top w:val="single" w:sz="4" w:space="0" w:color="auto"/>
              <w:left w:val="single" w:sz="4" w:space="0" w:color="auto"/>
              <w:bottom w:val="single" w:sz="4" w:space="0" w:color="auto"/>
              <w:right w:val="single" w:sz="4" w:space="0" w:color="auto"/>
            </w:tcBorders>
            <w:vAlign w:val="center"/>
          </w:tcPr>
          <w:p w14:paraId="3D0B2D71" w14:textId="77777777" w:rsidR="00CF6834" w:rsidRPr="006333C0" w:rsidRDefault="00CF6834" w:rsidP="00576EA7">
            <w:pPr>
              <w:rPr>
                <w:sz w:val="20"/>
                <w:szCs w:val="20"/>
              </w:rPr>
            </w:pPr>
            <w:r w:rsidRPr="006333C0">
              <w:rPr>
                <w:sz w:val="20"/>
                <w:szCs w:val="20"/>
              </w:rPr>
              <w:t xml:space="preserve">AHRQ Systematic Review used a modified version of Cochrane </w:t>
            </w:r>
            <w:proofErr w:type="spellStart"/>
            <w:r w:rsidRPr="006333C0">
              <w:rPr>
                <w:sz w:val="20"/>
                <w:szCs w:val="20"/>
              </w:rPr>
              <w:t>RoB</w:t>
            </w:r>
            <w:proofErr w:type="spellEnd"/>
            <w:r w:rsidRPr="006333C0">
              <w:rPr>
                <w:sz w:val="20"/>
                <w:szCs w:val="20"/>
              </w:rPr>
              <w:t xml:space="preserve"> for RCTs, and Newcastle Ottawa for observational studies. Intake method was considered under </w:t>
            </w:r>
            <w:proofErr w:type="spellStart"/>
            <w:r w:rsidRPr="006333C0">
              <w:rPr>
                <w:sz w:val="20"/>
                <w:szCs w:val="20"/>
              </w:rPr>
              <w:t>RoB</w:t>
            </w:r>
            <w:proofErr w:type="spellEnd"/>
            <w:r w:rsidRPr="006333C0">
              <w:rPr>
                <w:sz w:val="20"/>
                <w:szCs w:val="20"/>
              </w:rPr>
              <w:t xml:space="preserve"> (multiple 24h urinary or 24 dietary recall = best). Overall score based on addition.</w:t>
            </w:r>
          </w:p>
          <w:p w14:paraId="70DB22DC" w14:textId="4F0885DD" w:rsidR="00CF6834" w:rsidRPr="006333C0" w:rsidRDefault="00CF6834" w:rsidP="00576EA7">
            <w:pPr>
              <w:rPr>
                <w:sz w:val="20"/>
                <w:szCs w:val="20"/>
              </w:rPr>
            </w:pPr>
            <w:r w:rsidRPr="006333C0">
              <w:rPr>
                <w:sz w:val="20"/>
                <w:szCs w:val="20"/>
              </w:rPr>
              <w:t xml:space="preserve">For CDRR the Committee checked </w:t>
            </w:r>
            <w:proofErr w:type="spellStart"/>
            <w:r w:rsidRPr="006333C0">
              <w:rPr>
                <w:sz w:val="20"/>
                <w:szCs w:val="20"/>
              </w:rPr>
              <w:t>RoB</w:t>
            </w:r>
            <w:proofErr w:type="spellEnd"/>
            <w:r w:rsidRPr="006333C0">
              <w:rPr>
                <w:sz w:val="20"/>
                <w:szCs w:val="20"/>
              </w:rPr>
              <w:t xml:space="preserve"> and decided to only include RCTs in the primary analyses with examination of low </w:t>
            </w:r>
            <w:proofErr w:type="spellStart"/>
            <w:r w:rsidRPr="006333C0">
              <w:rPr>
                <w:sz w:val="20"/>
                <w:szCs w:val="20"/>
              </w:rPr>
              <w:t>RoB</w:t>
            </w:r>
            <w:proofErr w:type="spellEnd"/>
            <w:r w:rsidRPr="006333C0">
              <w:rPr>
                <w:sz w:val="20"/>
                <w:szCs w:val="20"/>
              </w:rPr>
              <w:t xml:space="preserve"> observational studies as supporting/not supporting the conclusions.</w:t>
            </w:r>
          </w:p>
          <w:p w14:paraId="21D557D2" w14:textId="15045F3B" w:rsidR="00CF6834" w:rsidRPr="006333C0" w:rsidRDefault="00CF6834" w:rsidP="00576EA7">
            <w:pPr>
              <w:rPr>
                <w:sz w:val="20"/>
                <w:szCs w:val="20"/>
              </w:rPr>
            </w:pPr>
            <w:r w:rsidRPr="006333C0">
              <w:rPr>
                <w:sz w:val="20"/>
                <w:szCs w:val="20"/>
              </w:rPr>
              <w:t xml:space="preserve">For the scoping work </w:t>
            </w:r>
            <w:proofErr w:type="spellStart"/>
            <w:r w:rsidRPr="006333C0">
              <w:rPr>
                <w:sz w:val="20"/>
                <w:szCs w:val="20"/>
              </w:rPr>
              <w:t>RoB</w:t>
            </w:r>
            <w:proofErr w:type="spellEnd"/>
            <w:r w:rsidRPr="006333C0">
              <w:rPr>
                <w:sz w:val="20"/>
                <w:szCs w:val="20"/>
              </w:rPr>
              <w:t xml:space="preserve"> was not formally assessed, but information about key components that would affect </w:t>
            </w:r>
            <w:proofErr w:type="spellStart"/>
            <w:r w:rsidRPr="006333C0">
              <w:rPr>
                <w:sz w:val="20"/>
                <w:szCs w:val="20"/>
              </w:rPr>
              <w:t>RoB</w:t>
            </w:r>
            <w:proofErr w:type="spellEnd"/>
            <w:r w:rsidRPr="006333C0">
              <w:rPr>
                <w:sz w:val="20"/>
                <w:szCs w:val="20"/>
              </w:rPr>
              <w:t xml:space="preserve"> were collected during data collection.</w:t>
            </w:r>
          </w:p>
          <w:p w14:paraId="1096DD8C" w14:textId="63C61C25" w:rsidR="00CF6834" w:rsidRPr="006333C0" w:rsidRDefault="00CF6834" w:rsidP="00576EA7">
            <w:pPr>
              <w:rPr>
                <w:sz w:val="20"/>
                <w:szCs w:val="20"/>
              </w:rPr>
            </w:pPr>
            <w:r w:rsidRPr="006333C0">
              <w:rPr>
                <w:sz w:val="20"/>
                <w:szCs w:val="20"/>
              </w:rPr>
              <w:t xml:space="preserve">For additional topics AMSTAR was used to assess SRs, and the modified version of Cochrane </w:t>
            </w:r>
            <w:proofErr w:type="spellStart"/>
            <w:r w:rsidRPr="006333C0">
              <w:rPr>
                <w:sz w:val="20"/>
                <w:szCs w:val="20"/>
              </w:rPr>
              <w:t>RoB</w:t>
            </w:r>
            <w:proofErr w:type="spellEnd"/>
            <w:r w:rsidRPr="006333C0">
              <w:rPr>
                <w:sz w:val="20"/>
                <w:szCs w:val="20"/>
              </w:rPr>
              <w:t xml:space="preserve"> was used for the additional studies to align with the AHRQ report.</w:t>
            </w:r>
          </w:p>
        </w:tc>
        <w:tc>
          <w:tcPr>
            <w:tcW w:w="1701" w:type="dxa"/>
            <w:tcBorders>
              <w:top w:val="single" w:sz="4" w:space="0" w:color="auto"/>
              <w:left w:val="single" w:sz="4" w:space="0" w:color="auto"/>
              <w:bottom w:val="single" w:sz="4" w:space="0" w:color="auto"/>
              <w:right w:val="single" w:sz="4" w:space="0" w:color="auto"/>
            </w:tcBorders>
            <w:vAlign w:val="center"/>
          </w:tcPr>
          <w:p w14:paraId="06BDF790" w14:textId="42329CBF" w:rsidR="00CF6834" w:rsidRPr="006333C0" w:rsidRDefault="00CF6834" w:rsidP="00576EA7">
            <w:pPr>
              <w:rPr>
                <w:sz w:val="20"/>
                <w:szCs w:val="20"/>
              </w:rPr>
            </w:pPr>
            <w:r w:rsidRPr="006333C0">
              <w:rPr>
                <w:sz w:val="20"/>
                <w:szCs w:val="20"/>
              </w:rPr>
              <w:t xml:space="preserve">Appendix C (p.431) gives more detail of </w:t>
            </w:r>
            <w:proofErr w:type="spellStart"/>
            <w:r w:rsidRPr="006333C0">
              <w:rPr>
                <w:sz w:val="20"/>
                <w:szCs w:val="20"/>
              </w:rPr>
              <w:t>RoB</w:t>
            </w:r>
            <w:proofErr w:type="spellEnd"/>
            <w:r w:rsidRPr="006333C0">
              <w:rPr>
                <w:sz w:val="20"/>
                <w:szCs w:val="20"/>
              </w:rPr>
              <w:t xml:space="preserve"> domains and criteria.</w:t>
            </w:r>
          </w:p>
          <w:p w14:paraId="40CF0F87" w14:textId="77777777" w:rsidR="00CF6834" w:rsidRPr="006333C0" w:rsidRDefault="00CF6834" w:rsidP="00576EA7">
            <w:pPr>
              <w:rPr>
                <w:sz w:val="20"/>
                <w:szCs w:val="20"/>
              </w:rPr>
            </w:pPr>
            <w:r w:rsidRPr="006333C0">
              <w:rPr>
                <w:sz w:val="20"/>
                <w:szCs w:val="20"/>
              </w:rPr>
              <w:t>See also p.508 (Appendix E) relating to additional studies.</w:t>
            </w:r>
          </w:p>
        </w:tc>
      </w:tr>
      <w:tr w:rsidR="00CF6834" w:rsidRPr="006333C0" w14:paraId="5908083B"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4EE530E3" w14:textId="77777777" w:rsidR="00CF6834" w:rsidRPr="006333C0" w:rsidRDefault="00CF6834" w:rsidP="00576EA7">
            <w:pPr>
              <w:rPr>
                <w:sz w:val="20"/>
                <w:szCs w:val="20"/>
              </w:rPr>
            </w:pPr>
            <w:r w:rsidRPr="006333C0">
              <w:rPr>
                <w:sz w:val="20"/>
                <w:szCs w:val="20"/>
              </w:rPr>
              <w:t>Does the organisation use a systematic or some other methodological approach to synthesise the evidence (i.e. to assess and summarise the information provided in the studies)?</w:t>
            </w:r>
          </w:p>
        </w:tc>
        <w:tc>
          <w:tcPr>
            <w:tcW w:w="993" w:type="dxa"/>
            <w:tcBorders>
              <w:top w:val="single" w:sz="4" w:space="0" w:color="auto"/>
              <w:left w:val="single" w:sz="4" w:space="0" w:color="auto"/>
              <w:bottom w:val="single" w:sz="4" w:space="0" w:color="auto"/>
              <w:right w:val="single" w:sz="4" w:space="0" w:color="auto"/>
            </w:tcBorders>
            <w:vAlign w:val="center"/>
          </w:tcPr>
          <w:p w14:paraId="49915C04" w14:textId="77777777" w:rsidR="00CF6834" w:rsidRPr="006333C0" w:rsidRDefault="00CF6834" w:rsidP="00576EA7">
            <w:pPr>
              <w:rPr>
                <w:color w:val="FF0000"/>
                <w:sz w:val="20"/>
                <w:szCs w:val="20"/>
              </w:rPr>
            </w:pPr>
            <w:r w:rsidRPr="006333C0">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6883E057" w14:textId="2AB4150B" w:rsidR="00CF6834" w:rsidRPr="006333C0" w:rsidRDefault="00CF6834" w:rsidP="00576EA7">
            <w:pPr>
              <w:rPr>
                <w:color w:val="FF0000"/>
                <w:sz w:val="20"/>
                <w:szCs w:val="20"/>
              </w:rPr>
            </w:pPr>
            <w:r w:rsidRPr="006333C0">
              <w:rPr>
                <w:rFonts w:cs="AdvTT62f2e734"/>
                <w:sz w:val="20"/>
                <w:szCs w:val="20"/>
              </w:rPr>
              <w:t>AHRQ Systematic Review has forest plots, along with meta-analyses. The Committee conducted sub-group analyses and meta-regression to develop CDRR, and forest plots are also shown for these (ch 10). Where possible, intake-response (dose-response) relationships were also examined.</w:t>
            </w:r>
          </w:p>
        </w:tc>
        <w:tc>
          <w:tcPr>
            <w:tcW w:w="1701" w:type="dxa"/>
            <w:tcBorders>
              <w:top w:val="single" w:sz="4" w:space="0" w:color="auto"/>
              <w:left w:val="single" w:sz="4" w:space="0" w:color="auto"/>
              <w:bottom w:val="single" w:sz="4" w:space="0" w:color="auto"/>
              <w:right w:val="single" w:sz="8" w:space="0" w:color="auto"/>
            </w:tcBorders>
            <w:vAlign w:val="center"/>
          </w:tcPr>
          <w:p w14:paraId="2642501C" w14:textId="77777777" w:rsidR="00CF6834" w:rsidRPr="006333C0" w:rsidRDefault="00CF6834" w:rsidP="00576EA7">
            <w:pPr>
              <w:rPr>
                <w:sz w:val="20"/>
                <w:szCs w:val="20"/>
              </w:rPr>
            </w:pPr>
          </w:p>
        </w:tc>
      </w:tr>
      <w:tr w:rsidR="00CF6834" w:rsidRPr="006333C0" w14:paraId="78890BC2"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243092E8" w14:textId="59980FAD" w:rsidR="00CF6834" w:rsidRPr="006333C0" w:rsidRDefault="00CF6834" w:rsidP="00576EA7">
            <w:pPr>
              <w:rPr>
                <w:sz w:val="20"/>
                <w:szCs w:val="20"/>
              </w:rPr>
            </w:pPr>
            <w:r w:rsidRPr="006333C0">
              <w:rPr>
                <w:sz w:val="20"/>
                <w:szCs w:val="20"/>
              </w:rPr>
              <w:t>Does the organisation assess the overall certainty of the evidence and reach recommendations?</w:t>
            </w:r>
          </w:p>
        </w:tc>
        <w:tc>
          <w:tcPr>
            <w:tcW w:w="993" w:type="dxa"/>
            <w:tcBorders>
              <w:top w:val="single" w:sz="4" w:space="0" w:color="auto"/>
              <w:left w:val="single" w:sz="4" w:space="0" w:color="auto"/>
              <w:bottom w:val="single" w:sz="4" w:space="0" w:color="auto"/>
              <w:right w:val="single" w:sz="4" w:space="0" w:color="auto"/>
            </w:tcBorders>
            <w:vAlign w:val="center"/>
          </w:tcPr>
          <w:p w14:paraId="76808F17" w14:textId="77777777" w:rsidR="00CF6834" w:rsidRPr="006333C0" w:rsidRDefault="00CF6834" w:rsidP="00576EA7">
            <w:pPr>
              <w:rPr>
                <w:sz w:val="20"/>
                <w:szCs w:val="20"/>
              </w:rPr>
            </w:pPr>
            <w:r w:rsidRPr="006333C0">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3CFE6A21" w14:textId="399E4108" w:rsidR="00CF6834" w:rsidRPr="006333C0" w:rsidRDefault="00CF6834" w:rsidP="00576EA7">
            <w:pPr>
              <w:rPr>
                <w:sz w:val="20"/>
                <w:szCs w:val="20"/>
              </w:rPr>
            </w:pPr>
            <w:r w:rsidRPr="006333C0">
              <w:rPr>
                <w:sz w:val="20"/>
                <w:szCs w:val="20"/>
              </w:rPr>
              <w:t>GRADE is used to assess the evidence from the AHRQ Systematic Review to develop CDRR, but with a slight variation to terminology (strength of evidence instead of certainty). For cases where the Committee conducted meta-regression, the strength of evidence was also reassessed.</w:t>
            </w:r>
          </w:p>
          <w:p w14:paraId="073A48BC" w14:textId="073199F0" w:rsidR="00CF6834" w:rsidRPr="006333C0" w:rsidRDefault="00CF6834" w:rsidP="00576EA7">
            <w:pPr>
              <w:rPr>
                <w:sz w:val="20"/>
                <w:szCs w:val="20"/>
              </w:rPr>
            </w:pPr>
            <w:r w:rsidRPr="006333C0">
              <w:rPr>
                <w:sz w:val="20"/>
                <w:szCs w:val="20"/>
              </w:rPr>
              <w:t>AIs then developed based on CDRR and other evidence.</w:t>
            </w:r>
          </w:p>
        </w:tc>
        <w:tc>
          <w:tcPr>
            <w:tcW w:w="1701" w:type="dxa"/>
            <w:tcBorders>
              <w:top w:val="single" w:sz="4" w:space="0" w:color="auto"/>
              <w:left w:val="single" w:sz="4" w:space="0" w:color="auto"/>
              <w:bottom w:val="single" w:sz="4" w:space="0" w:color="auto"/>
              <w:right w:val="single" w:sz="8" w:space="0" w:color="auto"/>
            </w:tcBorders>
            <w:vAlign w:val="center"/>
          </w:tcPr>
          <w:p w14:paraId="6205187B" w14:textId="77777777" w:rsidR="00CF6834" w:rsidRPr="006333C0" w:rsidRDefault="00CF6834" w:rsidP="00576EA7">
            <w:pPr>
              <w:rPr>
                <w:sz w:val="20"/>
                <w:szCs w:val="20"/>
              </w:rPr>
            </w:pPr>
          </w:p>
        </w:tc>
      </w:tr>
    </w:tbl>
    <w:p w14:paraId="3C9512F4" w14:textId="77777777" w:rsidR="00CF6834" w:rsidRDefault="00CF6834" w:rsidP="00576EA7"/>
    <w:p w14:paraId="3E04EFAF" w14:textId="77777777" w:rsidR="00CF6834" w:rsidRDefault="00CF6834" w:rsidP="00576EA7">
      <w:r>
        <w:br w:type="page"/>
      </w:r>
    </w:p>
    <w:p w14:paraId="5E6BECA1" w14:textId="77777777" w:rsidR="00CF6834" w:rsidRDefault="00CF6834" w:rsidP="005338A3">
      <w:pPr>
        <w:pStyle w:val="Heading3"/>
        <w:spacing w:before="240"/>
      </w:pPr>
      <w:bookmarkStart w:id="115" w:name="_Toc234960887"/>
      <w:r>
        <w:lastRenderedPageBreak/>
        <w:t>Derivation of nutrient reference values</w:t>
      </w:r>
      <w:bookmarkEnd w:id="115"/>
    </w:p>
    <w:tbl>
      <w:tblPr>
        <w:tblStyle w:val="TableGrid1"/>
        <w:tblW w:w="15452" w:type="dxa"/>
        <w:tblInd w:w="-294"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686"/>
        <w:gridCol w:w="992"/>
        <w:gridCol w:w="9073"/>
        <w:gridCol w:w="1701"/>
      </w:tblGrid>
      <w:tr w:rsidR="00CF6834" w:rsidRPr="006333C0" w14:paraId="03A9CE87" w14:textId="77777777" w:rsidTr="00C577A7">
        <w:trPr>
          <w:cantSplit/>
          <w:tblHeader/>
        </w:trPr>
        <w:tc>
          <w:tcPr>
            <w:tcW w:w="368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6D61D771" w14:textId="77777777" w:rsidR="00CF6834" w:rsidRPr="006333C0" w:rsidRDefault="00CF6834" w:rsidP="00576EA7">
            <w:pPr>
              <w:rPr>
                <w:b/>
                <w:bCs/>
                <w:sz w:val="20"/>
                <w:szCs w:val="20"/>
                <w:vertAlign w:val="superscript"/>
              </w:rPr>
            </w:pPr>
            <w:r w:rsidRPr="006333C0">
              <w:rPr>
                <w:b/>
                <w:bCs/>
                <w:sz w:val="20"/>
                <w:szCs w:val="20"/>
              </w:rPr>
              <w:t>Criteria</w:t>
            </w:r>
          </w:p>
        </w:tc>
        <w:tc>
          <w:tcPr>
            <w:tcW w:w="992" w:type="dxa"/>
            <w:tcBorders>
              <w:top w:val="single" w:sz="8" w:space="0" w:color="auto"/>
              <w:left w:val="single" w:sz="4" w:space="0" w:color="auto"/>
              <w:bottom w:val="single" w:sz="8" w:space="0" w:color="auto"/>
              <w:right w:val="single" w:sz="8" w:space="0" w:color="auto"/>
            </w:tcBorders>
            <w:shd w:val="clear" w:color="auto" w:fill="BFBFBF" w:themeFill="background1" w:themeFillShade="BF"/>
            <w:vAlign w:val="center"/>
            <w:hideMark/>
          </w:tcPr>
          <w:p w14:paraId="5D930D06" w14:textId="77777777" w:rsidR="00CF6834" w:rsidRPr="006333C0" w:rsidRDefault="00CF6834" w:rsidP="00576EA7">
            <w:pPr>
              <w:rPr>
                <w:b/>
                <w:bCs/>
                <w:sz w:val="20"/>
                <w:szCs w:val="20"/>
              </w:rPr>
            </w:pPr>
            <w:r w:rsidRPr="006333C0">
              <w:rPr>
                <w:b/>
                <w:bCs/>
                <w:sz w:val="20"/>
                <w:szCs w:val="20"/>
              </w:rPr>
              <w:t>Yes/No/NA</w:t>
            </w:r>
          </w:p>
        </w:tc>
        <w:tc>
          <w:tcPr>
            <w:tcW w:w="9073"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6D678C7F" w14:textId="77777777" w:rsidR="00CF6834" w:rsidRPr="006333C0" w:rsidRDefault="00CF6834" w:rsidP="00576EA7">
            <w:pPr>
              <w:rPr>
                <w:b/>
                <w:bCs/>
                <w:sz w:val="20"/>
                <w:szCs w:val="20"/>
              </w:rPr>
            </w:pPr>
            <w:r w:rsidRPr="006333C0">
              <w:rPr>
                <w:b/>
                <w:bCs/>
                <w:sz w:val="20"/>
                <w:szCs w:val="20"/>
              </w:rPr>
              <w:t>Comment</w:t>
            </w:r>
          </w:p>
        </w:tc>
        <w:tc>
          <w:tcPr>
            <w:tcW w:w="170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3885E4DD" w14:textId="77777777" w:rsidR="00CF6834" w:rsidRPr="006333C0" w:rsidRDefault="00CF6834" w:rsidP="00576EA7">
            <w:pPr>
              <w:rPr>
                <w:b/>
                <w:bCs/>
                <w:sz w:val="20"/>
                <w:szCs w:val="20"/>
              </w:rPr>
            </w:pPr>
            <w:r w:rsidRPr="006333C0">
              <w:rPr>
                <w:b/>
                <w:bCs/>
                <w:sz w:val="20"/>
                <w:szCs w:val="20"/>
              </w:rPr>
              <w:t>Page #</w:t>
            </w:r>
          </w:p>
        </w:tc>
      </w:tr>
      <w:tr w:rsidR="00CF6834" w:rsidRPr="006333C0" w14:paraId="4E5BDE21"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2464B529" w14:textId="77777777" w:rsidR="00CF6834" w:rsidRPr="006333C0" w:rsidRDefault="00CF6834" w:rsidP="00576EA7">
            <w:pPr>
              <w:rPr>
                <w:color w:val="E97132" w:themeColor="accent2"/>
                <w:sz w:val="20"/>
                <w:szCs w:val="20"/>
              </w:rPr>
            </w:pPr>
            <w:r w:rsidRPr="006333C0">
              <w:rPr>
                <w:sz w:val="20"/>
                <w:szCs w:val="20"/>
              </w:rPr>
              <w:t>Is the method selected to calculate NRV(s) documented and justified?  (factorial, dose response or risk assessment)</w:t>
            </w:r>
          </w:p>
        </w:tc>
        <w:tc>
          <w:tcPr>
            <w:tcW w:w="992" w:type="dxa"/>
            <w:tcBorders>
              <w:top w:val="single" w:sz="4" w:space="0" w:color="auto"/>
              <w:left w:val="single" w:sz="4" w:space="0" w:color="auto"/>
              <w:bottom w:val="single" w:sz="4" w:space="0" w:color="auto"/>
              <w:right w:val="single" w:sz="4" w:space="0" w:color="auto"/>
            </w:tcBorders>
            <w:vAlign w:val="center"/>
          </w:tcPr>
          <w:p w14:paraId="4686AE80" w14:textId="77777777" w:rsidR="00CF6834" w:rsidRPr="006333C0" w:rsidRDefault="00CF6834" w:rsidP="00576EA7">
            <w:pPr>
              <w:rPr>
                <w:color w:val="FF0000"/>
                <w:sz w:val="20"/>
                <w:szCs w:val="20"/>
              </w:rPr>
            </w:pPr>
            <w:r w:rsidRPr="006333C0">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37E13EB7" w14:textId="77777777" w:rsidR="00CF6834" w:rsidRPr="006333C0" w:rsidRDefault="00CF6834" w:rsidP="00576EA7">
            <w:pPr>
              <w:rPr>
                <w:rFonts w:cstheme="minorHAnsi"/>
                <w:sz w:val="20"/>
                <w:szCs w:val="20"/>
                <w:shd w:val="clear" w:color="auto" w:fill="FFFFFF"/>
              </w:rPr>
            </w:pPr>
            <w:r w:rsidRPr="006333C0">
              <w:rPr>
                <w:rFonts w:cstheme="minorHAnsi"/>
                <w:sz w:val="20"/>
                <w:szCs w:val="20"/>
                <w:shd w:val="clear" w:color="auto" w:fill="FFFFFF"/>
              </w:rPr>
              <w:t>Committee concludes “</w:t>
            </w:r>
            <w:r w:rsidRPr="006333C0">
              <w:rPr>
                <w:rFonts w:cstheme="minorHAnsi"/>
                <w:i/>
                <w:iCs/>
                <w:sz w:val="20"/>
                <w:szCs w:val="20"/>
                <w:shd w:val="clear" w:color="auto" w:fill="FFFFFF"/>
              </w:rPr>
              <w:t>There is no sensitive biomarker that can be used to characterize the distribution of sodium requirements in the apparently healthy population.</w:t>
            </w:r>
            <w:r w:rsidRPr="006333C0">
              <w:rPr>
                <w:rFonts w:cstheme="minorHAnsi"/>
                <w:sz w:val="20"/>
                <w:szCs w:val="20"/>
                <w:shd w:val="clear" w:color="auto" w:fill="FFFFFF"/>
              </w:rPr>
              <w:t>”</w:t>
            </w:r>
          </w:p>
          <w:p w14:paraId="572FC0A1" w14:textId="77777777" w:rsidR="00CF6834" w:rsidRPr="006333C0" w:rsidRDefault="00CF6834" w:rsidP="00576EA7">
            <w:pPr>
              <w:rPr>
                <w:rFonts w:cstheme="minorHAnsi"/>
                <w:sz w:val="20"/>
                <w:szCs w:val="20"/>
                <w:shd w:val="clear" w:color="auto" w:fill="FFFFFF"/>
              </w:rPr>
            </w:pPr>
            <w:r w:rsidRPr="006333C0">
              <w:rPr>
                <w:rFonts w:cstheme="minorHAnsi"/>
                <w:sz w:val="20"/>
                <w:szCs w:val="20"/>
                <w:shd w:val="clear" w:color="auto" w:fill="FFFFFF"/>
              </w:rPr>
              <w:t>Calculation was of CDRR first, and then AIs after also looking at CDRR (not enough information was available to calculate EAR/RDAs). No UL was calculated given the CDRR and available information.</w:t>
            </w:r>
          </w:p>
          <w:p w14:paraId="5DFDCBA2" w14:textId="26F935D2" w:rsidR="00CF6834" w:rsidRPr="006333C0" w:rsidRDefault="00CF6834" w:rsidP="00576EA7">
            <w:pPr>
              <w:rPr>
                <w:rFonts w:cstheme="minorHAnsi"/>
                <w:sz w:val="20"/>
                <w:szCs w:val="20"/>
                <w:shd w:val="clear" w:color="auto" w:fill="FFFFFF"/>
              </w:rPr>
            </w:pPr>
            <w:r w:rsidRPr="006333C0">
              <w:rPr>
                <w:rFonts w:cstheme="minorHAnsi"/>
                <w:sz w:val="20"/>
                <w:szCs w:val="20"/>
                <w:shd w:val="clear" w:color="auto" w:fill="FFFFFF"/>
              </w:rPr>
              <w:t>Both causal relationships and intake-response (dose-response), were examined for CDRR, with cardiovascular and hypertension as indicators and blood pressure as surrogate indicator. Meta-regressions were used for each and then a model relating them to each other.</w:t>
            </w:r>
          </w:p>
          <w:p w14:paraId="6C79FC50" w14:textId="77777777" w:rsidR="00CF6834" w:rsidRPr="006333C0" w:rsidRDefault="00CF6834" w:rsidP="00576EA7">
            <w:pPr>
              <w:rPr>
                <w:rFonts w:cstheme="minorHAnsi"/>
                <w:sz w:val="20"/>
                <w:szCs w:val="20"/>
              </w:rPr>
            </w:pPr>
            <w:r w:rsidRPr="006333C0">
              <w:rPr>
                <w:rFonts w:cstheme="minorHAnsi"/>
                <w:sz w:val="20"/>
                <w:szCs w:val="20"/>
              </w:rPr>
              <w:t>“</w:t>
            </w:r>
            <w:r w:rsidRPr="006333C0">
              <w:rPr>
                <w:rFonts w:cstheme="minorHAnsi"/>
                <w:i/>
                <w:iCs/>
                <w:sz w:val="20"/>
                <w:szCs w:val="20"/>
              </w:rPr>
              <w:t>Based on the lowest level of sodium intakes studied in the DASH-Sodium feeding trial and other sodium reduction trials and on the best-designed balanced study, a sodium AI of 1,500 mg/d (65 mmol/d) is appropriate for adults at normal ambient temperatures and not engaged in high-intensity physical activity.”</w:t>
            </w:r>
            <w:r w:rsidRPr="006333C0">
              <w:rPr>
                <w:rFonts w:cstheme="minorHAnsi"/>
                <w:sz w:val="20"/>
                <w:szCs w:val="20"/>
              </w:rPr>
              <w:t xml:space="preserve"> (p.233)</w:t>
            </w:r>
          </w:p>
          <w:p w14:paraId="1ED16993" w14:textId="77777777" w:rsidR="00CF6834" w:rsidRPr="006333C0" w:rsidRDefault="00CF6834" w:rsidP="00576EA7">
            <w:pPr>
              <w:rPr>
                <w:rFonts w:cstheme="minorHAnsi"/>
                <w:i/>
                <w:iCs/>
                <w:sz w:val="20"/>
                <w:szCs w:val="20"/>
              </w:rPr>
            </w:pPr>
            <w:r w:rsidRPr="006333C0">
              <w:rPr>
                <w:rFonts w:cstheme="minorHAnsi"/>
                <w:sz w:val="20"/>
                <w:szCs w:val="20"/>
                <w:shd w:val="clear" w:color="auto" w:fill="FFFFFF"/>
              </w:rPr>
              <w:t>“</w:t>
            </w:r>
            <w:r w:rsidRPr="006333C0">
              <w:rPr>
                <w:rFonts w:cstheme="minorHAnsi"/>
                <w:i/>
                <w:iCs/>
                <w:sz w:val="20"/>
                <w:szCs w:val="20"/>
              </w:rPr>
              <w:t>The committee expressed the sodium CDRR as the lowest intake level for which there was sufficient evidence to characterize chronic disease risk reduction. (p.331).</w:t>
            </w:r>
          </w:p>
          <w:p w14:paraId="62CBDE14" w14:textId="77777777" w:rsidR="00CF6834" w:rsidRPr="006333C0" w:rsidRDefault="00CF6834" w:rsidP="00576EA7">
            <w:pPr>
              <w:rPr>
                <w:rFonts w:cstheme="minorHAnsi"/>
                <w:sz w:val="20"/>
                <w:szCs w:val="20"/>
              </w:rPr>
            </w:pPr>
            <w:r w:rsidRPr="006333C0">
              <w:rPr>
                <w:rFonts w:cstheme="minorHAnsi"/>
                <w:sz w:val="20"/>
                <w:szCs w:val="20"/>
              </w:rPr>
              <w:t>“</w:t>
            </w:r>
            <w:r w:rsidRPr="006333C0">
              <w:rPr>
                <w:rFonts w:cstheme="minorHAnsi"/>
                <w:i/>
                <w:iCs/>
                <w:sz w:val="20"/>
                <w:szCs w:val="20"/>
              </w:rPr>
              <w:t>The committee concludes that there is insufficient evidence of sodium toxicity risk within the apparently healthy population to establish a sodium Tolerable Upper Intake Level (UL).</w:t>
            </w:r>
            <w:r w:rsidRPr="006333C0">
              <w:rPr>
                <w:rFonts w:cstheme="minorHAnsi"/>
                <w:sz w:val="20"/>
                <w:szCs w:val="20"/>
              </w:rPr>
              <w:t>” (p.259)</w:t>
            </w:r>
          </w:p>
          <w:p w14:paraId="42138F84" w14:textId="77777777" w:rsidR="00CF6834" w:rsidRPr="006333C0" w:rsidRDefault="00CF6834" w:rsidP="00576EA7">
            <w:pPr>
              <w:rPr>
                <w:rFonts w:cstheme="minorHAnsi"/>
                <w:sz w:val="20"/>
                <w:szCs w:val="20"/>
              </w:rPr>
            </w:pPr>
            <w:r w:rsidRPr="006333C0">
              <w:rPr>
                <w:rFonts w:cstheme="minorHAnsi"/>
                <w:sz w:val="20"/>
                <w:szCs w:val="20"/>
              </w:rPr>
              <w:t>“</w:t>
            </w:r>
            <w:proofErr w:type="gramStart"/>
            <w:r w:rsidRPr="006333C0">
              <w:rPr>
                <w:rFonts w:cstheme="minorHAnsi"/>
                <w:i/>
                <w:iCs/>
                <w:sz w:val="20"/>
                <w:szCs w:val="20"/>
              </w:rPr>
              <w:t>the</w:t>
            </w:r>
            <w:proofErr w:type="gramEnd"/>
            <w:r w:rsidRPr="006333C0">
              <w:rPr>
                <w:rFonts w:cstheme="minorHAnsi"/>
                <w:i/>
                <w:iCs/>
                <w:sz w:val="20"/>
                <w:szCs w:val="20"/>
              </w:rPr>
              <w:t xml:space="preserve"> absence of a sodium UL does not necessarily mean excessive sodium intakes pose no risks, but rather likely reflects a lack of evidence on adverse toxicological effects</w:t>
            </w:r>
            <w:r w:rsidRPr="006333C0">
              <w:rPr>
                <w:rFonts w:cstheme="minorHAnsi"/>
                <w:sz w:val="20"/>
                <w:szCs w:val="20"/>
              </w:rPr>
              <w:t>.” (p.259)</w:t>
            </w:r>
          </w:p>
        </w:tc>
        <w:tc>
          <w:tcPr>
            <w:tcW w:w="1701" w:type="dxa"/>
            <w:tcBorders>
              <w:top w:val="single" w:sz="4" w:space="0" w:color="auto"/>
              <w:left w:val="single" w:sz="4" w:space="0" w:color="auto"/>
              <w:bottom w:val="single" w:sz="4" w:space="0" w:color="auto"/>
              <w:right w:val="single" w:sz="8" w:space="0" w:color="auto"/>
            </w:tcBorders>
            <w:vAlign w:val="center"/>
          </w:tcPr>
          <w:p w14:paraId="03758429" w14:textId="77777777" w:rsidR="00CF6834" w:rsidRPr="006333C0" w:rsidRDefault="00CF6834" w:rsidP="00576EA7">
            <w:pPr>
              <w:rPr>
                <w:color w:val="FF0000"/>
                <w:sz w:val="20"/>
                <w:szCs w:val="20"/>
              </w:rPr>
            </w:pPr>
          </w:p>
        </w:tc>
      </w:tr>
      <w:tr w:rsidR="00CF6834" w:rsidRPr="006333C0" w14:paraId="2F39B142"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35656B89" w14:textId="41928365" w:rsidR="00CF6834" w:rsidRPr="006333C0" w:rsidRDefault="00CF6834" w:rsidP="00576EA7">
            <w:pPr>
              <w:rPr>
                <w:color w:val="E97132" w:themeColor="accent2"/>
                <w:sz w:val="20"/>
                <w:szCs w:val="20"/>
              </w:rPr>
            </w:pPr>
            <w:r w:rsidRPr="006333C0">
              <w:rPr>
                <w:sz w:val="20"/>
                <w:szCs w:val="20"/>
              </w:rPr>
              <w:t>Are the algorithms and calculations clearly documented and explained?</w:t>
            </w:r>
          </w:p>
        </w:tc>
        <w:tc>
          <w:tcPr>
            <w:tcW w:w="992" w:type="dxa"/>
            <w:tcBorders>
              <w:top w:val="single" w:sz="4" w:space="0" w:color="auto"/>
              <w:left w:val="single" w:sz="4" w:space="0" w:color="auto"/>
              <w:bottom w:val="single" w:sz="4" w:space="0" w:color="auto"/>
              <w:right w:val="single" w:sz="4" w:space="0" w:color="auto"/>
            </w:tcBorders>
            <w:vAlign w:val="center"/>
          </w:tcPr>
          <w:p w14:paraId="0EDB2E8E" w14:textId="77777777" w:rsidR="00CF6834" w:rsidRPr="006333C0" w:rsidRDefault="00CF6834" w:rsidP="00576EA7">
            <w:pPr>
              <w:rPr>
                <w:color w:val="FF0000"/>
                <w:sz w:val="20"/>
                <w:szCs w:val="20"/>
              </w:rPr>
            </w:pPr>
            <w:r w:rsidRPr="006333C0">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0995B184" w14:textId="2CC785D2" w:rsidR="00CF6834" w:rsidRPr="006333C0" w:rsidRDefault="00CF6834" w:rsidP="00576EA7">
            <w:pPr>
              <w:rPr>
                <w:sz w:val="20"/>
                <w:szCs w:val="20"/>
              </w:rPr>
            </w:pPr>
            <w:r w:rsidRPr="006333C0">
              <w:rPr>
                <w:sz w:val="20"/>
                <w:szCs w:val="20"/>
              </w:rPr>
              <w:t>For CDRR and AIs the committee considered the distribution of available evidence, including meta-regressions.</w:t>
            </w:r>
          </w:p>
          <w:p w14:paraId="4EC7C3B5" w14:textId="77777777" w:rsidR="00CF6834" w:rsidRPr="006333C0" w:rsidRDefault="00CF6834" w:rsidP="00576EA7">
            <w:pPr>
              <w:rPr>
                <w:rFonts w:cstheme="minorHAnsi"/>
                <w:sz w:val="20"/>
                <w:szCs w:val="20"/>
              </w:rPr>
            </w:pPr>
            <w:r w:rsidRPr="006333C0">
              <w:rPr>
                <w:sz w:val="20"/>
                <w:szCs w:val="20"/>
              </w:rPr>
              <w:t xml:space="preserve">The value was then extrapolated for children (1-18) based on </w:t>
            </w:r>
            <w:r w:rsidRPr="006333C0">
              <w:rPr>
                <w:rFonts w:cstheme="minorHAnsi"/>
                <w:sz w:val="20"/>
                <w:szCs w:val="20"/>
              </w:rPr>
              <w:t>Sedentary Estimated Energy Requirements (EERs) compared to the adult value of 2,000 kcal/d. This was done for AIs and CDRR – Formula is given only in words, but translates to = (rounded child value EER/adult EER) x adult CDRR or AI, then rounded to the nearest 100mg/d</w:t>
            </w:r>
          </w:p>
          <w:p w14:paraId="60ABDDC7" w14:textId="7D6591BE" w:rsidR="00CF6834" w:rsidRPr="006333C0" w:rsidRDefault="00CF6834" w:rsidP="00576EA7">
            <w:pPr>
              <w:rPr>
                <w:sz w:val="20"/>
                <w:szCs w:val="20"/>
              </w:rPr>
            </w:pPr>
            <w:r w:rsidRPr="006333C0">
              <w:rPr>
                <w:sz w:val="20"/>
                <w:szCs w:val="20"/>
              </w:rPr>
              <w:t>There were no differences for older adults or pregnant or lactating people, given scant evidence available did not suggest differences.</w:t>
            </w:r>
          </w:p>
          <w:p w14:paraId="3C681221" w14:textId="3C9518AA" w:rsidR="00CF6834" w:rsidRPr="006333C0" w:rsidRDefault="00CF6834" w:rsidP="00576EA7">
            <w:pPr>
              <w:rPr>
                <w:sz w:val="20"/>
                <w:szCs w:val="20"/>
              </w:rPr>
            </w:pPr>
            <w:r w:rsidRPr="006333C0">
              <w:rPr>
                <w:rFonts w:cstheme="minorHAnsi"/>
                <w:sz w:val="20"/>
                <w:szCs w:val="20"/>
              </w:rPr>
              <w:t>Information for infants was based on sodium in breast milk for 0-</w:t>
            </w:r>
            <w:proofErr w:type="gramStart"/>
            <w:r w:rsidRPr="006333C0">
              <w:rPr>
                <w:rFonts w:cstheme="minorHAnsi"/>
                <w:sz w:val="20"/>
                <w:szCs w:val="20"/>
              </w:rPr>
              <w:t>6mths, and</w:t>
            </w:r>
            <w:proofErr w:type="gramEnd"/>
            <w:r w:rsidRPr="006333C0">
              <w:rPr>
                <w:rFonts w:cstheme="minorHAnsi"/>
                <w:sz w:val="20"/>
                <w:szCs w:val="20"/>
              </w:rPr>
              <w:t xml:space="preserve"> then breast milk + food for 7-11mths. NB infants are out of scope for the current review.</w:t>
            </w:r>
          </w:p>
          <w:p w14:paraId="7F8C58F9" w14:textId="77777777" w:rsidR="00CF6834" w:rsidRPr="006333C0" w:rsidRDefault="00CF6834" w:rsidP="00576EA7">
            <w:pPr>
              <w:rPr>
                <w:sz w:val="20"/>
                <w:szCs w:val="20"/>
              </w:rPr>
            </w:pPr>
          </w:p>
        </w:tc>
        <w:tc>
          <w:tcPr>
            <w:tcW w:w="1701" w:type="dxa"/>
            <w:tcBorders>
              <w:top w:val="single" w:sz="4" w:space="0" w:color="auto"/>
              <w:left w:val="single" w:sz="4" w:space="0" w:color="auto"/>
              <w:bottom w:val="single" w:sz="4" w:space="0" w:color="auto"/>
              <w:right w:val="single" w:sz="8" w:space="0" w:color="auto"/>
            </w:tcBorders>
            <w:vAlign w:val="center"/>
          </w:tcPr>
          <w:p w14:paraId="463E3241" w14:textId="77777777" w:rsidR="00CF6834" w:rsidRPr="006333C0" w:rsidRDefault="00CF6834" w:rsidP="00576EA7">
            <w:pPr>
              <w:rPr>
                <w:rFonts w:cstheme="minorHAnsi"/>
                <w:sz w:val="20"/>
                <w:szCs w:val="20"/>
              </w:rPr>
            </w:pPr>
            <w:r w:rsidRPr="006333C0">
              <w:rPr>
                <w:rFonts w:cstheme="minorHAnsi"/>
                <w:sz w:val="20"/>
                <w:szCs w:val="20"/>
              </w:rPr>
              <w:t>CH 10 for CDRR (children p.336-338), Ch 8 for AIs (children p. p.231, older p.233, pregnant/ lactating p.235)</w:t>
            </w:r>
          </w:p>
          <w:p w14:paraId="5B1AD3BC" w14:textId="77777777" w:rsidR="00CF6834" w:rsidRPr="006333C0" w:rsidRDefault="00CF6834" w:rsidP="00576EA7">
            <w:pPr>
              <w:rPr>
                <w:rFonts w:cstheme="minorHAnsi"/>
                <w:color w:val="FF0000"/>
                <w:sz w:val="20"/>
                <w:szCs w:val="20"/>
              </w:rPr>
            </w:pPr>
            <w:r w:rsidRPr="006333C0">
              <w:rPr>
                <w:rFonts w:cstheme="minorHAnsi"/>
                <w:sz w:val="20"/>
                <w:szCs w:val="20"/>
              </w:rPr>
              <w:t>Ch 9 for UL (summary p.259)</w:t>
            </w:r>
          </w:p>
        </w:tc>
      </w:tr>
      <w:tr w:rsidR="00CF6834" w:rsidRPr="006333C0" w14:paraId="6DC5A928"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tcPr>
          <w:p w14:paraId="53520246" w14:textId="77777777" w:rsidR="00CF6834" w:rsidRPr="006333C0" w:rsidRDefault="00CF6834" w:rsidP="00576EA7">
            <w:pPr>
              <w:rPr>
                <w:sz w:val="20"/>
                <w:szCs w:val="20"/>
              </w:rPr>
            </w:pPr>
            <w:r w:rsidRPr="006333C0">
              <w:rPr>
                <w:sz w:val="20"/>
                <w:szCs w:val="20"/>
              </w:rPr>
              <w:t>Are the assumptions and reference data (intake, body weights for age groups etc) used for the calculations clearly documented and explained?</w:t>
            </w:r>
          </w:p>
          <w:p w14:paraId="0C2E1458" w14:textId="77777777" w:rsidR="00CF6834" w:rsidRPr="006333C0" w:rsidRDefault="00CF6834" w:rsidP="00576EA7">
            <w:pPr>
              <w:rPr>
                <w:color w:val="E97132" w:themeColor="accent2"/>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ECF306F" w14:textId="77777777" w:rsidR="00CF6834" w:rsidRPr="006333C0" w:rsidRDefault="00CF6834" w:rsidP="00576EA7">
            <w:pPr>
              <w:rPr>
                <w:sz w:val="20"/>
                <w:szCs w:val="20"/>
              </w:rPr>
            </w:pPr>
            <w:r w:rsidRPr="006333C0">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4D820291" w14:textId="3EE0084D" w:rsidR="00CF6834" w:rsidRPr="006333C0" w:rsidRDefault="00CF6834" w:rsidP="00576EA7">
            <w:pPr>
              <w:rPr>
                <w:sz w:val="20"/>
                <w:szCs w:val="20"/>
              </w:rPr>
            </w:pPr>
            <w:r w:rsidRPr="006333C0">
              <w:rPr>
                <w:rFonts w:cstheme="minorHAnsi"/>
                <w:sz w:val="20"/>
                <w:szCs w:val="20"/>
                <w:shd w:val="clear" w:color="auto" w:fill="FFFFFF"/>
              </w:rPr>
              <w:t>Age categories used were those from the previous IOM reports. Scaling was done based on sedentary energy rather than weight or anything else, based on studies showing that sodium intake is related to energy intake.</w:t>
            </w:r>
          </w:p>
        </w:tc>
        <w:tc>
          <w:tcPr>
            <w:tcW w:w="1701" w:type="dxa"/>
            <w:tcBorders>
              <w:top w:val="single" w:sz="4" w:space="0" w:color="auto"/>
              <w:left w:val="single" w:sz="4" w:space="0" w:color="auto"/>
              <w:bottom w:val="single" w:sz="4" w:space="0" w:color="auto"/>
              <w:right w:val="single" w:sz="8" w:space="0" w:color="auto"/>
            </w:tcBorders>
            <w:vAlign w:val="center"/>
          </w:tcPr>
          <w:p w14:paraId="0FA95244" w14:textId="77777777" w:rsidR="00CF6834" w:rsidRPr="006333C0" w:rsidRDefault="00CF6834" w:rsidP="00576EA7">
            <w:pPr>
              <w:rPr>
                <w:color w:val="FF0000"/>
                <w:sz w:val="20"/>
                <w:szCs w:val="20"/>
              </w:rPr>
            </w:pPr>
          </w:p>
        </w:tc>
      </w:tr>
      <w:tr w:rsidR="00CF6834" w:rsidRPr="006333C0" w14:paraId="4B1A8ACE" w14:textId="77777777" w:rsidTr="00C577A7">
        <w:trPr>
          <w:cantSplit/>
        </w:trPr>
        <w:tc>
          <w:tcPr>
            <w:tcW w:w="3686" w:type="dxa"/>
            <w:tcBorders>
              <w:top w:val="single" w:sz="8" w:space="0" w:color="auto"/>
              <w:left w:val="single" w:sz="4" w:space="0" w:color="auto"/>
              <w:bottom w:val="single" w:sz="4" w:space="0" w:color="auto"/>
              <w:right w:val="single" w:sz="4" w:space="0" w:color="auto"/>
            </w:tcBorders>
            <w:vAlign w:val="center"/>
            <w:hideMark/>
          </w:tcPr>
          <w:p w14:paraId="52F7550C" w14:textId="33AB43F2" w:rsidR="00CF6834" w:rsidRPr="006333C0" w:rsidRDefault="00CF6834" w:rsidP="00576EA7">
            <w:pPr>
              <w:rPr>
                <w:sz w:val="20"/>
                <w:szCs w:val="20"/>
              </w:rPr>
            </w:pPr>
            <w:r w:rsidRPr="006333C0">
              <w:rPr>
                <w:sz w:val="20"/>
                <w:szCs w:val="20"/>
              </w:rPr>
              <w:lastRenderedPageBreak/>
              <w:t>Is there justification for the choice of uncertainty and safety factors?</w:t>
            </w:r>
          </w:p>
        </w:tc>
        <w:tc>
          <w:tcPr>
            <w:tcW w:w="992" w:type="dxa"/>
            <w:tcBorders>
              <w:top w:val="single" w:sz="8" w:space="0" w:color="auto"/>
              <w:left w:val="single" w:sz="4" w:space="0" w:color="auto"/>
              <w:bottom w:val="single" w:sz="4" w:space="0" w:color="auto"/>
              <w:right w:val="single" w:sz="4" w:space="0" w:color="auto"/>
            </w:tcBorders>
            <w:vAlign w:val="center"/>
          </w:tcPr>
          <w:p w14:paraId="75868E63" w14:textId="77777777" w:rsidR="00CF6834" w:rsidRPr="006333C0" w:rsidRDefault="00CF6834" w:rsidP="00576EA7">
            <w:pPr>
              <w:rPr>
                <w:sz w:val="20"/>
                <w:szCs w:val="20"/>
              </w:rPr>
            </w:pPr>
            <w:r w:rsidRPr="006333C0">
              <w:rPr>
                <w:sz w:val="20"/>
                <w:szCs w:val="20"/>
              </w:rPr>
              <w:t>Yes</w:t>
            </w:r>
          </w:p>
        </w:tc>
        <w:tc>
          <w:tcPr>
            <w:tcW w:w="9073" w:type="dxa"/>
            <w:tcBorders>
              <w:top w:val="single" w:sz="8" w:space="0" w:color="auto"/>
              <w:left w:val="single" w:sz="4" w:space="0" w:color="auto"/>
              <w:bottom w:val="single" w:sz="4" w:space="0" w:color="auto"/>
              <w:right w:val="single" w:sz="8" w:space="0" w:color="auto"/>
            </w:tcBorders>
            <w:vAlign w:val="center"/>
          </w:tcPr>
          <w:p w14:paraId="461174C9" w14:textId="4C5A69D0" w:rsidR="00CF6834" w:rsidRPr="006333C0" w:rsidRDefault="00CF6834" w:rsidP="00576EA7">
            <w:pPr>
              <w:rPr>
                <w:sz w:val="20"/>
                <w:szCs w:val="20"/>
              </w:rPr>
            </w:pPr>
            <w:r w:rsidRPr="006333C0">
              <w:rPr>
                <w:sz w:val="20"/>
                <w:szCs w:val="20"/>
              </w:rPr>
              <w:t xml:space="preserve">No uncertainty factors are used in calculations. The CDRR is calculated based on the range of available data and included the use of GRADE to consider certainty (strength of evidence). Safety data and adverse effects were considered in the decision not to set a UL. The UL was considered in context of the </w:t>
            </w:r>
            <w:proofErr w:type="gramStart"/>
            <w:r w:rsidRPr="006333C0">
              <w:rPr>
                <w:sz w:val="20"/>
                <w:szCs w:val="20"/>
              </w:rPr>
              <w:t>CDRR</w:t>
            </w:r>
            <w:proofErr w:type="gramEnd"/>
            <w:r w:rsidRPr="006333C0">
              <w:rPr>
                <w:sz w:val="20"/>
                <w:szCs w:val="20"/>
              </w:rPr>
              <w:t xml:space="preserve"> and a decision was made not to set a UL.</w:t>
            </w:r>
          </w:p>
        </w:tc>
        <w:tc>
          <w:tcPr>
            <w:tcW w:w="1701" w:type="dxa"/>
            <w:tcBorders>
              <w:top w:val="single" w:sz="8" w:space="0" w:color="auto"/>
              <w:left w:val="single" w:sz="4" w:space="0" w:color="auto"/>
              <w:bottom w:val="single" w:sz="4" w:space="0" w:color="auto"/>
              <w:right w:val="single" w:sz="8" w:space="0" w:color="auto"/>
            </w:tcBorders>
            <w:vAlign w:val="center"/>
          </w:tcPr>
          <w:p w14:paraId="26BA1092" w14:textId="77777777" w:rsidR="00CF6834" w:rsidRPr="006333C0" w:rsidRDefault="00CF6834" w:rsidP="00576EA7">
            <w:pPr>
              <w:rPr>
                <w:color w:val="FF0000"/>
                <w:sz w:val="20"/>
                <w:szCs w:val="20"/>
              </w:rPr>
            </w:pPr>
            <w:r w:rsidRPr="006333C0">
              <w:rPr>
                <w:sz w:val="20"/>
                <w:szCs w:val="20"/>
              </w:rPr>
              <w:t>p.259 for summary</w:t>
            </w:r>
          </w:p>
        </w:tc>
      </w:tr>
      <w:tr w:rsidR="00CF6834" w:rsidRPr="006333C0" w14:paraId="65BB63E2" w14:textId="77777777" w:rsidTr="00C577A7">
        <w:trPr>
          <w:cantSplit/>
        </w:trPr>
        <w:tc>
          <w:tcPr>
            <w:tcW w:w="3686" w:type="dxa"/>
            <w:tcBorders>
              <w:top w:val="single" w:sz="8" w:space="0" w:color="auto"/>
              <w:left w:val="single" w:sz="4" w:space="0" w:color="auto"/>
              <w:bottom w:val="single" w:sz="4" w:space="0" w:color="auto"/>
              <w:right w:val="single" w:sz="4" w:space="0" w:color="auto"/>
            </w:tcBorders>
            <w:vAlign w:val="center"/>
          </w:tcPr>
          <w:p w14:paraId="544BCB8A" w14:textId="439A34AB" w:rsidR="00CF6834" w:rsidRPr="006333C0" w:rsidRDefault="00CF6834" w:rsidP="00576EA7">
            <w:pPr>
              <w:rPr>
                <w:color w:val="E97132" w:themeColor="accent2"/>
                <w:sz w:val="20"/>
                <w:szCs w:val="20"/>
              </w:rPr>
            </w:pPr>
            <w:r w:rsidRPr="006333C0">
              <w:rPr>
                <w:sz w:val="20"/>
                <w:szCs w:val="20"/>
              </w:rPr>
              <w:t>Is justification provided for any clinical/chronic endpoints selected as indictors/outcomes?</w:t>
            </w:r>
          </w:p>
          <w:p w14:paraId="7ACC4AA4" w14:textId="0DE35160" w:rsidR="00CF6834" w:rsidRPr="006333C0" w:rsidRDefault="00CF6834" w:rsidP="00576EA7">
            <w:pPr>
              <w:rPr>
                <w:sz w:val="20"/>
                <w:szCs w:val="20"/>
              </w:rPr>
            </w:pPr>
            <w:r w:rsidRPr="006333C0">
              <w:rPr>
                <w:sz w:val="20"/>
                <w:szCs w:val="20"/>
              </w:rPr>
              <w:t>(Details of endpoints to be provided in a supplementary table.)</w:t>
            </w:r>
          </w:p>
        </w:tc>
        <w:tc>
          <w:tcPr>
            <w:tcW w:w="992" w:type="dxa"/>
            <w:tcBorders>
              <w:top w:val="single" w:sz="8" w:space="0" w:color="auto"/>
              <w:left w:val="single" w:sz="4" w:space="0" w:color="auto"/>
              <w:bottom w:val="single" w:sz="4" w:space="0" w:color="auto"/>
              <w:right w:val="single" w:sz="4" w:space="0" w:color="auto"/>
            </w:tcBorders>
            <w:vAlign w:val="center"/>
          </w:tcPr>
          <w:p w14:paraId="0A5869CC" w14:textId="77777777" w:rsidR="00CF6834" w:rsidRPr="006333C0" w:rsidRDefault="00CF6834" w:rsidP="00576EA7">
            <w:pPr>
              <w:rPr>
                <w:color w:val="FF0000"/>
                <w:sz w:val="20"/>
                <w:szCs w:val="20"/>
              </w:rPr>
            </w:pPr>
            <w:r w:rsidRPr="006333C0">
              <w:rPr>
                <w:sz w:val="20"/>
                <w:szCs w:val="20"/>
              </w:rPr>
              <w:t>Yes</w:t>
            </w:r>
          </w:p>
        </w:tc>
        <w:tc>
          <w:tcPr>
            <w:tcW w:w="9073" w:type="dxa"/>
            <w:tcBorders>
              <w:top w:val="single" w:sz="8" w:space="0" w:color="auto"/>
              <w:left w:val="single" w:sz="4" w:space="0" w:color="auto"/>
              <w:bottom w:val="single" w:sz="4" w:space="0" w:color="auto"/>
              <w:right w:val="single" w:sz="8" w:space="0" w:color="auto"/>
            </w:tcBorders>
            <w:vAlign w:val="center"/>
          </w:tcPr>
          <w:p w14:paraId="7CDF6017" w14:textId="77777777" w:rsidR="00CF6834" w:rsidRPr="006333C0" w:rsidRDefault="00CF6834" w:rsidP="00576EA7">
            <w:pPr>
              <w:rPr>
                <w:rFonts w:cstheme="minorHAnsi"/>
                <w:sz w:val="20"/>
                <w:szCs w:val="20"/>
                <w:shd w:val="clear" w:color="auto" w:fill="FFFFFF"/>
              </w:rPr>
            </w:pPr>
            <w:r w:rsidRPr="006333C0">
              <w:rPr>
                <w:rFonts w:cstheme="minorHAnsi"/>
                <w:sz w:val="20"/>
                <w:szCs w:val="20"/>
                <w:shd w:val="clear" w:color="auto" w:fill="FFFFFF"/>
              </w:rPr>
              <w:t>The Committee considered cardiovascular and hypertension as indicators and blood pressure as a surrogate indicator. Justification is provided.</w:t>
            </w:r>
          </w:p>
          <w:p w14:paraId="20766046" w14:textId="64B58DC4" w:rsidR="00CF6834" w:rsidRPr="006333C0" w:rsidRDefault="00CF6834" w:rsidP="00576EA7">
            <w:pPr>
              <w:rPr>
                <w:color w:val="FF0000"/>
                <w:sz w:val="20"/>
                <w:szCs w:val="20"/>
              </w:rPr>
            </w:pPr>
            <w:r w:rsidRPr="006333C0">
              <w:rPr>
                <w:rFonts w:cstheme="minorHAnsi"/>
                <w:sz w:val="20"/>
                <w:szCs w:val="20"/>
                <w:shd w:val="clear" w:color="auto" w:fill="FFFFFF"/>
              </w:rPr>
              <w:t>Other indicators were considered but not used in developing the CDRR or AIs.</w:t>
            </w:r>
          </w:p>
        </w:tc>
        <w:tc>
          <w:tcPr>
            <w:tcW w:w="1701" w:type="dxa"/>
            <w:tcBorders>
              <w:top w:val="single" w:sz="8" w:space="0" w:color="auto"/>
              <w:left w:val="single" w:sz="4" w:space="0" w:color="auto"/>
              <w:bottom w:val="single" w:sz="4" w:space="0" w:color="auto"/>
              <w:right w:val="single" w:sz="8" w:space="0" w:color="auto"/>
            </w:tcBorders>
            <w:vAlign w:val="center"/>
          </w:tcPr>
          <w:p w14:paraId="7858121A" w14:textId="77777777" w:rsidR="00CF6834" w:rsidRPr="006333C0" w:rsidRDefault="00CF6834" w:rsidP="00576EA7">
            <w:pPr>
              <w:rPr>
                <w:sz w:val="20"/>
                <w:szCs w:val="20"/>
              </w:rPr>
            </w:pPr>
          </w:p>
        </w:tc>
      </w:tr>
      <w:tr w:rsidR="00CF6834" w:rsidRPr="006333C0" w14:paraId="35EE06F0" w14:textId="77777777" w:rsidTr="00C577A7">
        <w:trPr>
          <w:cantSplit/>
        </w:trPr>
        <w:tc>
          <w:tcPr>
            <w:tcW w:w="3686" w:type="dxa"/>
            <w:tcBorders>
              <w:top w:val="single" w:sz="8" w:space="0" w:color="auto"/>
              <w:left w:val="single" w:sz="4" w:space="0" w:color="auto"/>
              <w:bottom w:val="single" w:sz="4" w:space="0" w:color="auto"/>
              <w:right w:val="single" w:sz="4" w:space="0" w:color="auto"/>
            </w:tcBorders>
            <w:vAlign w:val="center"/>
          </w:tcPr>
          <w:p w14:paraId="60F3B96E" w14:textId="77777777" w:rsidR="00CF6834" w:rsidRPr="006333C0" w:rsidRDefault="00CF6834" w:rsidP="00576EA7">
            <w:pPr>
              <w:rPr>
                <w:sz w:val="20"/>
                <w:szCs w:val="20"/>
              </w:rPr>
            </w:pPr>
            <w:r w:rsidRPr="006333C0">
              <w:rPr>
                <w:sz w:val="20"/>
                <w:szCs w:val="20"/>
              </w:rPr>
              <w:t>Is justification provided for the value selected for the reference point^? (including mechanistic evidence, health outcome data, key events, balance studies)</w:t>
            </w:r>
          </w:p>
          <w:p w14:paraId="011D931F" w14:textId="77777777" w:rsidR="00CF6834" w:rsidRPr="006333C0" w:rsidRDefault="00CF6834" w:rsidP="00576EA7">
            <w:pPr>
              <w:rPr>
                <w:sz w:val="20"/>
                <w:szCs w:val="20"/>
              </w:rPr>
            </w:pPr>
          </w:p>
          <w:p w14:paraId="66A1BDCA" w14:textId="77777777" w:rsidR="00CF6834" w:rsidRPr="006333C0" w:rsidRDefault="00CF6834" w:rsidP="00576EA7">
            <w:pPr>
              <w:rPr>
                <w:sz w:val="20"/>
                <w:szCs w:val="20"/>
              </w:rPr>
            </w:pPr>
          </w:p>
          <w:p w14:paraId="65FACAB2" w14:textId="240C7365" w:rsidR="00CF6834" w:rsidRPr="006333C0" w:rsidRDefault="00CF6834" w:rsidP="00576EA7">
            <w:pPr>
              <w:rPr>
                <w:color w:val="E97132" w:themeColor="accent2"/>
                <w:sz w:val="20"/>
                <w:szCs w:val="20"/>
              </w:rPr>
            </w:pPr>
            <w:r w:rsidRPr="006333C0">
              <w:rPr>
                <w:sz w:val="20"/>
                <w:szCs w:val="20"/>
              </w:rPr>
              <w:t>^ refence point is usually the baseline value to which any scaling and uncertainty factors are applied.</w:t>
            </w:r>
          </w:p>
        </w:tc>
        <w:tc>
          <w:tcPr>
            <w:tcW w:w="992" w:type="dxa"/>
            <w:tcBorders>
              <w:top w:val="single" w:sz="8" w:space="0" w:color="auto"/>
              <w:left w:val="single" w:sz="4" w:space="0" w:color="auto"/>
              <w:bottom w:val="single" w:sz="4" w:space="0" w:color="auto"/>
              <w:right w:val="single" w:sz="4" w:space="0" w:color="auto"/>
            </w:tcBorders>
            <w:vAlign w:val="center"/>
          </w:tcPr>
          <w:p w14:paraId="613EEB93" w14:textId="77777777" w:rsidR="00CF6834" w:rsidRPr="006333C0" w:rsidRDefault="00CF6834" w:rsidP="00576EA7">
            <w:pPr>
              <w:rPr>
                <w:sz w:val="20"/>
                <w:szCs w:val="20"/>
              </w:rPr>
            </w:pPr>
            <w:r w:rsidRPr="006333C0">
              <w:rPr>
                <w:sz w:val="20"/>
                <w:szCs w:val="20"/>
              </w:rPr>
              <w:t>Yes</w:t>
            </w:r>
          </w:p>
        </w:tc>
        <w:tc>
          <w:tcPr>
            <w:tcW w:w="9073" w:type="dxa"/>
            <w:tcBorders>
              <w:top w:val="single" w:sz="8" w:space="0" w:color="auto"/>
              <w:left w:val="single" w:sz="4" w:space="0" w:color="auto"/>
              <w:bottom w:val="single" w:sz="4" w:space="0" w:color="auto"/>
              <w:right w:val="single" w:sz="8" w:space="0" w:color="auto"/>
            </w:tcBorders>
            <w:vAlign w:val="center"/>
          </w:tcPr>
          <w:p w14:paraId="45E0493C" w14:textId="77777777" w:rsidR="00CF6834" w:rsidRPr="006333C0" w:rsidRDefault="00CF6834" w:rsidP="00576EA7">
            <w:pPr>
              <w:rPr>
                <w:rFonts w:cstheme="minorHAnsi"/>
                <w:sz w:val="20"/>
                <w:szCs w:val="20"/>
              </w:rPr>
            </w:pPr>
            <w:r w:rsidRPr="006333C0">
              <w:rPr>
                <w:rFonts w:cstheme="minorHAnsi"/>
                <w:sz w:val="20"/>
                <w:szCs w:val="20"/>
              </w:rPr>
              <w:t>Committee assessed the strength of evidence that reducing sodium reduces chronic disease risk between 2,300-4,100 mg/d (100-178mml/d) as high (p.312-13).</w:t>
            </w:r>
          </w:p>
          <w:p w14:paraId="48664CAD" w14:textId="77777777" w:rsidR="00CF6834" w:rsidRPr="006333C0" w:rsidRDefault="00CF6834" w:rsidP="00576EA7">
            <w:pPr>
              <w:rPr>
                <w:rFonts w:cstheme="minorHAnsi"/>
                <w:sz w:val="20"/>
                <w:szCs w:val="20"/>
              </w:rPr>
            </w:pPr>
            <w:r w:rsidRPr="006333C0">
              <w:rPr>
                <w:rFonts w:cstheme="minorHAnsi"/>
                <w:sz w:val="20"/>
                <w:szCs w:val="20"/>
              </w:rPr>
              <w:t>Committee assessed the strength of evidence that reducing sodium reduces chronic disease risk between 4,100-5,000 mg/d as moderate (-1 indirectness; p.317-18).</w:t>
            </w:r>
          </w:p>
          <w:p w14:paraId="17986670" w14:textId="77777777" w:rsidR="00CF6834" w:rsidRPr="006333C0" w:rsidRDefault="00CF6834" w:rsidP="00576EA7">
            <w:pPr>
              <w:rPr>
                <w:rFonts w:cstheme="minorHAnsi"/>
                <w:sz w:val="20"/>
                <w:szCs w:val="20"/>
              </w:rPr>
            </w:pPr>
            <w:r w:rsidRPr="006333C0">
              <w:rPr>
                <w:rFonts w:cstheme="minorHAnsi"/>
                <w:sz w:val="20"/>
                <w:szCs w:val="20"/>
              </w:rPr>
              <w:t>Committee assessed the strength of evidence that reducing sodium reduces chronic disease risk between 1,000-2,300 mg/d as low (-1 inconsistency, -1 indirectness; p.324)</w:t>
            </w:r>
          </w:p>
          <w:p w14:paraId="4C9E8525" w14:textId="77777777" w:rsidR="00CF6834" w:rsidRPr="006333C0" w:rsidRDefault="00CF6834" w:rsidP="00576EA7">
            <w:pPr>
              <w:rPr>
                <w:rFonts w:cstheme="minorHAnsi"/>
                <w:sz w:val="20"/>
                <w:szCs w:val="20"/>
              </w:rPr>
            </w:pPr>
            <w:r w:rsidRPr="006333C0">
              <w:rPr>
                <w:rFonts w:cstheme="minorHAnsi"/>
                <w:i/>
                <w:iCs/>
                <w:sz w:val="20"/>
                <w:szCs w:val="20"/>
              </w:rPr>
              <w:t xml:space="preserve">“The committee concludes there is moderate to high strength of evidence for both a causal relationship and an intake–response relationship between sodium and several interrelated chronic disease indicators: cardiovascular disease, hypertension, systolic blood pressure, and diastolic blood pressure. Evidence from these indicators can be synthesized to inform the development of a sodium Chronic Disease Risk Reduction Intake (CDRR).” </w:t>
            </w:r>
            <w:r w:rsidRPr="006333C0">
              <w:rPr>
                <w:rFonts w:cstheme="minorHAnsi"/>
                <w:sz w:val="20"/>
                <w:szCs w:val="20"/>
              </w:rPr>
              <w:t>P.327</w:t>
            </w:r>
          </w:p>
          <w:p w14:paraId="7866A797" w14:textId="77777777" w:rsidR="00CF6834" w:rsidRPr="006333C0" w:rsidRDefault="00CF6834" w:rsidP="00576EA7">
            <w:pPr>
              <w:rPr>
                <w:rFonts w:cstheme="minorHAnsi"/>
                <w:sz w:val="20"/>
                <w:szCs w:val="20"/>
              </w:rPr>
            </w:pPr>
            <w:r w:rsidRPr="006333C0">
              <w:rPr>
                <w:rFonts w:cstheme="minorHAnsi"/>
                <w:sz w:val="20"/>
                <w:szCs w:val="20"/>
              </w:rPr>
              <w:t>The information about where the available evidence for different values for each endpoint was used to decide on the final CDRR value of 2,300 mg/d which the committee characterised as “</w:t>
            </w:r>
            <w:r w:rsidRPr="006333C0">
              <w:rPr>
                <w:rFonts w:cstheme="minorHAnsi"/>
                <w:i/>
                <w:iCs/>
                <w:sz w:val="20"/>
                <w:szCs w:val="20"/>
              </w:rPr>
              <w:t>as the lowest intake level for which there was sufficient evidence to characterize chronic disease risk reduction</w:t>
            </w:r>
            <w:r w:rsidRPr="006333C0">
              <w:rPr>
                <w:rFonts w:cstheme="minorHAnsi"/>
                <w:sz w:val="20"/>
                <w:szCs w:val="20"/>
              </w:rPr>
              <w:t>. (p.331)</w:t>
            </w:r>
          </w:p>
          <w:p w14:paraId="1538532E" w14:textId="77777777" w:rsidR="00CF6834" w:rsidRPr="006333C0" w:rsidRDefault="00CF6834" w:rsidP="00576EA7">
            <w:pPr>
              <w:rPr>
                <w:sz w:val="20"/>
                <w:szCs w:val="20"/>
              </w:rPr>
            </w:pPr>
            <w:r w:rsidRPr="006333C0">
              <w:rPr>
                <w:rFonts w:cstheme="minorHAnsi"/>
                <w:sz w:val="20"/>
                <w:szCs w:val="20"/>
              </w:rPr>
              <w:t>For AIs</w:t>
            </w:r>
            <w:r w:rsidRPr="006333C0">
              <w:rPr>
                <w:rFonts w:cstheme="minorHAnsi"/>
                <w:i/>
                <w:iCs/>
                <w:sz w:val="20"/>
                <w:szCs w:val="20"/>
              </w:rPr>
              <w:t xml:space="preserve"> </w:t>
            </w:r>
            <w:r w:rsidRPr="006333C0">
              <w:rPr>
                <w:rFonts w:cstheme="minorHAnsi"/>
                <w:sz w:val="20"/>
                <w:szCs w:val="20"/>
              </w:rPr>
              <w:t>“</w:t>
            </w:r>
            <w:r w:rsidRPr="006333C0">
              <w:rPr>
                <w:rFonts w:cstheme="minorHAnsi"/>
                <w:i/>
                <w:iCs/>
                <w:sz w:val="20"/>
                <w:szCs w:val="20"/>
              </w:rPr>
              <w:t>The committee therefore determined that the sodium AI for adults could be derived from trials with sodium intakes less than 2,300 mg/d (100 mmol/d) and that the strongest designed balance study could provide insight as to whether the selected sodium AI value was appropriate.</w:t>
            </w:r>
            <w:r w:rsidRPr="006333C0">
              <w:rPr>
                <w:rFonts w:cstheme="minorHAnsi"/>
                <w:sz w:val="20"/>
                <w:szCs w:val="20"/>
              </w:rPr>
              <w:t>” (p.229)</w:t>
            </w:r>
          </w:p>
          <w:p w14:paraId="2CDBC0FD" w14:textId="77777777" w:rsidR="00CF6834" w:rsidRPr="006333C0" w:rsidRDefault="00CF6834" w:rsidP="00576EA7">
            <w:pPr>
              <w:rPr>
                <w:rFonts w:cstheme="minorHAnsi"/>
                <w:sz w:val="20"/>
                <w:szCs w:val="20"/>
              </w:rPr>
            </w:pPr>
            <w:r w:rsidRPr="006333C0">
              <w:rPr>
                <w:rFonts w:cstheme="minorHAnsi"/>
                <w:sz w:val="20"/>
                <w:szCs w:val="20"/>
              </w:rPr>
              <w:t>“</w:t>
            </w:r>
            <w:r w:rsidRPr="006333C0">
              <w:rPr>
                <w:rFonts w:cstheme="minorHAnsi"/>
                <w:i/>
                <w:iCs/>
                <w:sz w:val="20"/>
                <w:szCs w:val="20"/>
              </w:rPr>
              <w:t>Based on the lowest level of sodium intakes studied in the DASH-Sodium feeding trial and other sodium reduction trials and on the best-designed balanced study, a sodium AI of 1,500 mg/d (65 mmol/d) is appropriate for adults at normal ambient temperatures and not engaged in high-intensity physical activity.”</w:t>
            </w:r>
            <w:r w:rsidRPr="006333C0">
              <w:rPr>
                <w:rFonts w:cstheme="minorHAnsi"/>
                <w:sz w:val="20"/>
                <w:szCs w:val="20"/>
              </w:rPr>
              <w:t xml:space="preserve"> (p.233)</w:t>
            </w:r>
          </w:p>
        </w:tc>
        <w:tc>
          <w:tcPr>
            <w:tcW w:w="1701" w:type="dxa"/>
            <w:tcBorders>
              <w:top w:val="single" w:sz="8" w:space="0" w:color="auto"/>
              <w:left w:val="single" w:sz="4" w:space="0" w:color="auto"/>
              <w:bottom w:val="single" w:sz="4" w:space="0" w:color="auto"/>
              <w:right w:val="single" w:sz="8" w:space="0" w:color="auto"/>
            </w:tcBorders>
            <w:vAlign w:val="center"/>
          </w:tcPr>
          <w:p w14:paraId="05876302" w14:textId="77777777" w:rsidR="00CF6834" w:rsidRPr="006333C0" w:rsidRDefault="00CF6834" w:rsidP="00576EA7">
            <w:pPr>
              <w:rPr>
                <w:sz w:val="20"/>
                <w:szCs w:val="20"/>
              </w:rPr>
            </w:pPr>
          </w:p>
        </w:tc>
      </w:tr>
      <w:tr w:rsidR="00CF6834" w:rsidRPr="006333C0" w14:paraId="52A0A4E7" w14:textId="77777777" w:rsidTr="00C577A7">
        <w:trPr>
          <w:cantSplit/>
        </w:trPr>
        <w:tc>
          <w:tcPr>
            <w:tcW w:w="3686" w:type="dxa"/>
            <w:tcBorders>
              <w:top w:val="single" w:sz="8" w:space="0" w:color="auto"/>
              <w:left w:val="single" w:sz="4" w:space="0" w:color="auto"/>
              <w:bottom w:val="single" w:sz="4" w:space="0" w:color="auto"/>
              <w:right w:val="single" w:sz="4" w:space="0" w:color="auto"/>
            </w:tcBorders>
            <w:vAlign w:val="center"/>
          </w:tcPr>
          <w:p w14:paraId="078CFC68" w14:textId="0CB39F58" w:rsidR="00CF6834" w:rsidRPr="006333C0" w:rsidRDefault="00CF6834" w:rsidP="00576EA7">
            <w:pPr>
              <w:rPr>
                <w:sz w:val="20"/>
                <w:szCs w:val="20"/>
              </w:rPr>
            </w:pPr>
            <w:r w:rsidRPr="006333C0">
              <w:rPr>
                <w:sz w:val="20"/>
                <w:szCs w:val="20"/>
              </w:rPr>
              <w:t>Is the population group generalisable to the Australian and New Zealand population?</w:t>
            </w:r>
          </w:p>
          <w:p w14:paraId="46BBE5BE" w14:textId="77777777" w:rsidR="00CF6834" w:rsidRPr="006333C0" w:rsidRDefault="00CF6834" w:rsidP="00576EA7">
            <w:pPr>
              <w:rPr>
                <w:color w:val="E97132" w:themeColor="accent2"/>
                <w:sz w:val="20"/>
                <w:szCs w:val="20"/>
              </w:rPr>
            </w:pPr>
            <w:r w:rsidRPr="006333C0">
              <w:rPr>
                <w:sz w:val="20"/>
                <w:szCs w:val="20"/>
              </w:rPr>
              <w:t>Where are the underlying studies from</w:t>
            </w:r>
          </w:p>
        </w:tc>
        <w:tc>
          <w:tcPr>
            <w:tcW w:w="992" w:type="dxa"/>
            <w:tcBorders>
              <w:top w:val="single" w:sz="8" w:space="0" w:color="auto"/>
              <w:left w:val="single" w:sz="4" w:space="0" w:color="auto"/>
              <w:bottom w:val="single" w:sz="4" w:space="0" w:color="auto"/>
              <w:right w:val="single" w:sz="4" w:space="0" w:color="auto"/>
            </w:tcBorders>
            <w:vAlign w:val="center"/>
          </w:tcPr>
          <w:p w14:paraId="31697A33" w14:textId="77777777" w:rsidR="00CF6834" w:rsidRPr="006333C0" w:rsidRDefault="00CF6834" w:rsidP="00576EA7">
            <w:pPr>
              <w:rPr>
                <w:color w:val="FF0000"/>
                <w:sz w:val="20"/>
                <w:szCs w:val="20"/>
              </w:rPr>
            </w:pPr>
            <w:r w:rsidRPr="006333C0">
              <w:rPr>
                <w:sz w:val="20"/>
                <w:szCs w:val="20"/>
              </w:rPr>
              <w:t>Yes</w:t>
            </w:r>
          </w:p>
        </w:tc>
        <w:tc>
          <w:tcPr>
            <w:tcW w:w="9073" w:type="dxa"/>
            <w:tcBorders>
              <w:top w:val="single" w:sz="8" w:space="0" w:color="auto"/>
              <w:left w:val="single" w:sz="4" w:space="0" w:color="auto"/>
              <w:bottom w:val="single" w:sz="4" w:space="0" w:color="auto"/>
              <w:right w:val="single" w:sz="8" w:space="0" w:color="auto"/>
            </w:tcBorders>
            <w:vAlign w:val="center"/>
          </w:tcPr>
          <w:p w14:paraId="3681B7A4" w14:textId="61F4A88A" w:rsidR="00CF6834" w:rsidRPr="006333C0" w:rsidRDefault="00CF6834" w:rsidP="00576EA7">
            <w:pPr>
              <w:rPr>
                <w:rFonts w:cstheme="minorHAnsi"/>
                <w:sz w:val="20"/>
                <w:szCs w:val="20"/>
              </w:rPr>
            </w:pPr>
            <w:r w:rsidRPr="006333C0">
              <w:rPr>
                <w:rFonts w:cstheme="minorHAnsi"/>
                <w:sz w:val="20"/>
                <w:szCs w:val="20"/>
              </w:rPr>
              <w:t>It is mostly unclear where the trials are from without reading the original articles, but it seems that primary evidence from</w:t>
            </w:r>
          </w:p>
          <w:p w14:paraId="296EE280" w14:textId="77777777" w:rsidR="00CF6834" w:rsidRPr="006333C0" w:rsidRDefault="00CF6834" w:rsidP="00576EA7">
            <w:pPr>
              <w:rPr>
                <w:rFonts w:cstheme="minorHAnsi"/>
                <w:sz w:val="20"/>
                <w:szCs w:val="20"/>
              </w:rPr>
            </w:pPr>
            <w:r w:rsidRPr="006333C0">
              <w:rPr>
                <w:rFonts w:cstheme="minorHAnsi"/>
                <w:sz w:val="20"/>
                <w:szCs w:val="20"/>
              </w:rPr>
              <w:t>Balance Studies: White and Black American’s (p.212), other studies considered British, German and Russian (ethnicity unclear) and Japanese</w:t>
            </w:r>
          </w:p>
          <w:p w14:paraId="1DF40CC3" w14:textId="77777777" w:rsidR="00CF6834" w:rsidRPr="006333C0" w:rsidRDefault="00CF6834" w:rsidP="00576EA7">
            <w:pPr>
              <w:rPr>
                <w:rFonts w:cstheme="minorHAnsi"/>
                <w:sz w:val="20"/>
                <w:szCs w:val="20"/>
              </w:rPr>
            </w:pPr>
            <w:r w:rsidRPr="006333C0">
              <w:rPr>
                <w:rFonts w:cstheme="minorHAnsi"/>
                <w:sz w:val="20"/>
                <w:szCs w:val="20"/>
              </w:rPr>
              <w:t>AIs: mostly USA (White and Non-White), China, also considered South-Africa, Europe, New Zealand</w:t>
            </w:r>
          </w:p>
          <w:p w14:paraId="369A5A86" w14:textId="77777777" w:rsidR="00CF6834" w:rsidRPr="006333C0" w:rsidRDefault="00CF6834" w:rsidP="00576EA7">
            <w:pPr>
              <w:rPr>
                <w:rFonts w:cstheme="minorHAnsi"/>
                <w:sz w:val="20"/>
                <w:szCs w:val="20"/>
              </w:rPr>
            </w:pPr>
            <w:r w:rsidRPr="006333C0">
              <w:rPr>
                <w:rFonts w:cstheme="minorHAnsi"/>
                <w:sz w:val="20"/>
                <w:szCs w:val="20"/>
              </w:rPr>
              <w:t>CDRR: mostly USA (White and Non-White), China, also considered Scandinavian countries, Japan</w:t>
            </w:r>
          </w:p>
        </w:tc>
        <w:tc>
          <w:tcPr>
            <w:tcW w:w="1701" w:type="dxa"/>
            <w:tcBorders>
              <w:top w:val="single" w:sz="8" w:space="0" w:color="auto"/>
              <w:left w:val="single" w:sz="4" w:space="0" w:color="auto"/>
              <w:bottom w:val="single" w:sz="4" w:space="0" w:color="auto"/>
              <w:right w:val="single" w:sz="8" w:space="0" w:color="auto"/>
            </w:tcBorders>
            <w:vAlign w:val="center"/>
          </w:tcPr>
          <w:p w14:paraId="5A8F9DAC" w14:textId="77777777" w:rsidR="00CF6834" w:rsidRPr="006333C0" w:rsidRDefault="00CF6834" w:rsidP="00576EA7">
            <w:pPr>
              <w:rPr>
                <w:sz w:val="20"/>
                <w:szCs w:val="20"/>
              </w:rPr>
            </w:pPr>
          </w:p>
        </w:tc>
      </w:tr>
      <w:tr w:rsidR="00CF6834" w:rsidRPr="006333C0" w14:paraId="2ED71326"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77E30E74" w14:textId="01F2B178" w:rsidR="00CF6834" w:rsidRPr="006333C0" w:rsidRDefault="00CF6834" w:rsidP="00576EA7">
            <w:pPr>
              <w:rPr>
                <w:sz w:val="20"/>
                <w:szCs w:val="20"/>
              </w:rPr>
            </w:pPr>
            <w:r w:rsidRPr="006333C0">
              <w:rPr>
                <w:sz w:val="20"/>
                <w:szCs w:val="20"/>
              </w:rPr>
              <w:lastRenderedPageBreak/>
              <w:t>If scaling was applied – was the method described, along with an appropriate rationale for the chosen method?</w:t>
            </w:r>
          </w:p>
        </w:tc>
        <w:tc>
          <w:tcPr>
            <w:tcW w:w="992" w:type="dxa"/>
            <w:tcBorders>
              <w:top w:val="single" w:sz="4" w:space="0" w:color="auto"/>
              <w:left w:val="single" w:sz="4" w:space="0" w:color="auto"/>
              <w:bottom w:val="single" w:sz="4" w:space="0" w:color="auto"/>
              <w:right w:val="single" w:sz="4" w:space="0" w:color="auto"/>
            </w:tcBorders>
            <w:vAlign w:val="center"/>
          </w:tcPr>
          <w:p w14:paraId="5CAE5E7E" w14:textId="77777777" w:rsidR="00CF6834" w:rsidRPr="006333C0" w:rsidRDefault="00CF6834" w:rsidP="00576EA7">
            <w:pPr>
              <w:rPr>
                <w:color w:val="FF0000"/>
                <w:sz w:val="20"/>
                <w:szCs w:val="20"/>
              </w:rPr>
            </w:pPr>
            <w:r w:rsidRPr="006333C0">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286BE669" w14:textId="77777777" w:rsidR="00CF6834" w:rsidRPr="006333C0" w:rsidRDefault="00CF6834" w:rsidP="00576EA7">
            <w:pPr>
              <w:rPr>
                <w:color w:val="FF0000"/>
                <w:sz w:val="20"/>
                <w:szCs w:val="20"/>
              </w:rPr>
            </w:pPr>
          </w:p>
        </w:tc>
        <w:tc>
          <w:tcPr>
            <w:tcW w:w="1701" w:type="dxa"/>
            <w:tcBorders>
              <w:top w:val="single" w:sz="4" w:space="0" w:color="auto"/>
              <w:left w:val="single" w:sz="4" w:space="0" w:color="auto"/>
              <w:bottom w:val="single" w:sz="4" w:space="0" w:color="auto"/>
              <w:right w:val="single" w:sz="8" w:space="0" w:color="auto"/>
            </w:tcBorders>
            <w:vAlign w:val="center"/>
          </w:tcPr>
          <w:p w14:paraId="4E730D6E" w14:textId="77777777" w:rsidR="00CF6834" w:rsidRPr="006333C0" w:rsidRDefault="00CF6834" w:rsidP="00576EA7">
            <w:pPr>
              <w:rPr>
                <w:sz w:val="20"/>
                <w:szCs w:val="20"/>
              </w:rPr>
            </w:pPr>
            <w:r w:rsidRPr="006333C0">
              <w:rPr>
                <w:sz w:val="20"/>
                <w:szCs w:val="20"/>
              </w:rPr>
              <w:t>e.g., p331</w:t>
            </w:r>
          </w:p>
        </w:tc>
      </w:tr>
      <w:tr w:rsidR="00CF6834" w:rsidRPr="006333C0" w14:paraId="6A0E9339"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0C0658A6" w14:textId="77777777" w:rsidR="00CF6834" w:rsidRPr="006333C0" w:rsidRDefault="00CF6834" w:rsidP="00576EA7">
            <w:pPr>
              <w:rPr>
                <w:sz w:val="20"/>
                <w:szCs w:val="20"/>
              </w:rPr>
            </w:pPr>
            <w:r w:rsidRPr="006333C0">
              <w:rPr>
                <w:sz w:val="20"/>
                <w:szCs w:val="20"/>
              </w:rPr>
              <w:t>Is the method used appropriate for Australian and New Zealand populations?</w:t>
            </w:r>
          </w:p>
        </w:tc>
        <w:tc>
          <w:tcPr>
            <w:tcW w:w="992" w:type="dxa"/>
            <w:tcBorders>
              <w:top w:val="single" w:sz="4" w:space="0" w:color="auto"/>
              <w:left w:val="single" w:sz="4" w:space="0" w:color="auto"/>
              <w:bottom w:val="single" w:sz="4" w:space="0" w:color="auto"/>
              <w:right w:val="single" w:sz="4" w:space="0" w:color="auto"/>
            </w:tcBorders>
            <w:vAlign w:val="center"/>
          </w:tcPr>
          <w:p w14:paraId="6A83827D" w14:textId="77777777" w:rsidR="00CF6834" w:rsidRPr="006333C0" w:rsidRDefault="00CF6834" w:rsidP="00576EA7">
            <w:pPr>
              <w:rPr>
                <w:sz w:val="20"/>
                <w:szCs w:val="20"/>
              </w:rPr>
            </w:pPr>
            <w:r w:rsidRPr="006333C0">
              <w:rPr>
                <w:sz w:val="20"/>
                <w:szCs w:val="20"/>
              </w:rPr>
              <w:t>Probably Yes</w:t>
            </w:r>
          </w:p>
        </w:tc>
        <w:tc>
          <w:tcPr>
            <w:tcW w:w="9073" w:type="dxa"/>
            <w:tcBorders>
              <w:top w:val="single" w:sz="4" w:space="0" w:color="auto"/>
              <w:left w:val="single" w:sz="4" w:space="0" w:color="auto"/>
              <w:bottom w:val="single" w:sz="4" w:space="0" w:color="auto"/>
              <w:right w:val="single" w:sz="8" w:space="0" w:color="auto"/>
            </w:tcBorders>
            <w:vAlign w:val="center"/>
          </w:tcPr>
          <w:p w14:paraId="5231D95D" w14:textId="568EFB52" w:rsidR="00CF6834" w:rsidRPr="006333C0" w:rsidRDefault="00CF6834" w:rsidP="00576EA7">
            <w:pPr>
              <w:rPr>
                <w:sz w:val="20"/>
                <w:szCs w:val="20"/>
              </w:rPr>
            </w:pPr>
            <w:r w:rsidRPr="006333C0">
              <w:rPr>
                <w:sz w:val="20"/>
                <w:szCs w:val="20"/>
              </w:rPr>
              <w:t>If we have a different sedentary estimated energy requirements (EER) that may need to be input into the formula which might change the results.</w:t>
            </w:r>
          </w:p>
          <w:p w14:paraId="5D6CAA76" w14:textId="464C5182" w:rsidR="00CF6834" w:rsidRPr="006333C0" w:rsidRDefault="00CF6834" w:rsidP="00576EA7">
            <w:pPr>
              <w:rPr>
                <w:sz w:val="20"/>
                <w:szCs w:val="20"/>
              </w:rPr>
            </w:pPr>
            <w:r w:rsidRPr="006333C0">
              <w:rPr>
                <w:sz w:val="20"/>
                <w:szCs w:val="20"/>
              </w:rPr>
              <w:t>Aus/NZ values for EER look much higher, which would therefore give a higher sodium intake. That may or may not be appropriate.</w:t>
            </w:r>
          </w:p>
        </w:tc>
        <w:tc>
          <w:tcPr>
            <w:tcW w:w="1701" w:type="dxa"/>
            <w:tcBorders>
              <w:top w:val="single" w:sz="4" w:space="0" w:color="auto"/>
              <w:left w:val="single" w:sz="4" w:space="0" w:color="auto"/>
              <w:bottom w:val="single" w:sz="4" w:space="0" w:color="auto"/>
              <w:right w:val="single" w:sz="8" w:space="0" w:color="auto"/>
            </w:tcBorders>
            <w:vAlign w:val="center"/>
          </w:tcPr>
          <w:p w14:paraId="2CD45D5D" w14:textId="77777777" w:rsidR="00CF6834" w:rsidRPr="006333C0" w:rsidRDefault="00CF6834" w:rsidP="00576EA7">
            <w:pPr>
              <w:rPr>
                <w:sz w:val="20"/>
                <w:szCs w:val="20"/>
              </w:rPr>
            </w:pPr>
          </w:p>
        </w:tc>
      </w:tr>
      <w:tr w:rsidR="00CF6834" w:rsidRPr="006333C0" w14:paraId="4C794A61"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4C32D4C3" w14:textId="78DFB51A" w:rsidR="00CF6834" w:rsidRPr="006333C0" w:rsidRDefault="00CF6834" w:rsidP="00576EA7">
            <w:pPr>
              <w:rPr>
                <w:sz w:val="20"/>
                <w:szCs w:val="20"/>
              </w:rPr>
            </w:pPr>
            <w:r w:rsidRPr="006333C0">
              <w:rPr>
                <w:sz w:val="20"/>
                <w:szCs w:val="20"/>
              </w:rPr>
              <w:t>Are the processes used when expert judgement is applied documented and published? (Evidence to decision process used to obtain final conclusions).</w:t>
            </w:r>
          </w:p>
        </w:tc>
        <w:tc>
          <w:tcPr>
            <w:tcW w:w="992" w:type="dxa"/>
            <w:tcBorders>
              <w:top w:val="single" w:sz="4" w:space="0" w:color="auto"/>
              <w:left w:val="single" w:sz="4" w:space="0" w:color="auto"/>
              <w:bottom w:val="single" w:sz="4" w:space="0" w:color="auto"/>
              <w:right w:val="single" w:sz="4" w:space="0" w:color="auto"/>
            </w:tcBorders>
            <w:vAlign w:val="center"/>
          </w:tcPr>
          <w:p w14:paraId="55191BA0" w14:textId="39338E39" w:rsidR="00CF6834" w:rsidRPr="006333C0" w:rsidRDefault="00CF6834" w:rsidP="00576EA7">
            <w:pPr>
              <w:rPr>
                <w:sz w:val="20"/>
                <w:szCs w:val="20"/>
              </w:rPr>
            </w:pPr>
            <w:r w:rsidRPr="006333C0">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3F459A59" w14:textId="09E3EA37" w:rsidR="00CF6834" w:rsidRPr="006333C0" w:rsidRDefault="00CF6834" w:rsidP="00576EA7">
            <w:pPr>
              <w:rPr>
                <w:sz w:val="20"/>
                <w:szCs w:val="20"/>
              </w:rPr>
            </w:pPr>
            <w:r w:rsidRPr="006333C0">
              <w:rPr>
                <w:sz w:val="20"/>
                <w:szCs w:val="20"/>
              </w:rPr>
              <w:t>The Committee describe the steps they take for each decision throughout the report. There was no formal EtD process used, but things like the food context and usual intakes are considered, and these also relate to acceptability and feasibility.</w:t>
            </w:r>
          </w:p>
        </w:tc>
        <w:tc>
          <w:tcPr>
            <w:tcW w:w="1701" w:type="dxa"/>
            <w:tcBorders>
              <w:top w:val="single" w:sz="4" w:space="0" w:color="auto"/>
              <w:left w:val="single" w:sz="4" w:space="0" w:color="auto"/>
              <w:bottom w:val="single" w:sz="4" w:space="0" w:color="auto"/>
              <w:right w:val="single" w:sz="8" w:space="0" w:color="auto"/>
            </w:tcBorders>
            <w:vAlign w:val="center"/>
          </w:tcPr>
          <w:p w14:paraId="6C3F1E46" w14:textId="77777777" w:rsidR="00CF6834" w:rsidRPr="006333C0" w:rsidRDefault="00CF6834" w:rsidP="00576EA7">
            <w:pPr>
              <w:rPr>
                <w:sz w:val="20"/>
                <w:szCs w:val="20"/>
              </w:rPr>
            </w:pPr>
          </w:p>
        </w:tc>
      </w:tr>
    </w:tbl>
    <w:p w14:paraId="1A28784A" w14:textId="77777777" w:rsidR="00C577A7" w:rsidRDefault="00C577A7" w:rsidP="00576EA7"/>
    <w:p w14:paraId="71D375A6" w14:textId="77777777" w:rsidR="00C577A7" w:rsidRDefault="00C577A7" w:rsidP="00576EA7">
      <w:pPr>
        <w:rPr>
          <w:rFonts w:eastAsiaTheme="majorEastAsia" w:cstheme="majorBidi"/>
          <w:color w:val="0F4761" w:themeColor="accent1" w:themeShade="BF"/>
          <w:sz w:val="24"/>
          <w:szCs w:val="28"/>
        </w:rPr>
      </w:pPr>
      <w:r>
        <w:br w:type="page"/>
      </w:r>
    </w:p>
    <w:p w14:paraId="2C4B74A2" w14:textId="1D9B81E8" w:rsidR="006333C0" w:rsidRDefault="006333C0" w:rsidP="005338A3">
      <w:pPr>
        <w:pStyle w:val="Heading3"/>
        <w:spacing w:before="240"/>
      </w:pPr>
      <w:bookmarkStart w:id="116" w:name="_Toc234960888"/>
      <w:r>
        <w:lastRenderedPageBreak/>
        <w:t>Suitability for adopting vs adapting</w:t>
      </w:r>
      <w:bookmarkEnd w:id="116"/>
    </w:p>
    <w:tbl>
      <w:tblPr>
        <w:tblStyle w:val="TableGrid1"/>
        <w:tblW w:w="15452" w:type="dxa"/>
        <w:tblInd w:w="-294"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686"/>
        <w:gridCol w:w="1418"/>
        <w:gridCol w:w="8647"/>
        <w:gridCol w:w="1701"/>
      </w:tblGrid>
      <w:tr w:rsidR="00CF6834" w:rsidRPr="006333C0" w14:paraId="3799F549" w14:textId="77777777" w:rsidTr="00C577A7">
        <w:trPr>
          <w:cantSplit/>
        </w:trPr>
        <w:tc>
          <w:tcPr>
            <w:tcW w:w="368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28A1F103" w14:textId="77777777" w:rsidR="00CF6834" w:rsidRPr="006333C0" w:rsidRDefault="00CF6834" w:rsidP="00576EA7">
            <w:pPr>
              <w:rPr>
                <w:b/>
                <w:bCs/>
                <w:sz w:val="20"/>
                <w:szCs w:val="20"/>
                <w:vertAlign w:val="superscript"/>
              </w:rPr>
            </w:pPr>
            <w:r w:rsidRPr="006333C0">
              <w:rPr>
                <w:b/>
                <w:bCs/>
                <w:sz w:val="20"/>
                <w:szCs w:val="20"/>
              </w:rPr>
              <w:t>Criteria</w:t>
            </w:r>
          </w:p>
        </w:tc>
        <w:tc>
          <w:tcPr>
            <w:tcW w:w="1418" w:type="dxa"/>
            <w:tcBorders>
              <w:top w:val="single" w:sz="8" w:space="0" w:color="auto"/>
              <w:left w:val="single" w:sz="4" w:space="0" w:color="auto"/>
              <w:bottom w:val="single" w:sz="8" w:space="0" w:color="auto"/>
              <w:right w:val="single" w:sz="8" w:space="0" w:color="auto"/>
            </w:tcBorders>
            <w:shd w:val="clear" w:color="auto" w:fill="BFBFBF" w:themeFill="background1" w:themeFillShade="BF"/>
            <w:vAlign w:val="center"/>
            <w:hideMark/>
          </w:tcPr>
          <w:p w14:paraId="67A7C53F" w14:textId="34A9442C" w:rsidR="00CF6834" w:rsidRPr="006333C0" w:rsidRDefault="006F36F7" w:rsidP="00576EA7">
            <w:pPr>
              <w:rPr>
                <w:b/>
                <w:bCs/>
                <w:sz w:val="20"/>
                <w:szCs w:val="20"/>
              </w:rPr>
            </w:pPr>
            <w:r>
              <w:rPr>
                <w:b/>
                <w:bCs/>
                <w:sz w:val="20"/>
                <w:szCs w:val="20"/>
              </w:rPr>
              <w:t>Suitability assessment</w:t>
            </w:r>
          </w:p>
        </w:tc>
        <w:tc>
          <w:tcPr>
            <w:tcW w:w="8647"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2A46F4D4" w14:textId="77777777" w:rsidR="00CF6834" w:rsidRPr="006333C0" w:rsidRDefault="00CF6834" w:rsidP="00576EA7">
            <w:pPr>
              <w:rPr>
                <w:b/>
                <w:bCs/>
                <w:sz w:val="20"/>
                <w:szCs w:val="20"/>
              </w:rPr>
            </w:pPr>
            <w:r w:rsidRPr="006333C0">
              <w:rPr>
                <w:b/>
                <w:bCs/>
                <w:sz w:val="20"/>
                <w:szCs w:val="20"/>
              </w:rPr>
              <w:t>Comment</w:t>
            </w:r>
          </w:p>
        </w:tc>
        <w:tc>
          <w:tcPr>
            <w:tcW w:w="170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F2B34EA" w14:textId="77777777" w:rsidR="00CF6834" w:rsidRPr="006333C0" w:rsidRDefault="00CF6834" w:rsidP="00576EA7">
            <w:pPr>
              <w:rPr>
                <w:b/>
                <w:bCs/>
                <w:sz w:val="20"/>
                <w:szCs w:val="20"/>
              </w:rPr>
            </w:pPr>
            <w:r w:rsidRPr="006333C0">
              <w:rPr>
                <w:b/>
                <w:bCs/>
                <w:sz w:val="20"/>
                <w:szCs w:val="20"/>
              </w:rPr>
              <w:t>Page #</w:t>
            </w:r>
          </w:p>
        </w:tc>
      </w:tr>
      <w:tr w:rsidR="00CF6834" w:rsidRPr="006333C0" w14:paraId="41683692" w14:textId="77777777" w:rsidTr="00C577A7">
        <w:trPr>
          <w:cantSplit/>
        </w:trPr>
        <w:tc>
          <w:tcPr>
            <w:tcW w:w="3686" w:type="dxa"/>
            <w:tcBorders>
              <w:top w:val="single" w:sz="4" w:space="0" w:color="auto"/>
              <w:left w:val="single" w:sz="4" w:space="0" w:color="auto"/>
              <w:bottom w:val="single" w:sz="8" w:space="0" w:color="auto"/>
              <w:right w:val="single" w:sz="4" w:space="0" w:color="auto"/>
            </w:tcBorders>
            <w:vAlign w:val="center"/>
            <w:hideMark/>
          </w:tcPr>
          <w:p w14:paraId="2863CA29" w14:textId="475E26EB" w:rsidR="00CF6834" w:rsidRPr="006333C0" w:rsidRDefault="00CF6834" w:rsidP="00576EA7">
            <w:pPr>
              <w:rPr>
                <w:i/>
                <w:iCs/>
                <w:sz w:val="20"/>
                <w:szCs w:val="20"/>
              </w:rPr>
            </w:pPr>
            <w:r w:rsidRPr="006333C0">
              <w:rPr>
                <w:sz w:val="20"/>
                <w:szCs w:val="20"/>
              </w:rPr>
              <w:t>How does the Australian and New Zealand context (e.g. food system, dietary patterns, intakes, status) compare with the jurisdiction in which the NRV under consideration was developed?</w:t>
            </w:r>
          </w:p>
        </w:tc>
        <w:tc>
          <w:tcPr>
            <w:tcW w:w="1418" w:type="dxa"/>
            <w:tcBorders>
              <w:top w:val="single" w:sz="4" w:space="0" w:color="auto"/>
              <w:left w:val="single" w:sz="4" w:space="0" w:color="auto"/>
              <w:bottom w:val="single" w:sz="8" w:space="0" w:color="auto"/>
              <w:right w:val="single" w:sz="4" w:space="0" w:color="auto"/>
            </w:tcBorders>
            <w:vAlign w:val="center"/>
          </w:tcPr>
          <w:p w14:paraId="174F5C2A" w14:textId="76ADFF90" w:rsidR="00CF6834" w:rsidRPr="006333C0" w:rsidRDefault="00CF6834" w:rsidP="00576EA7">
            <w:pPr>
              <w:rPr>
                <w:sz w:val="20"/>
                <w:szCs w:val="20"/>
              </w:rPr>
            </w:pPr>
            <w:r w:rsidRPr="006333C0">
              <w:rPr>
                <w:sz w:val="20"/>
                <w:szCs w:val="20"/>
              </w:rPr>
              <w:t>Probably suitable to adapt</w:t>
            </w:r>
          </w:p>
        </w:tc>
        <w:tc>
          <w:tcPr>
            <w:tcW w:w="8647" w:type="dxa"/>
            <w:tcBorders>
              <w:top w:val="single" w:sz="4" w:space="0" w:color="auto"/>
              <w:left w:val="single" w:sz="4" w:space="0" w:color="auto"/>
              <w:bottom w:val="single" w:sz="8" w:space="0" w:color="auto"/>
              <w:right w:val="single" w:sz="8" w:space="0" w:color="auto"/>
            </w:tcBorders>
            <w:vAlign w:val="center"/>
          </w:tcPr>
          <w:p w14:paraId="5A8F85DB" w14:textId="77777777" w:rsidR="00CF6834" w:rsidRPr="006333C0" w:rsidRDefault="00CF6834" w:rsidP="00576EA7">
            <w:pPr>
              <w:rPr>
                <w:color w:val="FF0000"/>
                <w:sz w:val="20"/>
                <w:szCs w:val="20"/>
              </w:rPr>
            </w:pPr>
            <w:r w:rsidRPr="006333C0">
              <w:rPr>
                <w:rStyle w:val="cf01"/>
                <w:rFonts w:asciiTheme="minorHAnsi" w:hAnsiTheme="minorHAnsi"/>
                <w:sz w:val="20"/>
                <w:szCs w:val="20"/>
              </w:rPr>
              <w:t>Land et al (2018) – Australian consumption is 3750mg sodium/day (9.6g salt) - no decrease between 1989 and 2015.</w:t>
            </w:r>
          </w:p>
          <w:p w14:paraId="4F0F1127" w14:textId="77777777" w:rsidR="00CF6834" w:rsidRPr="006333C0" w:rsidRDefault="00CF6834" w:rsidP="00576EA7">
            <w:pPr>
              <w:rPr>
                <w:sz w:val="20"/>
                <w:szCs w:val="20"/>
              </w:rPr>
            </w:pPr>
            <w:r w:rsidRPr="006333C0">
              <w:rPr>
                <w:sz w:val="20"/>
                <w:szCs w:val="20"/>
              </w:rPr>
              <w:t xml:space="preserve">National Health and Nutrition Examination Survey for USA – median value for males </w:t>
            </w:r>
            <w:r w:rsidRPr="006333C0">
              <w:rPr>
                <w:rFonts w:cs="Calibri"/>
                <w:sz w:val="20"/>
                <w:szCs w:val="20"/>
              </w:rPr>
              <w:t>≥</w:t>
            </w:r>
            <w:r w:rsidRPr="006333C0">
              <w:rPr>
                <w:sz w:val="20"/>
                <w:szCs w:val="20"/>
              </w:rPr>
              <w:t xml:space="preserve"> 19 is approx. 4,000 mg/d and for females </w:t>
            </w:r>
            <w:r w:rsidRPr="006333C0">
              <w:rPr>
                <w:rFonts w:cs="Calibri"/>
                <w:sz w:val="20"/>
                <w:szCs w:val="20"/>
              </w:rPr>
              <w:t>≥</w:t>
            </w:r>
            <w:r w:rsidRPr="006333C0">
              <w:rPr>
                <w:sz w:val="20"/>
                <w:szCs w:val="20"/>
              </w:rPr>
              <w:t xml:space="preserve"> 19 is approx. 2,900 mg/d</w:t>
            </w:r>
          </w:p>
          <w:p w14:paraId="1011E2E8" w14:textId="77777777" w:rsidR="00CF6834" w:rsidRPr="006333C0" w:rsidRDefault="00CF6834" w:rsidP="00576EA7">
            <w:pPr>
              <w:rPr>
                <w:sz w:val="20"/>
                <w:szCs w:val="20"/>
              </w:rPr>
            </w:pPr>
            <w:r w:rsidRPr="006333C0">
              <w:rPr>
                <w:sz w:val="20"/>
                <w:szCs w:val="20"/>
              </w:rPr>
              <w:t xml:space="preserve">Canadian Community Health Survey–Nutrition 2015 – median value for males </w:t>
            </w:r>
            <w:r w:rsidRPr="006333C0">
              <w:rPr>
                <w:rFonts w:cs="Calibri"/>
                <w:sz w:val="20"/>
                <w:szCs w:val="20"/>
              </w:rPr>
              <w:t xml:space="preserve">≥ </w:t>
            </w:r>
            <w:r w:rsidRPr="006333C0">
              <w:rPr>
                <w:sz w:val="20"/>
                <w:szCs w:val="20"/>
              </w:rPr>
              <w:t xml:space="preserve">19 is approx. 3,100 mg/d and for females </w:t>
            </w:r>
            <w:r w:rsidRPr="006333C0">
              <w:rPr>
                <w:rFonts w:cs="Calibri"/>
                <w:sz w:val="20"/>
                <w:szCs w:val="20"/>
              </w:rPr>
              <w:t>≥</w:t>
            </w:r>
            <w:r w:rsidRPr="006333C0">
              <w:rPr>
                <w:sz w:val="20"/>
                <w:szCs w:val="20"/>
              </w:rPr>
              <w:t xml:space="preserve"> 19 is approx. 2,300 mg/d</w:t>
            </w:r>
          </w:p>
          <w:p w14:paraId="193A9AAD" w14:textId="77777777" w:rsidR="00CF6834" w:rsidRPr="006333C0" w:rsidRDefault="00CF6834" w:rsidP="00576EA7">
            <w:pPr>
              <w:rPr>
                <w:sz w:val="20"/>
                <w:szCs w:val="20"/>
              </w:rPr>
            </w:pPr>
            <w:r w:rsidRPr="006333C0">
              <w:rPr>
                <w:sz w:val="20"/>
                <w:szCs w:val="20"/>
              </w:rPr>
              <w:t xml:space="preserve">Both suggest </w:t>
            </w:r>
            <w:proofErr w:type="gramStart"/>
            <w:r w:rsidRPr="006333C0">
              <w:rPr>
                <w:sz w:val="20"/>
                <w:szCs w:val="20"/>
              </w:rPr>
              <w:t>the majority of</w:t>
            </w:r>
            <w:proofErr w:type="gramEnd"/>
            <w:r w:rsidRPr="006333C0">
              <w:rPr>
                <w:sz w:val="20"/>
                <w:szCs w:val="20"/>
              </w:rPr>
              <w:t xml:space="preserve"> people have intakes above the CDRR, although the overall intakes are lower in Canada than the USA, lower in females and lower in older adults than younger adults.</w:t>
            </w:r>
          </w:p>
          <w:p w14:paraId="784CA1C1" w14:textId="017AD494" w:rsidR="00CF6834" w:rsidRPr="006333C0" w:rsidRDefault="00CF6834" w:rsidP="00576EA7">
            <w:pPr>
              <w:rPr>
                <w:sz w:val="20"/>
                <w:szCs w:val="20"/>
              </w:rPr>
            </w:pPr>
            <w:r w:rsidRPr="006333C0">
              <w:rPr>
                <w:rFonts w:cstheme="minorHAnsi"/>
                <w:sz w:val="20"/>
                <w:szCs w:val="20"/>
              </w:rPr>
              <w:t>Ch 11 (context and EtD) of the NASEM report states: “</w:t>
            </w:r>
            <w:r w:rsidRPr="006333C0">
              <w:rPr>
                <w:rFonts w:cstheme="minorHAnsi"/>
                <w:i/>
                <w:iCs/>
                <w:sz w:val="20"/>
                <w:szCs w:val="20"/>
              </w:rPr>
              <w:t>Typical salt concentrations in bread are around 2 percent of the flour weight.</w:t>
            </w:r>
            <w:r w:rsidRPr="006333C0">
              <w:rPr>
                <w:rFonts w:cstheme="minorHAnsi"/>
                <w:sz w:val="20"/>
                <w:szCs w:val="20"/>
              </w:rPr>
              <w:t xml:space="preserve">” (p.383) – This would equate to 2g (2,000 mg) per 100g – significantly higher than the average sodium content of 408mg/100g (range: 233 – 660g) reported in 2017 (per the George Institute’s </w:t>
            </w:r>
            <w:r w:rsidRPr="006333C0">
              <w:rPr>
                <w:rFonts w:cstheme="minorHAnsi"/>
                <w:i/>
                <w:iCs/>
                <w:sz w:val="20"/>
                <w:szCs w:val="20"/>
              </w:rPr>
              <w:t>Key Findings Report: Changes in sodium levels of bread products in Australia (2010-2017),</w:t>
            </w:r>
            <w:r w:rsidRPr="006333C0">
              <w:rPr>
                <w:rFonts w:cstheme="minorHAnsi"/>
                <w:sz w:val="20"/>
                <w:szCs w:val="20"/>
              </w:rPr>
              <w:t xml:space="preserve"> available from: </w:t>
            </w:r>
            <w:hyperlink r:id="rId197" w:anchor=":~:text=In%202017%2C%20flat%20bread%20had%20the%20highest,added)%20(366mg/100g%20range%20174%20%2D720mg/100g)%20(Table%201)." w:history="1">
              <w:r w:rsidRPr="006333C0">
                <w:rPr>
                  <w:rStyle w:val="Hyperlink"/>
                  <w:rFonts w:asciiTheme="minorHAnsi" w:hAnsiTheme="minorHAnsi" w:cstheme="minorHAnsi"/>
                  <w:sz w:val="20"/>
                  <w:szCs w:val="20"/>
                </w:rPr>
                <w:t>https://strokefoundation.org.au/media/ubgc3y2n/final-key-findings-report.pdf</w:t>
              </w:r>
            </w:hyperlink>
            <w:r w:rsidRPr="006333C0">
              <w:rPr>
                <w:rFonts w:cstheme="minorHAnsi"/>
                <w:sz w:val="20"/>
                <w:szCs w:val="20"/>
              </w:rPr>
              <w:t>).</w:t>
            </w:r>
          </w:p>
          <w:p w14:paraId="2FD496C5" w14:textId="0207EE6D" w:rsidR="00CF6834" w:rsidRPr="006333C0" w:rsidRDefault="00CF6834" w:rsidP="00576EA7">
            <w:pPr>
              <w:rPr>
                <w:sz w:val="20"/>
                <w:szCs w:val="20"/>
              </w:rPr>
            </w:pPr>
            <w:r w:rsidRPr="006333C0">
              <w:rPr>
                <w:sz w:val="20"/>
                <w:szCs w:val="20"/>
              </w:rPr>
              <w:t>This suggests the USA may have higher salt in processed/bought food than Aus/NZ which may impact generalisability.</w:t>
            </w:r>
          </w:p>
          <w:p w14:paraId="2EE6712F" w14:textId="2FB7B00A" w:rsidR="00FB05BA" w:rsidRPr="006333C0" w:rsidRDefault="00FB05BA" w:rsidP="00576EA7">
            <w:pPr>
              <w:rPr>
                <w:sz w:val="20"/>
                <w:szCs w:val="20"/>
              </w:rPr>
            </w:pPr>
            <w:r w:rsidRPr="006333C0">
              <w:rPr>
                <w:sz w:val="20"/>
                <w:szCs w:val="20"/>
              </w:rPr>
              <w:t>The evidence base underpinning recommendations could be used with guideline recommendations adapted to suit the Aus/NZ nutrition context.</w:t>
            </w:r>
          </w:p>
        </w:tc>
        <w:tc>
          <w:tcPr>
            <w:tcW w:w="1701" w:type="dxa"/>
            <w:tcBorders>
              <w:top w:val="single" w:sz="4" w:space="0" w:color="auto"/>
              <w:left w:val="single" w:sz="4" w:space="0" w:color="auto"/>
              <w:bottom w:val="single" w:sz="8" w:space="0" w:color="auto"/>
              <w:right w:val="single" w:sz="8" w:space="0" w:color="auto"/>
            </w:tcBorders>
            <w:vAlign w:val="center"/>
          </w:tcPr>
          <w:p w14:paraId="5990EC84" w14:textId="77777777" w:rsidR="00CF6834" w:rsidRPr="006333C0" w:rsidRDefault="00CF6834" w:rsidP="00576EA7">
            <w:pPr>
              <w:rPr>
                <w:sz w:val="20"/>
                <w:szCs w:val="20"/>
              </w:rPr>
            </w:pPr>
            <w:r w:rsidRPr="006333C0">
              <w:rPr>
                <w:sz w:val="20"/>
                <w:szCs w:val="20"/>
              </w:rPr>
              <w:t>Children Table 11-2, p.372 and table 11-3, p.373</w:t>
            </w:r>
          </w:p>
          <w:p w14:paraId="27CE78FE" w14:textId="77777777" w:rsidR="00CF6834" w:rsidRPr="006333C0" w:rsidRDefault="00CF6834" w:rsidP="00576EA7">
            <w:pPr>
              <w:rPr>
                <w:sz w:val="20"/>
                <w:szCs w:val="20"/>
              </w:rPr>
            </w:pPr>
            <w:r w:rsidRPr="006333C0">
              <w:rPr>
                <w:sz w:val="20"/>
                <w:szCs w:val="20"/>
              </w:rPr>
              <w:t>Adults table 11-5, p.376</w:t>
            </w:r>
          </w:p>
          <w:p w14:paraId="37047779" w14:textId="77777777" w:rsidR="00CF6834" w:rsidRPr="006333C0" w:rsidRDefault="00CF6834" w:rsidP="00576EA7">
            <w:pPr>
              <w:rPr>
                <w:sz w:val="20"/>
                <w:szCs w:val="20"/>
              </w:rPr>
            </w:pPr>
            <w:r w:rsidRPr="006333C0">
              <w:rPr>
                <w:sz w:val="20"/>
                <w:szCs w:val="20"/>
              </w:rPr>
              <w:t>Infants Table 11-1 p.371</w:t>
            </w:r>
          </w:p>
        </w:tc>
      </w:tr>
    </w:tbl>
    <w:p w14:paraId="347CF160" w14:textId="77777777" w:rsidR="00CF6834" w:rsidRPr="009E4F6C" w:rsidRDefault="00CF6834" w:rsidP="005338A3">
      <w:pPr>
        <w:pStyle w:val="Heading3"/>
        <w:spacing w:before="240"/>
      </w:pPr>
      <w:bookmarkStart w:id="117" w:name="_Toc234960889"/>
      <w:r w:rsidRPr="009E4F6C">
        <w:t>Overall conclusions</w:t>
      </w:r>
      <w:bookmarkEnd w:id="117"/>
    </w:p>
    <w:p w14:paraId="3844BCFA" w14:textId="4D590C81" w:rsidR="00CF6834" w:rsidRDefault="00CF6834" w:rsidP="00576EA7">
      <w:r>
        <w:t xml:space="preserve">NASEM have considered evidence from the results of a systematic review by the Agency for Healthcare Research and Quality (AHRQ) designed to answer their questions, as well as conducting supplementary searches for additional outcomes, and to check for any new studies. Evidence on the relationship between sodium intake and cardiovascular risk, hypertension and blood pressure (as a surrogate indicator) was considered as well as balance studies to develop first a Chronic Disease Risk Reduction intake (CDRR; 2,300 mg/d) and then </w:t>
      </w:r>
      <w:r w:rsidR="00BA50C0">
        <w:t>A</w:t>
      </w:r>
      <w:r>
        <w:t xml:space="preserve">dequate </w:t>
      </w:r>
      <w:r w:rsidR="00BA50C0">
        <w:t>I</w:t>
      </w:r>
      <w:r>
        <w:t>ntake</w:t>
      </w:r>
      <w:r w:rsidR="00BA50C0">
        <w:t xml:space="preserve"> values</w:t>
      </w:r>
      <w:r>
        <w:t xml:space="preserve"> (AIs; 1,500 mg/d). The evidence did not support the derivation of an Estimated Average Requirement (EAR), so a Recommended Dietary Allowance (RDA) could not be derived. Values for children were derived </w:t>
      </w:r>
      <w:r w:rsidR="008C24C6">
        <w:t xml:space="preserve">from adult values </w:t>
      </w:r>
      <w:r>
        <w:t xml:space="preserve">based on sedentary Estimated Energy Requirements (EER), and for infants based on sodium in breast milk. There was insufficient evidence to make separate recommendations for older adults or people who are pregnant or lactating, so these are set at the same level for all adults. It is noted that </w:t>
      </w:r>
      <w:r w:rsidR="008C24C6">
        <w:t xml:space="preserve">intakes among </w:t>
      </w:r>
      <w:r>
        <w:t>most of the USA and Canadian population exceed the CDRR. A UL was not set as the available evidence did not suggest a toxicity level within the healthy population, but instead supporting increasing ill-effects</w:t>
      </w:r>
      <w:r w:rsidR="00537E2F">
        <w:t xml:space="preserve"> with increasing intakes above </w:t>
      </w:r>
      <w:r>
        <w:t xml:space="preserve">the CDRR.  </w:t>
      </w:r>
    </w:p>
    <w:p w14:paraId="218D2CBF" w14:textId="34E93E62" w:rsidR="00FB05BA" w:rsidRDefault="00FB05BA" w:rsidP="00576EA7">
      <w:pPr>
        <w:rPr>
          <w:highlight w:val="yellow"/>
        </w:rPr>
      </w:pPr>
      <w:r>
        <w:rPr>
          <w:highlight w:val="yellow"/>
        </w:rPr>
        <w:br w:type="page"/>
      </w:r>
    </w:p>
    <w:p w14:paraId="1A67033E" w14:textId="77777777" w:rsidR="0054569B" w:rsidRPr="003E6441" w:rsidRDefault="0054569B" w:rsidP="005338A3">
      <w:pPr>
        <w:pStyle w:val="Heading2"/>
      </w:pPr>
      <w:bookmarkStart w:id="118" w:name="_Toc234960890"/>
      <w:r w:rsidRPr="003E6441">
        <w:lastRenderedPageBreak/>
        <w:t>Administrative and technical criteria for assessing existing nutrient reference values</w:t>
      </w:r>
      <w:bookmarkEnd w:id="118"/>
    </w:p>
    <w:p w14:paraId="3D8853A2" w14:textId="77777777" w:rsidR="0054569B" w:rsidRPr="003E6441" w:rsidRDefault="0054569B" w:rsidP="005338A3">
      <w:pPr>
        <w:pStyle w:val="Heading3"/>
      </w:pPr>
      <w:bookmarkStart w:id="119" w:name="_Toc234960891"/>
      <w:r w:rsidRPr="003E6441">
        <w:t>Title/Reference:</w:t>
      </w:r>
      <w:bookmarkEnd w:id="119"/>
      <w:r w:rsidRPr="003E6441">
        <w:t xml:space="preserve"> </w:t>
      </w:r>
    </w:p>
    <w:p w14:paraId="31FD4FC9" w14:textId="25844B13" w:rsidR="0054569B" w:rsidRPr="00537E2F" w:rsidRDefault="0054569B" w:rsidP="00576EA7">
      <w:pPr>
        <w:rPr>
          <w:rFonts w:cstheme="minorHAnsi"/>
        </w:rPr>
      </w:pPr>
      <w:r w:rsidRPr="00537E2F">
        <w:rPr>
          <w:rFonts w:cstheme="minorHAnsi"/>
        </w:rPr>
        <w:t>EFSA NDA Panel (EFSA Panel on Nutrition, Novel Foods and Food Allergens), Turck D, </w:t>
      </w:r>
      <w:proofErr w:type="spellStart"/>
      <w:r w:rsidRPr="00537E2F">
        <w:rPr>
          <w:rFonts w:cstheme="minorHAnsi"/>
        </w:rPr>
        <w:t>Castenmiller</w:t>
      </w:r>
      <w:proofErr w:type="spellEnd"/>
      <w:r w:rsidRPr="00537E2F">
        <w:rPr>
          <w:rFonts w:cstheme="minorHAnsi"/>
        </w:rPr>
        <w:t> J, de Henauw S, Hirsch-Ernst K-I, Kearney J, Knutsen HK, Maciuk A, Mangelsdorf I, McArdle HJ, Pelaez C, Pentieva K, Siani A, Thies F, Tsabouri S, Vinceti M, Aggett P, Fairweather-Tait S, Martin A, Przyrembel H, Ciccolallo L, de Sesmaisons-Lecarré A, Martinez SV, Martino L and Naska A, 2019. </w:t>
      </w:r>
      <w:r w:rsidRPr="00537E2F">
        <w:rPr>
          <w:rFonts w:cstheme="minorHAnsi"/>
          <w:b/>
        </w:rPr>
        <w:t>Scientific Opinion on the dietary reference values for sodium</w:t>
      </w:r>
      <w:r w:rsidRPr="00537E2F">
        <w:rPr>
          <w:rFonts w:cstheme="minorHAnsi"/>
        </w:rPr>
        <w:t>. </w:t>
      </w:r>
      <w:r w:rsidRPr="00537E2F">
        <w:rPr>
          <w:rFonts w:cstheme="minorHAnsi"/>
          <w:i/>
        </w:rPr>
        <w:t>EFSA Journal</w:t>
      </w:r>
      <w:r w:rsidRPr="00537E2F">
        <w:rPr>
          <w:rFonts w:cstheme="minorHAnsi"/>
        </w:rPr>
        <w:t> 2019;17(9):5778, 191 pp. </w:t>
      </w:r>
      <w:hyperlink r:id="rId198" w:history="1">
        <w:r w:rsidRPr="00537E2F">
          <w:rPr>
            <w:rStyle w:val="Hyperlink"/>
            <w:rFonts w:cstheme="minorHAnsi"/>
          </w:rPr>
          <w:t>https://doi.org/10.2903/j.efsa.2019.5778</w:t>
        </w:r>
      </w:hyperlink>
    </w:p>
    <w:p w14:paraId="21CF32E4" w14:textId="24E01DA9" w:rsidR="00794217" w:rsidRPr="005338A3" w:rsidRDefault="0054569B" w:rsidP="005338A3">
      <w:pPr>
        <w:pStyle w:val="Heading3"/>
        <w:spacing w:before="240"/>
      </w:pPr>
      <w:bookmarkStart w:id="120" w:name="_Toc234960892"/>
      <w:r w:rsidRPr="005338A3">
        <w:t>Assessment by ONHMRC:</w:t>
      </w:r>
      <w:bookmarkEnd w:id="120"/>
    </w:p>
    <w:p w14:paraId="0B63300B" w14:textId="04F7644B" w:rsidR="0054569B" w:rsidRPr="00537E2F" w:rsidRDefault="0054569B" w:rsidP="00576EA7">
      <w:pPr>
        <w:rPr>
          <w:rFonts w:cstheme="minorHAnsi"/>
        </w:rPr>
      </w:pPr>
      <w:r w:rsidRPr="00537E2F">
        <w:rPr>
          <w:rFonts w:cstheme="minorHAnsi"/>
        </w:rPr>
        <w:t>13 February 2024</w:t>
      </w:r>
    </w:p>
    <w:p w14:paraId="0F87C916" w14:textId="77777777" w:rsidR="0054569B" w:rsidRPr="005338A3" w:rsidRDefault="0054569B" w:rsidP="005338A3">
      <w:pPr>
        <w:pStyle w:val="Heading3"/>
        <w:spacing w:before="240"/>
      </w:pPr>
      <w:bookmarkStart w:id="121" w:name="_Toc234960893"/>
      <w:r w:rsidRPr="00794217">
        <w:t>Overall guidance/advice development process</w:t>
      </w:r>
      <w:bookmarkEnd w:id="121"/>
    </w:p>
    <w:tbl>
      <w:tblPr>
        <w:tblStyle w:val="TableGrid1"/>
        <w:tblW w:w="15452" w:type="dxa"/>
        <w:tblInd w:w="-294"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686"/>
        <w:gridCol w:w="992"/>
        <w:gridCol w:w="9073"/>
        <w:gridCol w:w="1701"/>
      </w:tblGrid>
      <w:tr w:rsidR="0054569B" w:rsidRPr="00503189" w14:paraId="2076C94E" w14:textId="77777777" w:rsidTr="00C577A7">
        <w:trPr>
          <w:cantSplit/>
          <w:tblHeader/>
        </w:trPr>
        <w:tc>
          <w:tcPr>
            <w:tcW w:w="368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38D8751C" w14:textId="77777777" w:rsidR="0054569B" w:rsidRPr="00503189" w:rsidRDefault="0054569B" w:rsidP="00576EA7">
            <w:pPr>
              <w:rPr>
                <w:b/>
                <w:bCs/>
                <w:sz w:val="20"/>
                <w:szCs w:val="20"/>
                <w:vertAlign w:val="superscript"/>
              </w:rPr>
            </w:pPr>
            <w:r w:rsidRPr="00503189">
              <w:rPr>
                <w:b/>
                <w:bCs/>
                <w:sz w:val="20"/>
                <w:szCs w:val="20"/>
              </w:rPr>
              <w:t>Criteria</w:t>
            </w:r>
          </w:p>
        </w:tc>
        <w:tc>
          <w:tcPr>
            <w:tcW w:w="992" w:type="dxa"/>
            <w:tcBorders>
              <w:top w:val="single" w:sz="8" w:space="0" w:color="auto"/>
              <w:left w:val="single" w:sz="4" w:space="0" w:color="auto"/>
              <w:bottom w:val="single" w:sz="8" w:space="0" w:color="auto"/>
              <w:right w:val="single" w:sz="8" w:space="0" w:color="auto"/>
            </w:tcBorders>
            <w:shd w:val="clear" w:color="auto" w:fill="BFBFBF" w:themeFill="background1" w:themeFillShade="BF"/>
            <w:vAlign w:val="center"/>
            <w:hideMark/>
          </w:tcPr>
          <w:p w14:paraId="631188D0" w14:textId="77777777" w:rsidR="0054569B" w:rsidRPr="00503189" w:rsidRDefault="0054569B" w:rsidP="00576EA7">
            <w:pPr>
              <w:rPr>
                <w:b/>
                <w:bCs/>
                <w:sz w:val="20"/>
                <w:szCs w:val="20"/>
              </w:rPr>
            </w:pPr>
            <w:r w:rsidRPr="00503189">
              <w:rPr>
                <w:b/>
                <w:bCs/>
                <w:sz w:val="20"/>
                <w:szCs w:val="20"/>
              </w:rPr>
              <w:t>Yes/No/NA</w:t>
            </w:r>
          </w:p>
        </w:tc>
        <w:tc>
          <w:tcPr>
            <w:tcW w:w="9073"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32BA8501" w14:textId="77777777" w:rsidR="0054569B" w:rsidRPr="00503189" w:rsidRDefault="0054569B" w:rsidP="00576EA7">
            <w:pPr>
              <w:rPr>
                <w:b/>
                <w:bCs/>
                <w:sz w:val="20"/>
                <w:szCs w:val="20"/>
              </w:rPr>
            </w:pPr>
            <w:r w:rsidRPr="00503189">
              <w:rPr>
                <w:b/>
                <w:bCs/>
                <w:sz w:val="20"/>
                <w:szCs w:val="20"/>
              </w:rPr>
              <w:t>Comment</w:t>
            </w:r>
          </w:p>
        </w:tc>
        <w:tc>
          <w:tcPr>
            <w:tcW w:w="170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388D515A" w14:textId="77777777" w:rsidR="0054569B" w:rsidRPr="00503189" w:rsidRDefault="0054569B" w:rsidP="00576EA7">
            <w:pPr>
              <w:rPr>
                <w:b/>
                <w:bCs/>
                <w:sz w:val="20"/>
                <w:szCs w:val="20"/>
              </w:rPr>
            </w:pPr>
            <w:r w:rsidRPr="00503189">
              <w:rPr>
                <w:b/>
                <w:bCs/>
                <w:sz w:val="20"/>
                <w:szCs w:val="20"/>
              </w:rPr>
              <w:t>Page #</w:t>
            </w:r>
          </w:p>
        </w:tc>
      </w:tr>
      <w:tr w:rsidR="0054569B" w:rsidRPr="00503189" w14:paraId="19C7B6A3"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0815867D" w14:textId="77777777" w:rsidR="0054569B" w:rsidRPr="00503189" w:rsidRDefault="0054569B" w:rsidP="00576EA7">
            <w:pPr>
              <w:rPr>
                <w:sz w:val="20"/>
                <w:szCs w:val="20"/>
              </w:rPr>
            </w:pPr>
            <w:r w:rsidRPr="00503189">
              <w:rPr>
                <w:sz w:val="20"/>
                <w:szCs w:val="20"/>
              </w:rPr>
              <w:t>Are the administrative processes (e.g. the NRV development process and associated governance, principles and procedures) documented and publicly available?</w:t>
            </w:r>
          </w:p>
        </w:tc>
        <w:tc>
          <w:tcPr>
            <w:tcW w:w="992" w:type="dxa"/>
            <w:tcBorders>
              <w:top w:val="single" w:sz="4" w:space="0" w:color="auto"/>
              <w:left w:val="single" w:sz="4" w:space="0" w:color="auto"/>
              <w:bottom w:val="single" w:sz="4" w:space="0" w:color="auto"/>
              <w:right w:val="single" w:sz="4" w:space="0" w:color="auto"/>
            </w:tcBorders>
            <w:vAlign w:val="center"/>
          </w:tcPr>
          <w:p w14:paraId="3CD51206" w14:textId="77777777" w:rsidR="0054569B" w:rsidRPr="00503189" w:rsidRDefault="0054569B" w:rsidP="00576EA7">
            <w:pPr>
              <w:rPr>
                <w:sz w:val="20"/>
                <w:szCs w:val="20"/>
              </w:rPr>
            </w:pPr>
            <w:r w:rsidRPr="00503189">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552134E3" w14:textId="77777777" w:rsidR="0054569B" w:rsidRPr="00503189" w:rsidRDefault="0054569B" w:rsidP="00576EA7">
            <w:pPr>
              <w:rPr>
                <w:sz w:val="20"/>
                <w:szCs w:val="20"/>
              </w:rPr>
            </w:pPr>
            <w:r w:rsidRPr="00503189">
              <w:rPr>
                <w:sz w:val="20"/>
                <w:szCs w:val="20"/>
              </w:rPr>
              <w:t>Yes – they’ve outlined their methodologies associated with assessment in detail.</w:t>
            </w:r>
          </w:p>
        </w:tc>
        <w:tc>
          <w:tcPr>
            <w:tcW w:w="1701" w:type="dxa"/>
            <w:tcBorders>
              <w:top w:val="single" w:sz="4" w:space="0" w:color="auto"/>
              <w:left w:val="single" w:sz="4" w:space="0" w:color="auto"/>
              <w:bottom w:val="single" w:sz="4" w:space="0" w:color="auto"/>
              <w:right w:val="single" w:sz="8" w:space="0" w:color="auto"/>
            </w:tcBorders>
            <w:vAlign w:val="center"/>
          </w:tcPr>
          <w:p w14:paraId="75F6D7F5" w14:textId="77777777" w:rsidR="0054569B" w:rsidRPr="00503189" w:rsidRDefault="0054569B" w:rsidP="00576EA7">
            <w:pPr>
              <w:rPr>
                <w:sz w:val="20"/>
                <w:szCs w:val="20"/>
              </w:rPr>
            </w:pPr>
          </w:p>
        </w:tc>
      </w:tr>
      <w:tr w:rsidR="0054569B" w:rsidRPr="00503189" w14:paraId="426205BE" w14:textId="77777777" w:rsidTr="00C577A7">
        <w:trPr>
          <w:cantSplit/>
        </w:trPr>
        <w:tc>
          <w:tcPr>
            <w:tcW w:w="3686" w:type="dxa"/>
            <w:tcBorders>
              <w:top w:val="single" w:sz="8" w:space="0" w:color="auto"/>
              <w:left w:val="single" w:sz="4" w:space="0" w:color="auto"/>
              <w:bottom w:val="single" w:sz="4" w:space="0" w:color="auto"/>
              <w:right w:val="single" w:sz="4" w:space="0" w:color="auto"/>
            </w:tcBorders>
            <w:vAlign w:val="center"/>
            <w:hideMark/>
          </w:tcPr>
          <w:p w14:paraId="1DB63C98" w14:textId="77777777" w:rsidR="0054569B" w:rsidRPr="00503189" w:rsidRDefault="0054569B" w:rsidP="00576EA7">
            <w:pPr>
              <w:rPr>
                <w:sz w:val="20"/>
                <w:szCs w:val="20"/>
              </w:rPr>
            </w:pPr>
            <w:r w:rsidRPr="00503189">
              <w:rPr>
                <w:sz w:val="20"/>
                <w:szCs w:val="20"/>
              </w:rPr>
              <w:t>Are the key stages of the organisation’s NRV development processes compatible with NHMRC processes? (i.e., relevant and useful, transparent, overseen by a guideline development group/committee,</w:t>
            </w:r>
            <w:r w:rsidRPr="00503189">
              <w:rPr>
                <w:color w:val="FF0000"/>
                <w:sz w:val="20"/>
                <w:szCs w:val="20"/>
              </w:rPr>
              <w:t xml:space="preserve"> </w:t>
            </w:r>
            <w:r w:rsidRPr="00503189">
              <w:rPr>
                <w:sz w:val="20"/>
                <w:szCs w:val="20"/>
              </w:rPr>
              <w:t>COI management, focussed on health-related outcomes, evidence informed, actionable recs, up to date and accessible)</w:t>
            </w:r>
          </w:p>
        </w:tc>
        <w:tc>
          <w:tcPr>
            <w:tcW w:w="992" w:type="dxa"/>
            <w:tcBorders>
              <w:top w:val="single" w:sz="8" w:space="0" w:color="auto"/>
              <w:left w:val="single" w:sz="4" w:space="0" w:color="auto"/>
              <w:bottom w:val="single" w:sz="4" w:space="0" w:color="auto"/>
              <w:right w:val="single" w:sz="4" w:space="0" w:color="auto"/>
            </w:tcBorders>
            <w:vAlign w:val="center"/>
          </w:tcPr>
          <w:p w14:paraId="733F6197" w14:textId="77777777" w:rsidR="0054569B" w:rsidRPr="00503189" w:rsidRDefault="0054569B" w:rsidP="00576EA7">
            <w:pPr>
              <w:rPr>
                <w:sz w:val="20"/>
                <w:szCs w:val="20"/>
              </w:rPr>
            </w:pPr>
            <w:r w:rsidRPr="00503189">
              <w:rPr>
                <w:sz w:val="20"/>
                <w:szCs w:val="20"/>
              </w:rPr>
              <w:t>Yes</w:t>
            </w:r>
          </w:p>
        </w:tc>
        <w:tc>
          <w:tcPr>
            <w:tcW w:w="9073" w:type="dxa"/>
            <w:tcBorders>
              <w:top w:val="single" w:sz="8" w:space="0" w:color="auto"/>
              <w:left w:val="single" w:sz="4" w:space="0" w:color="auto"/>
              <w:bottom w:val="single" w:sz="4" w:space="0" w:color="auto"/>
              <w:right w:val="single" w:sz="8" w:space="0" w:color="auto"/>
            </w:tcBorders>
            <w:vAlign w:val="center"/>
          </w:tcPr>
          <w:p w14:paraId="618FDDE8" w14:textId="77777777" w:rsidR="0054569B" w:rsidRPr="00503189" w:rsidRDefault="0054569B" w:rsidP="00576EA7">
            <w:pPr>
              <w:rPr>
                <w:sz w:val="20"/>
                <w:szCs w:val="20"/>
              </w:rPr>
            </w:pPr>
            <w:r w:rsidRPr="00503189">
              <w:rPr>
                <w:sz w:val="20"/>
                <w:szCs w:val="20"/>
              </w:rPr>
              <w:t>It is broadly compatible with NHMRC 2016 Standards: Relevant and useful, transparent, overseen by a Guideline Development Group, Conflicts of Interest (COI) management procedures, focussed on health-related outcomes, evidence informed, actionable recommendations, up to date and accessible.</w:t>
            </w:r>
          </w:p>
        </w:tc>
        <w:tc>
          <w:tcPr>
            <w:tcW w:w="1701" w:type="dxa"/>
            <w:tcBorders>
              <w:top w:val="single" w:sz="8" w:space="0" w:color="auto"/>
              <w:left w:val="single" w:sz="4" w:space="0" w:color="auto"/>
              <w:bottom w:val="single" w:sz="4" w:space="0" w:color="auto"/>
              <w:right w:val="single" w:sz="8" w:space="0" w:color="auto"/>
            </w:tcBorders>
            <w:vAlign w:val="center"/>
          </w:tcPr>
          <w:p w14:paraId="6740F774" w14:textId="77777777" w:rsidR="0054569B" w:rsidRPr="00503189" w:rsidRDefault="0054569B" w:rsidP="00576EA7">
            <w:pPr>
              <w:rPr>
                <w:sz w:val="20"/>
                <w:szCs w:val="20"/>
              </w:rPr>
            </w:pPr>
          </w:p>
        </w:tc>
      </w:tr>
      <w:tr w:rsidR="0054569B" w:rsidRPr="00503189" w14:paraId="13B96BF3"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45831361" w14:textId="77777777" w:rsidR="0054569B" w:rsidRPr="00503189" w:rsidRDefault="0054569B" w:rsidP="00576EA7">
            <w:pPr>
              <w:rPr>
                <w:sz w:val="20"/>
                <w:szCs w:val="20"/>
              </w:rPr>
            </w:pPr>
            <w:r w:rsidRPr="00503189">
              <w:rPr>
                <w:sz w:val="20"/>
                <w:szCs w:val="20"/>
              </w:rPr>
              <w:t xml:space="preserve">Was the work overseen by an expert advisory committee? </w:t>
            </w:r>
          </w:p>
        </w:tc>
        <w:tc>
          <w:tcPr>
            <w:tcW w:w="992" w:type="dxa"/>
            <w:tcBorders>
              <w:top w:val="single" w:sz="4" w:space="0" w:color="auto"/>
              <w:left w:val="single" w:sz="4" w:space="0" w:color="auto"/>
              <w:bottom w:val="single" w:sz="4" w:space="0" w:color="auto"/>
              <w:right w:val="single" w:sz="4" w:space="0" w:color="auto"/>
            </w:tcBorders>
            <w:vAlign w:val="center"/>
          </w:tcPr>
          <w:p w14:paraId="508B4368" w14:textId="77777777" w:rsidR="0054569B" w:rsidRPr="00503189" w:rsidRDefault="0054569B" w:rsidP="00576EA7">
            <w:pPr>
              <w:rPr>
                <w:sz w:val="20"/>
                <w:szCs w:val="20"/>
              </w:rPr>
            </w:pPr>
            <w:r w:rsidRPr="00503189">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09A5DE73" w14:textId="77777777" w:rsidR="0054569B" w:rsidRPr="00503189" w:rsidRDefault="0054569B" w:rsidP="00576EA7">
            <w:pPr>
              <w:rPr>
                <w:sz w:val="20"/>
                <w:szCs w:val="20"/>
              </w:rPr>
            </w:pPr>
            <w:r w:rsidRPr="00503189">
              <w:rPr>
                <w:sz w:val="20"/>
                <w:szCs w:val="20"/>
              </w:rPr>
              <w:t>European Food Safety Authority NDA Panel – Panel members are listed</w:t>
            </w:r>
          </w:p>
        </w:tc>
        <w:tc>
          <w:tcPr>
            <w:tcW w:w="1701" w:type="dxa"/>
            <w:tcBorders>
              <w:top w:val="single" w:sz="4" w:space="0" w:color="auto"/>
              <w:left w:val="single" w:sz="4" w:space="0" w:color="auto"/>
              <w:bottom w:val="single" w:sz="4" w:space="0" w:color="auto"/>
              <w:right w:val="single" w:sz="8" w:space="0" w:color="auto"/>
            </w:tcBorders>
            <w:vAlign w:val="center"/>
          </w:tcPr>
          <w:p w14:paraId="3B53AA4F" w14:textId="77777777" w:rsidR="0054569B" w:rsidRPr="00503189" w:rsidRDefault="0054569B" w:rsidP="00576EA7">
            <w:pPr>
              <w:rPr>
                <w:sz w:val="20"/>
                <w:szCs w:val="20"/>
              </w:rPr>
            </w:pPr>
            <w:r w:rsidRPr="00503189">
              <w:rPr>
                <w:sz w:val="20"/>
                <w:szCs w:val="20"/>
              </w:rPr>
              <w:t>2</w:t>
            </w:r>
          </w:p>
        </w:tc>
      </w:tr>
      <w:tr w:rsidR="0054569B" w:rsidRPr="00503189" w14:paraId="50CD56FF"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4B6EF52F" w14:textId="77777777" w:rsidR="0054569B" w:rsidRPr="00503189" w:rsidRDefault="0054569B" w:rsidP="00576EA7">
            <w:pPr>
              <w:rPr>
                <w:sz w:val="20"/>
                <w:szCs w:val="20"/>
              </w:rPr>
            </w:pPr>
            <w:r w:rsidRPr="00503189">
              <w:rPr>
                <w:sz w:val="20"/>
                <w:szCs w:val="20"/>
              </w:rPr>
              <w:t>Are potential conflicts of interest of committee members declared, managed and/or reported?</w:t>
            </w:r>
          </w:p>
        </w:tc>
        <w:tc>
          <w:tcPr>
            <w:tcW w:w="992" w:type="dxa"/>
            <w:tcBorders>
              <w:top w:val="single" w:sz="4" w:space="0" w:color="auto"/>
              <w:left w:val="single" w:sz="4" w:space="0" w:color="auto"/>
              <w:bottom w:val="single" w:sz="4" w:space="0" w:color="auto"/>
              <w:right w:val="single" w:sz="4" w:space="0" w:color="auto"/>
            </w:tcBorders>
            <w:vAlign w:val="center"/>
          </w:tcPr>
          <w:p w14:paraId="7AC0F6D8" w14:textId="77777777" w:rsidR="0054569B" w:rsidRPr="00503189" w:rsidRDefault="0054569B" w:rsidP="00576EA7">
            <w:pPr>
              <w:rPr>
                <w:sz w:val="20"/>
                <w:szCs w:val="20"/>
              </w:rPr>
            </w:pPr>
            <w:r w:rsidRPr="00503189">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57CAB673" w14:textId="29C8470A" w:rsidR="0054569B" w:rsidRPr="00503189" w:rsidRDefault="0054569B" w:rsidP="00576EA7">
            <w:pPr>
              <w:rPr>
                <w:sz w:val="20"/>
                <w:szCs w:val="20"/>
              </w:rPr>
            </w:pPr>
            <w:hyperlink r:id="rId199" w:history="1">
              <w:r w:rsidRPr="00503189">
                <w:rPr>
                  <w:rStyle w:val="Hyperlink"/>
                  <w:rFonts w:asciiTheme="minorHAnsi" w:hAnsiTheme="minorHAnsi"/>
                  <w:sz w:val="20"/>
                  <w:szCs w:val="20"/>
                </w:rPr>
                <w:t>Open EFSA (europa.eu)</w:t>
              </w:r>
            </w:hyperlink>
            <w:r w:rsidRPr="00503189">
              <w:rPr>
                <w:sz w:val="20"/>
                <w:szCs w:val="20"/>
              </w:rPr>
              <w:t xml:space="preserve">. Management policies for COI are found </w:t>
            </w:r>
            <w:hyperlink r:id="rId200" w:history="1">
              <w:r w:rsidRPr="00503189">
                <w:rPr>
                  <w:rStyle w:val="Hyperlink"/>
                  <w:rFonts w:asciiTheme="minorHAnsi" w:hAnsiTheme="minorHAnsi"/>
                  <w:sz w:val="20"/>
                  <w:szCs w:val="20"/>
                  <w:lang w:val="en-GB"/>
                </w:rPr>
                <w:t>Here</w:t>
              </w:r>
            </w:hyperlink>
            <w:r w:rsidRPr="00503189">
              <w:rPr>
                <w:sz w:val="20"/>
                <w:szCs w:val="20"/>
                <w:lang w:val="en-GB"/>
              </w:rPr>
              <w:t xml:space="preserve">. </w:t>
            </w:r>
            <w:r w:rsidRPr="00503189">
              <w:rPr>
                <w:rFonts w:cs="Calibri"/>
                <w:sz w:val="20"/>
                <w:szCs w:val="20"/>
                <w:lang w:val="en-GB"/>
              </w:rPr>
              <w:t>Some Declarations of Interest for some ex-members are not publicly available anymore (more than 5 years old).</w:t>
            </w:r>
          </w:p>
        </w:tc>
        <w:tc>
          <w:tcPr>
            <w:tcW w:w="1701" w:type="dxa"/>
            <w:tcBorders>
              <w:top w:val="single" w:sz="4" w:space="0" w:color="auto"/>
              <w:left w:val="single" w:sz="4" w:space="0" w:color="auto"/>
              <w:bottom w:val="single" w:sz="4" w:space="0" w:color="auto"/>
              <w:right w:val="single" w:sz="8" w:space="0" w:color="auto"/>
            </w:tcBorders>
            <w:vAlign w:val="center"/>
          </w:tcPr>
          <w:p w14:paraId="16C64EE5" w14:textId="77777777" w:rsidR="0054569B" w:rsidRPr="00503189" w:rsidRDefault="0054569B" w:rsidP="00576EA7">
            <w:pPr>
              <w:rPr>
                <w:sz w:val="20"/>
                <w:szCs w:val="20"/>
              </w:rPr>
            </w:pPr>
            <w:r w:rsidRPr="00503189">
              <w:rPr>
                <w:sz w:val="20"/>
                <w:szCs w:val="20"/>
              </w:rPr>
              <w:t>2</w:t>
            </w:r>
          </w:p>
        </w:tc>
      </w:tr>
      <w:tr w:rsidR="0054569B" w:rsidRPr="00503189" w14:paraId="396FCB1E"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708F4A21" w14:textId="77777777" w:rsidR="0054569B" w:rsidRPr="00503189" w:rsidRDefault="0054569B" w:rsidP="00576EA7">
            <w:pPr>
              <w:rPr>
                <w:sz w:val="20"/>
                <w:szCs w:val="20"/>
              </w:rPr>
            </w:pPr>
            <w:r w:rsidRPr="00503189">
              <w:rPr>
                <w:sz w:val="20"/>
                <w:szCs w:val="20"/>
              </w:rPr>
              <w:lastRenderedPageBreak/>
              <w:t>Are funding sources declared?</w:t>
            </w:r>
          </w:p>
        </w:tc>
        <w:tc>
          <w:tcPr>
            <w:tcW w:w="992" w:type="dxa"/>
            <w:tcBorders>
              <w:top w:val="single" w:sz="4" w:space="0" w:color="auto"/>
              <w:left w:val="single" w:sz="4" w:space="0" w:color="auto"/>
              <w:bottom w:val="single" w:sz="4" w:space="0" w:color="auto"/>
              <w:right w:val="single" w:sz="4" w:space="0" w:color="auto"/>
            </w:tcBorders>
            <w:vAlign w:val="center"/>
          </w:tcPr>
          <w:p w14:paraId="441BB77E" w14:textId="77777777" w:rsidR="0054569B" w:rsidRPr="00503189" w:rsidRDefault="0054569B" w:rsidP="00576EA7">
            <w:pPr>
              <w:rPr>
                <w:sz w:val="20"/>
                <w:szCs w:val="20"/>
              </w:rPr>
            </w:pPr>
            <w:r w:rsidRPr="00503189">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765B3F00" w14:textId="336710F1" w:rsidR="0054569B" w:rsidRPr="00503189" w:rsidRDefault="0054569B" w:rsidP="00576EA7">
            <w:pPr>
              <w:rPr>
                <w:sz w:val="20"/>
                <w:szCs w:val="20"/>
              </w:rPr>
            </w:pPr>
            <w:r w:rsidRPr="00503189">
              <w:rPr>
                <w:sz w:val="20"/>
                <w:szCs w:val="20"/>
              </w:rPr>
              <w:t xml:space="preserve">It is noted that this report was requested by the European Commission. </w:t>
            </w:r>
            <w:r w:rsidRPr="00503189">
              <w:rPr>
                <w:sz w:val="20"/>
                <w:szCs w:val="20"/>
                <w:lang w:val="en-GB"/>
              </w:rPr>
              <w:t xml:space="preserve">EFSA, as an agency of the European Union, is strictly funded by public funds, almost entirely from the EU budget. Budget is published annually here: </w:t>
            </w:r>
            <w:hyperlink r:id="rId201" w:history="1">
              <w:r w:rsidRPr="00503189">
                <w:rPr>
                  <w:rStyle w:val="Hyperlink"/>
                  <w:rFonts w:asciiTheme="minorHAnsi" w:hAnsiTheme="minorHAnsi"/>
                  <w:sz w:val="20"/>
                  <w:szCs w:val="20"/>
                  <w:lang w:val="en-GB"/>
                </w:rPr>
                <w:t>Statement of revenue and expenditure for the 2023 financial year</w:t>
              </w:r>
            </w:hyperlink>
          </w:p>
          <w:p w14:paraId="258CE839" w14:textId="77777777" w:rsidR="0054569B" w:rsidRPr="00503189" w:rsidRDefault="0054569B" w:rsidP="00576EA7">
            <w:pPr>
              <w:rPr>
                <w:sz w:val="20"/>
                <w:szCs w:val="20"/>
              </w:rPr>
            </w:pPr>
          </w:p>
        </w:tc>
        <w:tc>
          <w:tcPr>
            <w:tcW w:w="1701" w:type="dxa"/>
            <w:tcBorders>
              <w:top w:val="single" w:sz="4" w:space="0" w:color="auto"/>
              <w:left w:val="single" w:sz="4" w:space="0" w:color="auto"/>
              <w:bottom w:val="single" w:sz="4" w:space="0" w:color="auto"/>
              <w:right w:val="single" w:sz="8" w:space="0" w:color="auto"/>
            </w:tcBorders>
            <w:vAlign w:val="center"/>
          </w:tcPr>
          <w:p w14:paraId="29B5AB0D" w14:textId="77777777" w:rsidR="0054569B" w:rsidRPr="00503189" w:rsidRDefault="0054569B" w:rsidP="00576EA7">
            <w:pPr>
              <w:rPr>
                <w:sz w:val="20"/>
                <w:szCs w:val="20"/>
              </w:rPr>
            </w:pPr>
          </w:p>
        </w:tc>
      </w:tr>
      <w:tr w:rsidR="0054569B" w:rsidRPr="00503189" w14:paraId="2ADD066E"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10D01CFC" w14:textId="77777777" w:rsidR="0054569B" w:rsidRPr="00503189" w:rsidRDefault="0054569B" w:rsidP="00576EA7">
            <w:pPr>
              <w:rPr>
                <w:sz w:val="20"/>
                <w:szCs w:val="20"/>
              </w:rPr>
            </w:pPr>
            <w:r w:rsidRPr="00503189">
              <w:rPr>
                <w:sz w:val="20"/>
                <w:szCs w:val="20"/>
              </w:rPr>
              <w:t>Was there public consultation on this work? if yes, is the public consultation documented and/or published?</w:t>
            </w:r>
          </w:p>
        </w:tc>
        <w:tc>
          <w:tcPr>
            <w:tcW w:w="992" w:type="dxa"/>
            <w:tcBorders>
              <w:top w:val="single" w:sz="4" w:space="0" w:color="auto"/>
              <w:left w:val="single" w:sz="4" w:space="0" w:color="auto"/>
              <w:bottom w:val="single" w:sz="4" w:space="0" w:color="auto"/>
              <w:right w:val="single" w:sz="4" w:space="0" w:color="auto"/>
            </w:tcBorders>
            <w:vAlign w:val="center"/>
          </w:tcPr>
          <w:p w14:paraId="1AF4B648" w14:textId="77777777" w:rsidR="0054569B" w:rsidRPr="00503189" w:rsidRDefault="0054569B" w:rsidP="00576EA7">
            <w:pPr>
              <w:rPr>
                <w:sz w:val="20"/>
                <w:szCs w:val="20"/>
              </w:rPr>
            </w:pPr>
            <w:r w:rsidRPr="00503189">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3901AD9E" w14:textId="77777777" w:rsidR="0054569B" w:rsidRPr="00503189" w:rsidRDefault="0054569B" w:rsidP="00576EA7">
            <w:pPr>
              <w:rPr>
                <w:sz w:val="20"/>
                <w:szCs w:val="20"/>
              </w:rPr>
            </w:pPr>
            <w:r w:rsidRPr="00503189">
              <w:rPr>
                <w:sz w:val="20"/>
                <w:szCs w:val="20"/>
              </w:rPr>
              <w:t>Yes – September 2017 and 3 April to 22 May 2019.</w:t>
            </w:r>
          </w:p>
          <w:p w14:paraId="106E487D" w14:textId="21B2EB5E" w:rsidR="0054569B" w:rsidRPr="00503189" w:rsidRDefault="0054569B" w:rsidP="00576EA7">
            <w:pPr>
              <w:rPr>
                <w:sz w:val="20"/>
                <w:szCs w:val="20"/>
              </w:rPr>
            </w:pPr>
            <w:r w:rsidRPr="00503189">
              <w:rPr>
                <w:sz w:val="20"/>
                <w:szCs w:val="20"/>
              </w:rPr>
              <w:t xml:space="preserve">Outcomes available here: </w:t>
            </w:r>
            <w:hyperlink r:id="rId202" w:history="1">
              <w:r w:rsidRPr="00503189">
                <w:rPr>
                  <w:rStyle w:val="Hyperlink"/>
                  <w:rFonts w:asciiTheme="minorHAnsi" w:hAnsiTheme="minorHAnsi"/>
                  <w:sz w:val="20"/>
                  <w:szCs w:val="20"/>
                </w:rPr>
                <w:t>https://www.efsa.europa.eu/en/supporting/pub/en-1679</w:t>
              </w:r>
            </w:hyperlink>
            <w:r w:rsidRPr="00503189">
              <w:rPr>
                <w:sz w:val="20"/>
                <w:szCs w:val="20"/>
              </w:rPr>
              <w:t xml:space="preserve"> </w:t>
            </w:r>
          </w:p>
        </w:tc>
        <w:tc>
          <w:tcPr>
            <w:tcW w:w="1701" w:type="dxa"/>
            <w:tcBorders>
              <w:top w:val="single" w:sz="4" w:space="0" w:color="auto"/>
              <w:left w:val="single" w:sz="4" w:space="0" w:color="auto"/>
              <w:bottom w:val="single" w:sz="4" w:space="0" w:color="auto"/>
              <w:right w:val="single" w:sz="8" w:space="0" w:color="auto"/>
            </w:tcBorders>
            <w:vAlign w:val="center"/>
          </w:tcPr>
          <w:p w14:paraId="71DF9ED3" w14:textId="77777777" w:rsidR="0054569B" w:rsidRPr="00503189" w:rsidRDefault="0054569B" w:rsidP="00576EA7">
            <w:pPr>
              <w:rPr>
                <w:sz w:val="20"/>
                <w:szCs w:val="20"/>
              </w:rPr>
            </w:pPr>
            <w:r w:rsidRPr="00503189">
              <w:rPr>
                <w:sz w:val="20"/>
                <w:szCs w:val="20"/>
              </w:rPr>
              <w:t>9</w:t>
            </w:r>
          </w:p>
        </w:tc>
      </w:tr>
      <w:tr w:rsidR="0054569B" w:rsidRPr="00503189" w14:paraId="10549892"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7C4C7483" w14:textId="77777777" w:rsidR="0054569B" w:rsidRPr="00503189" w:rsidRDefault="0054569B" w:rsidP="00576EA7">
            <w:pPr>
              <w:rPr>
                <w:sz w:val="20"/>
                <w:szCs w:val="20"/>
              </w:rPr>
            </w:pPr>
            <w:r w:rsidRPr="00503189">
              <w:rPr>
                <w:sz w:val="20"/>
                <w:szCs w:val="20"/>
              </w:rPr>
              <w:t>Was the guidance/advice developed or updated recently?</w:t>
            </w:r>
          </w:p>
        </w:tc>
        <w:tc>
          <w:tcPr>
            <w:tcW w:w="992" w:type="dxa"/>
            <w:tcBorders>
              <w:top w:val="single" w:sz="4" w:space="0" w:color="auto"/>
              <w:left w:val="single" w:sz="4" w:space="0" w:color="auto"/>
              <w:bottom w:val="single" w:sz="4" w:space="0" w:color="auto"/>
              <w:right w:val="single" w:sz="4" w:space="0" w:color="auto"/>
            </w:tcBorders>
            <w:vAlign w:val="center"/>
          </w:tcPr>
          <w:p w14:paraId="1C1EBB88" w14:textId="77777777" w:rsidR="0054569B" w:rsidRPr="00503189" w:rsidRDefault="0054569B" w:rsidP="00576EA7">
            <w:pPr>
              <w:rPr>
                <w:sz w:val="20"/>
                <w:szCs w:val="20"/>
              </w:rPr>
            </w:pPr>
            <w:r w:rsidRPr="00503189">
              <w:rPr>
                <w:sz w:val="20"/>
                <w:szCs w:val="20"/>
              </w:rPr>
              <w:t>Yes</w:t>
            </w:r>
          </w:p>
        </w:tc>
        <w:tc>
          <w:tcPr>
            <w:tcW w:w="9073" w:type="dxa"/>
            <w:tcBorders>
              <w:top w:val="single" w:sz="4" w:space="0" w:color="auto"/>
              <w:left w:val="single" w:sz="4" w:space="0" w:color="auto"/>
              <w:bottom w:val="single" w:sz="4" w:space="0" w:color="auto"/>
              <w:right w:val="single" w:sz="8" w:space="0" w:color="auto"/>
            </w:tcBorders>
            <w:vAlign w:val="center"/>
          </w:tcPr>
          <w:p w14:paraId="620D0049" w14:textId="190D6379" w:rsidR="0054569B" w:rsidRPr="00503189" w:rsidRDefault="0054569B" w:rsidP="00576EA7">
            <w:pPr>
              <w:rPr>
                <w:sz w:val="20"/>
                <w:szCs w:val="20"/>
              </w:rPr>
            </w:pPr>
            <w:r w:rsidRPr="00503189">
              <w:rPr>
                <w:sz w:val="20"/>
                <w:szCs w:val="20"/>
              </w:rPr>
              <w:t>2019 – within 5 years</w:t>
            </w:r>
            <w:r w:rsidR="00990882">
              <w:rPr>
                <w:sz w:val="20"/>
                <w:szCs w:val="20"/>
              </w:rPr>
              <w:t xml:space="preserve"> of checklist completion.</w:t>
            </w:r>
          </w:p>
        </w:tc>
        <w:tc>
          <w:tcPr>
            <w:tcW w:w="1701" w:type="dxa"/>
            <w:tcBorders>
              <w:top w:val="single" w:sz="4" w:space="0" w:color="auto"/>
              <w:left w:val="single" w:sz="4" w:space="0" w:color="auto"/>
              <w:bottom w:val="single" w:sz="4" w:space="0" w:color="auto"/>
              <w:right w:val="single" w:sz="8" w:space="0" w:color="auto"/>
            </w:tcBorders>
            <w:vAlign w:val="center"/>
          </w:tcPr>
          <w:p w14:paraId="27D0CCFC" w14:textId="77777777" w:rsidR="0054569B" w:rsidRPr="00503189" w:rsidRDefault="0054569B" w:rsidP="00576EA7">
            <w:pPr>
              <w:rPr>
                <w:sz w:val="20"/>
                <w:szCs w:val="20"/>
              </w:rPr>
            </w:pPr>
          </w:p>
        </w:tc>
      </w:tr>
    </w:tbl>
    <w:p w14:paraId="489C067E" w14:textId="786D1A0D" w:rsidR="0054569B" w:rsidRDefault="0054569B" w:rsidP="005338A3">
      <w:pPr>
        <w:pStyle w:val="Heading3"/>
        <w:spacing w:before="240"/>
      </w:pPr>
      <w:bookmarkStart w:id="122" w:name="_Toc234960894"/>
      <w:r w:rsidRPr="009302BB">
        <w:t xml:space="preserve">Evidence </w:t>
      </w:r>
      <w:proofErr w:type="gramStart"/>
      <w:r w:rsidRPr="009302BB">
        <w:t>review</w:t>
      </w:r>
      <w:proofErr w:type="gramEnd"/>
      <w:r w:rsidRPr="009302BB">
        <w:t xml:space="preserve"> parameters</w:t>
      </w:r>
      <w:bookmarkEnd w:id="122"/>
    </w:p>
    <w:tbl>
      <w:tblPr>
        <w:tblStyle w:val="TableGrid1"/>
        <w:tblW w:w="15451" w:type="dxa"/>
        <w:tblInd w:w="-294"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686"/>
        <w:gridCol w:w="993"/>
        <w:gridCol w:w="9072"/>
        <w:gridCol w:w="1700"/>
      </w:tblGrid>
      <w:tr w:rsidR="0054569B" w:rsidRPr="00503189" w14:paraId="75C71348" w14:textId="77777777" w:rsidTr="00C577A7">
        <w:trPr>
          <w:cantSplit/>
          <w:tblHeader/>
        </w:trPr>
        <w:tc>
          <w:tcPr>
            <w:tcW w:w="368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24B1F9B9" w14:textId="77777777" w:rsidR="0054569B" w:rsidRPr="00503189" w:rsidRDefault="0054569B" w:rsidP="00576EA7">
            <w:pPr>
              <w:rPr>
                <w:b/>
                <w:bCs/>
                <w:sz w:val="20"/>
                <w:szCs w:val="20"/>
                <w:vertAlign w:val="superscript"/>
              </w:rPr>
            </w:pPr>
            <w:r w:rsidRPr="00503189">
              <w:rPr>
                <w:b/>
                <w:bCs/>
                <w:sz w:val="20"/>
                <w:szCs w:val="20"/>
              </w:rPr>
              <w:t>Criteria</w:t>
            </w:r>
          </w:p>
        </w:tc>
        <w:tc>
          <w:tcPr>
            <w:tcW w:w="993" w:type="dxa"/>
            <w:tcBorders>
              <w:top w:val="single" w:sz="8" w:space="0" w:color="auto"/>
              <w:left w:val="single" w:sz="4" w:space="0" w:color="auto"/>
              <w:bottom w:val="single" w:sz="8" w:space="0" w:color="auto"/>
              <w:right w:val="single" w:sz="8" w:space="0" w:color="auto"/>
            </w:tcBorders>
            <w:shd w:val="clear" w:color="auto" w:fill="BFBFBF" w:themeFill="background1" w:themeFillShade="BF"/>
            <w:vAlign w:val="center"/>
            <w:hideMark/>
          </w:tcPr>
          <w:p w14:paraId="5AC601E7" w14:textId="77777777" w:rsidR="0054569B" w:rsidRPr="00503189" w:rsidRDefault="0054569B" w:rsidP="00576EA7">
            <w:pPr>
              <w:rPr>
                <w:b/>
                <w:bCs/>
                <w:sz w:val="20"/>
                <w:szCs w:val="20"/>
              </w:rPr>
            </w:pPr>
            <w:r w:rsidRPr="00503189">
              <w:rPr>
                <w:b/>
                <w:bCs/>
                <w:sz w:val="20"/>
                <w:szCs w:val="20"/>
              </w:rPr>
              <w:t>Yes/No/NA</w:t>
            </w:r>
          </w:p>
        </w:tc>
        <w:tc>
          <w:tcPr>
            <w:tcW w:w="9072"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7943D0A2" w14:textId="77777777" w:rsidR="0054569B" w:rsidRPr="00503189" w:rsidRDefault="0054569B" w:rsidP="00576EA7">
            <w:pPr>
              <w:rPr>
                <w:b/>
                <w:bCs/>
                <w:sz w:val="20"/>
                <w:szCs w:val="20"/>
              </w:rPr>
            </w:pPr>
            <w:r w:rsidRPr="00503189">
              <w:rPr>
                <w:b/>
                <w:bCs/>
                <w:sz w:val="20"/>
                <w:szCs w:val="20"/>
              </w:rPr>
              <w:t>Comment</w:t>
            </w:r>
          </w:p>
        </w:tc>
        <w:tc>
          <w:tcPr>
            <w:tcW w:w="170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39A7CF43" w14:textId="77777777" w:rsidR="0054569B" w:rsidRPr="00503189" w:rsidRDefault="0054569B" w:rsidP="00576EA7">
            <w:pPr>
              <w:rPr>
                <w:b/>
                <w:bCs/>
                <w:sz w:val="20"/>
                <w:szCs w:val="20"/>
              </w:rPr>
            </w:pPr>
            <w:r w:rsidRPr="00503189">
              <w:rPr>
                <w:b/>
                <w:bCs/>
                <w:sz w:val="20"/>
                <w:szCs w:val="20"/>
              </w:rPr>
              <w:t>Page #</w:t>
            </w:r>
          </w:p>
        </w:tc>
      </w:tr>
      <w:tr w:rsidR="0054569B" w:rsidRPr="00503189" w14:paraId="4B0FA5C0" w14:textId="77777777" w:rsidTr="00C577A7">
        <w:trPr>
          <w:cantSplit/>
        </w:trPr>
        <w:tc>
          <w:tcPr>
            <w:tcW w:w="3686" w:type="dxa"/>
            <w:tcBorders>
              <w:top w:val="single" w:sz="8" w:space="0" w:color="auto"/>
              <w:left w:val="single" w:sz="4" w:space="0" w:color="auto"/>
              <w:bottom w:val="single" w:sz="4" w:space="0" w:color="auto"/>
              <w:right w:val="single" w:sz="4" w:space="0" w:color="auto"/>
            </w:tcBorders>
            <w:vAlign w:val="center"/>
            <w:hideMark/>
          </w:tcPr>
          <w:p w14:paraId="713B981B" w14:textId="77777777" w:rsidR="0054569B" w:rsidRPr="00503189" w:rsidRDefault="0054569B" w:rsidP="00576EA7">
            <w:pPr>
              <w:rPr>
                <w:sz w:val="20"/>
                <w:szCs w:val="20"/>
              </w:rPr>
            </w:pPr>
            <w:r w:rsidRPr="00503189">
              <w:rPr>
                <w:sz w:val="20"/>
                <w:szCs w:val="20"/>
              </w:rPr>
              <w:t>Are decisions about scope, definitions and evidence review parameters documented and publicly available?</w:t>
            </w:r>
          </w:p>
        </w:tc>
        <w:tc>
          <w:tcPr>
            <w:tcW w:w="993" w:type="dxa"/>
            <w:tcBorders>
              <w:top w:val="single" w:sz="8" w:space="0" w:color="auto"/>
              <w:left w:val="single" w:sz="4" w:space="0" w:color="auto"/>
              <w:bottom w:val="single" w:sz="4" w:space="0" w:color="auto"/>
              <w:right w:val="single" w:sz="4" w:space="0" w:color="auto"/>
            </w:tcBorders>
            <w:vAlign w:val="center"/>
          </w:tcPr>
          <w:p w14:paraId="164733D4" w14:textId="77777777" w:rsidR="0054569B" w:rsidRPr="00503189" w:rsidRDefault="0054569B" w:rsidP="00576EA7">
            <w:pPr>
              <w:rPr>
                <w:sz w:val="20"/>
                <w:szCs w:val="20"/>
              </w:rPr>
            </w:pPr>
            <w:r w:rsidRPr="00503189">
              <w:rPr>
                <w:sz w:val="20"/>
                <w:szCs w:val="20"/>
              </w:rPr>
              <w:t xml:space="preserve">Yes </w:t>
            </w:r>
          </w:p>
        </w:tc>
        <w:tc>
          <w:tcPr>
            <w:tcW w:w="9072" w:type="dxa"/>
            <w:tcBorders>
              <w:top w:val="single" w:sz="8" w:space="0" w:color="auto"/>
              <w:left w:val="single" w:sz="4" w:space="0" w:color="auto"/>
              <w:bottom w:val="single" w:sz="4" w:space="0" w:color="auto"/>
              <w:right w:val="single" w:sz="8" w:space="0" w:color="auto"/>
            </w:tcBorders>
            <w:vAlign w:val="center"/>
          </w:tcPr>
          <w:p w14:paraId="449C14C5" w14:textId="77777777" w:rsidR="0054569B" w:rsidRPr="00503189" w:rsidRDefault="0054569B" w:rsidP="00576EA7">
            <w:pPr>
              <w:rPr>
                <w:sz w:val="20"/>
                <w:szCs w:val="20"/>
              </w:rPr>
            </w:pPr>
            <w:proofErr w:type="gramStart"/>
            <w:r w:rsidRPr="00503189">
              <w:rPr>
                <w:sz w:val="20"/>
                <w:szCs w:val="20"/>
              </w:rPr>
              <w:t>Yes</w:t>
            </w:r>
            <w:proofErr w:type="gramEnd"/>
            <w:r w:rsidRPr="00503189">
              <w:rPr>
                <w:sz w:val="20"/>
                <w:szCs w:val="20"/>
              </w:rPr>
              <w:t xml:space="preserve"> they reviewed evidence from balance studies on sodium and on the relationship between sodium intake and health outcomes, in particular cardiovascular disease (CVD)-related endpoints and bone health, was reviewed. A protocol was published prior to the search.</w:t>
            </w:r>
          </w:p>
        </w:tc>
        <w:tc>
          <w:tcPr>
            <w:tcW w:w="1700" w:type="dxa"/>
            <w:tcBorders>
              <w:top w:val="single" w:sz="8" w:space="0" w:color="auto"/>
              <w:left w:val="single" w:sz="4" w:space="0" w:color="auto"/>
              <w:bottom w:val="single" w:sz="4" w:space="0" w:color="auto"/>
              <w:right w:val="single" w:sz="8" w:space="0" w:color="auto"/>
            </w:tcBorders>
            <w:vAlign w:val="center"/>
          </w:tcPr>
          <w:p w14:paraId="32D5B1B8" w14:textId="77777777" w:rsidR="0054569B" w:rsidRPr="00503189" w:rsidRDefault="0054569B" w:rsidP="00576EA7">
            <w:pPr>
              <w:rPr>
                <w:sz w:val="20"/>
                <w:szCs w:val="20"/>
              </w:rPr>
            </w:pPr>
          </w:p>
        </w:tc>
      </w:tr>
      <w:tr w:rsidR="0054569B" w:rsidRPr="00503189" w14:paraId="50F7DAE7"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tcPr>
          <w:p w14:paraId="3256A2A6" w14:textId="77777777" w:rsidR="0054569B" w:rsidRPr="00503189" w:rsidRDefault="0054569B" w:rsidP="00576EA7">
            <w:pPr>
              <w:rPr>
                <w:sz w:val="20"/>
                <w:szCs w:val="20"/>
              </w:rPr>
            </w:pPr>
            <w:r w:rsidRPr="00503189">
              <w:rPr>
                <w:sz w:val="20"/>
                <w:szCs w:val="20"/>
              </w:rPr>
              <w:t>Were clinical/research questions articulated and PICO criteria outlined appropriate to the topic?</w:t>
            </w:r>
          </w:p>
        </w:tc>
        <w:tc>
          <w:tcPr>
            <w:tcW w:w="993" w:type="dxa"/>
            <w:tcBorders>
              <w:top w:val="single" w:sz="4" w:space="0" w:color="auto"/>
              <w:left w:val="single" w:sz="4" w:space="0" w:color="auto"/>
              <w:bottom w:val="single" w:sz="4" w:space="0" w:color="auto"/>
              <w:right w:val="single" w:sz="4" w:space="0" w:color="auto"/>
            </w:tcBorders>
            <w:vAlign w:val="center"/>
          </w:tcPr>
          <w:p w14:paraId="40AA835C" w14:textId="77777777" w:rsidR="0054569B" w:rsidRPr="00503189" w:rsidRDefault="0054569B" w:rsidP="00576EA7">
            <w:pPr>
              <w:rPr>
                <w:sz w:val="20"/>
                <w:szCs w:val="20"/>
              </w:rPr>
            </w:pPr>
            <w:r w:rsidRPr="00503189">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687E3E15" w14:textId="77777777" w:rsidR="0054569B" w:rsidRPr="00503189" w:rsidRDefault="0054569B" w:rsidP="00576EA7">
            <w:pPr>
              <w:rPr>
                <w:sz w:val="20"/>
                <w:szCs w:val="20"/>
              </w:rPr>
            </w:pPr>
            <w:r w:rsidRPr="00503189">
              <w:rPr>
                <w:sz w:val="20"/>
                <w:szCs w:val="20"/>
              </w:rPr>
              <w:t xml:space="preserve">5 questions were articulated and are outlined in the protocol at Annex A. A PICO is outlined for each sub-question. </w:t>
            </w:r>
          </w:p>
        </w:tc>
        <w:tc>
          <w:tcPr>
            <w:tcW w:w="1700" w:type="dxa"/>
            <w:tcBorders>
              <w:top w:val="single" w:sz="4" w:space="0" w:color="auto"/>
              <w:left w:val="single" w:sz="4" w:space="0" w:color="auto"/>
              <w:bottom w:val="single" w:sz="4" w:space="0" w:color="auto"/>
              <w:right w:val="single" w:sz="8" w:space="0" w:color="auto"/>
            </w:tcBorders>
            <w:vAlign w:val="center"/>
          </w:tcPr>
          <w:p w14:paraId="4E20876A" w14:textId="77777777" w:rsidR="0054569B" w:rsidRPr="00503189" w:rsidRDefault="0054569B" w:rsidP="00576EA7">
            <w:pPr>
              <w:rPr>
                <w:sz w:val="20"/>
                <w:szCs w:val="20"/>
              </w:rPr>
            </w:pPr>
          </w:p>
        </w:tc>
      </w:tr>
      <w:tr w:rsidR="0054569B" w:rsidRPr="00503189" w14:paraId="30E514FB"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4F95B140" w14:textId="77777777" w:rsidR="0054569B" w:rsidRPr="00503189" w:rsidRDefault="0054569B" w:rsidP="00576EA7">
            <w:pPr>
              <w:rPr>
                <w:sz w:val="20"/>
                <w:szCs w:val="20"/>
              </w:rPr>
            </w:pPr>
            <w:r w:rsidRPr="00503189">
              <w:rPr>
                <w:sz w:val="20"/>
                <w:szCs w:val="20"/>
              </w:rPr>
              <w:t xml:space="preserve">Does the organisation use or adopt review findings or risk assessments from other organisations? </w:t>
            </w:r>
          </w:p>
        </w:tc>
        <w:tc>
          <w:tcPr>
            <w:tcW w:w="993" w:type="dxa"/>
            <w:tcBorders>
              <w:top w:val="single" w:sz="4" w:space="0" w:color="auto"/>
              <w:left w:val="single" w:sz="4" w:space="0" w:color="auto"/>
              <w:bottom w:val="single" w:sz="4" w:space="0" w:color="auto"/>
              <w:right w:val="single" w:sz="4" w:space="0" w:color="auto"/>
            </w:tcBorders>
            <w:vAlign w:val="center"/>
          </w:tcPr>
          <w:p w14:paraId="3CBDBC37" w14:textId="77777777" w:rsidR="0054569B" w:rsidRPr="00503189" w:rsidRDefault="0054569B" w:rsidP="00576EA7">
            <w:pPr>
              <w:rPr>
                <w:sz w:val="20"/>
                <w:szCs w:val="20"/>
              </w:rPr>
            </w:pPr>
            <w:r w:rsidRPr="00503189">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55EA6D42" w14:textId="77777777" w:rsidR="0054569B" w:rsidRPr="00503189" w:rsidRDefault="0054569B" w:rsidP="00576EA7">
            <w:pPr>
              <w:rPr>
                <w:sz w:val="20"/>
                <w:szCs w:val="20"/>
              </w:rPr>
            </w:pPr>
            <w:r w:rsidRPr="00503189">
              <w:rPr>
                <w:sz w:val="20"/>
                <w:szCs w:val="20"/>
              </w:rPr>
              <w:t>To inform its decisions, the Panel considered recent reports from national and international bodies (WHO, 2012a, 2012d, 2012c, 2012b; IOM, 2013; Nordic Council of Ministers, 2014), a preparatory systematic review which aimed to identify scientific data for this task (</w:t>
            </w:r>
            <w:proofErr w:type="spellStart"/>
            <w:r w:rsidRPr="00503189">
              <w:rPr>
                <w:sz w:val="20"/>
                <w:szCs w:val="20"/>
              </w:rPr>
              <w:t>Eeuwijk</w:t>
            </w:r>
            <w:proofErr w:type="spellEnd"/>
            <w:r w:rsidRPr="00503189">
              <w:rPr>
                <w:sz w:val="20"/>
                <w:szCs w:val="20"/>
              </w:rPr>
              <w:t xml:space="preserve"> et al., 2013), and recent systematic reviews and meta-analyses on selected health outcomes (see below). EFSA did undertake their own review for the derivation of NRVs. </w:t>
            </w:r>
          </w:p>
        </w:tc>
        <w:tc>
          <w:tcPr>
            <w:tcW w:w="1700" w:type="dxa"/>
            <w:tcBorders>
              <w:top w:val="single" w:sz="4" w:space="0" w:color="auto"/>
              <w:left w:val="single" w:sz="4" w:space="0" w:color="auto"/>
              <w:bottom w:val="single" w:sz="4" w:space="0" w:color="auto"/>
              <w:right w:val="single" w:sz="8" w:space="0" w:color="auto"/>
            </w:tcBorders>
            <w:vAlign w:val="center"/>
          </w:tcPr>
          <w:p w14:paraId="1D6E70AB" w14:textId="77777777" w:rsidR="0054569B" w:rsidRPr="00503189" w:rsidRDefault="0054569B" w:rsidP="00576EA7">
            <w:pPr>
              <w:rPr>
                <w:sz w:val="20"/>
                <w:szCs w:val="20"/>
              </w:rPr>
            </w:pPr>
            <w:r w:rsidRPr="00503189">
              <w:rPr>
                <w:sz w:val="20"/>
                <w:szCs w:val="20"/>
              </w:rPr>
              <w:t>8</w:t>
            </w:r>
          </w:p>
        </w:tc>
      </w:tr>
      <w:tr w:rsidR="0054569B" w:rsidRPr="00503189" w14:paraId="37AF47F2"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5F62B840" w14:textId="77777777" w:rsidR="0054569B" w:rsidRPr="00503189" w:rsidRDefault="0054569B" w:rsidP="00576EA7">
            <w:pPr>
              <w:rPr>
                <w:sz w:val="20"/>
                <w:szCs w:val="20"/>
              </w:rPr>
            </w:pPr>
            <w:r w:rsidRPr="00503189">
              <w:rPr>
                <w:sz w:val="20"/>
                <w:szCs w:val="20"/>
              </w:rPr>
              <w:t>what process was used to critically assess these external findings?</w:t>
            </w:r>
          </w:p>
        </w:tc>
        <w:tc>
          <w:tcPr>
            <w:tcW w:w="993" w:type="dxa"/>
            <w:tcBorders>
              <w:top w:val="single" w:sz="4" w:space="0" w:color="auto"/>
              <w:left w:val="single" w:sz="4" w:space="0" w:color="auto"/>
              <w:bottom w:val="single" w:sz="4" w:space="0" w:color="auto"/>
              <w:right w:val="single" w:sz="4" w:space="0" w:color="auto"/>
            </w:tcBorders>
            <w:vAlign w:val="center"/>
          </w:tcPr>
          <w:p w14:paraId="69434BA2" w14:textId="77777777" w:rsidR="0054569B" w:rsidRPr="00503189" w:rsidRDefault="0054569B" w:rsidP="00576EA7">
            <w:pPr>
              <w:rPr>
                <w:sz w:val="20"/>
                <w:szCs w:val="20"/>
              </w:rPr>
            </w:pPr>
            <w:r w:rsidRPr="00503189">
              <w:rPr>
                <w:sz w:val="20"/>
                <w:szCs w:val="20"/>
              </w:rPr>
              <w:t>n/a</w:t>
            </w:r>
          </w:p>
        </w:tc>
        <w:tc>
          <w:tcPr>
            <w:tcW w:w="9072" w:type="dxa"/>
            <w:tcBorders>
              <w:top w:val="single" w:sz="4" w:space="0" w:color="auto"/>
              <w:left w:val="single" w:sz="4" w:space="0" w:color="auto"/>
              <w:bottom w:val="single" w:sz="4" w:space="0" w:color="auto"/>
              <w:right w:val="single" w:sz="8" w:space="0" w:color="auto"/>
            </w:tcBorders>
            <w:vAlign w:val="center"/>
          </w:tcPr>
          <w:p w14:paraId="55B984A1" w14:textId="4F4CB080" w:rsidR="0054569B" w:rsidRPr="00503189" w:rsidRDefault="001B0198" w:rsidP="00576EA7">
            <w:pPr>
              <w:rPr>
                <w:sz w:val="20"/>
                <w:szCs w:val="20"/>
              </w:rPr>
            </w:pPr>
            <w:r>
              <w:rPr>
                <w:sz w:val="20"/>
                <w:szCs w:val="20"/>
              </w:rPr>
              <w:t>N/A – external findings were used to supplement findings from own review.</w:t>
            </w:r>
          </w:p>
        </w:tc>
        <w:tc>
          <w:tcPr>
            <w:tcW w:w="1700" w:type="dxa"/>
            <w:tcBorders>
              <w:top w:val="single" w:sz="4" w:space="0" w:color="auto"/>
              <w:left w:val="single" w:sz="4" w:space="0" w:color="auto"/>
              <w:bottom w:val="single" w:sz="4" w:space="0" w:color="auto"/>
              <w:right w:val="single" w:sz="8" w:space="0" w:color="auto"/>
            </w:tcBorders>
            <w:vAlign w:val="center"/>
          </w:tcPr>
          <w:p w14:paraId="4921FB37" w14:textId="77777777" w:rsidR="0054569B" w:rsidRPr="00503189" w:rsidRDefault="0054569B" w:rsidP="00576EA7">
            <w:pPr>
              <w:rPr>
                <w:sz w:val="20"/>
                <w:szCs w:val="20"/>
              </w:rPr>
            </w:pPr>
          </w:p>
        </w:tc>
      </w:tr>
      <w:tr w:rsidR="0054569B" w:rsidRPr="00503189" w14:paraId="555CA904"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tcPr>
          <w:p w14:paraId="5A67D605" w14:textId="77777777" w:rsidR="0054569B" w:rsidRPr="00503189" w:rsidRDefault="0054569B" w:rsidP="00576EA7">
            <w:pPr>
              <w:rPr>
                <w:sz w:val="20"/>
                <w:szCs w:val="20"/>
              </w:rPr>
            </w:pPr>
            <w:r w:rsidRPr="00503189">
              <w:rPr>
                <w:sz w:val="20"/>
                <w:szCs w:val="20"/>
              </w:rPr>
              <w:t>Did the organisation undertake their own systematic literature review?</w:t>
            </w:r>
          </w:p>
        </w:tc>
        <w:tc>
          <w:tcPr>
            <w:tcW w:w="993" w:type="dxa"/>
            <w:tcBorders>
              <w:top w:val="single" w:sz="4" w:space="0" w:color="auto"/>
              <w:left w:val="single" w:sz="4" w:space="0" w:color="auto"/>
              <w:bottom w:val="single" w:sz="4" w:space="0" w:color="auto"/>
              <w:right w:val="single" w:sz="4" w:space="0" w:color="auto"/>
            </w:tcBorders>
            <w:vAlign w:val="center"/>
          </w:tcPr>
          <w:p w14:paraId="5C8A661D" w14:textId="77777777" w:rsidR="0054569B" w:rsidRPr="00503189" w:rsidRDefault="0054569B" w:rsidP="00576EA7">
            <w:pPr>
              <w:rPr>
                <w:sz w:val="20"/>
                <w:szCs w:val="20"/>
              </w:rPr>
            </w:pPr>
            <w:r w:rsidRPr="00503189">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447C60BE" w14:textId="77777777" w:rsidR="0054569B" w:rsidRPr="00503189" w:rsidRDefault="0054569B" w:rsidP="00576EA7">
            <w:pPr>
              <w:rPr>
                <w:sz w:val="20"/>
                <w:szCs w:val="20"/>
              </w:rPr>
            </w:pPr>
            <w:r w:rsidRPr="00503189">
              <w:rPr>
                <w:sz w:val="20"/>
                <w:szCs w:val="20"/>
              </w:rPr>
              <w:t>EFSA undertook reviews as outlined in a research protocol in Annex A page 29.</w:t>
            </w:r>
          </w:p>
        </w:tc>
        <w:tc>
          <w:tcPr>
            <w:tcW w:w="1700" w:type="dxa"/>
            <w:tcBorders>
              <w:top w:val="single" w:sz="4" w:space="0" w:color="auto"/>
              <w:left w:val="single" w:sz="4" w:space="0" w:color="auto"/>
              <w:bottom w:val="single" w:sz="4" w:space="0" w:color="auto"/>
              <w:right w:val="single" w:sz="8" w:space="0" w:color="auto"/>
            </w:tcBorders>
            <w:vAlign w:val="center"/>
          </w:tcPr>
          <w:p w14:paraId="72983CAD" w14:textId="77777777" w:rsidR="0054569B" w:rsidRPr="00503189" w:rsidRDefault="0054569B" w:rsidP="00576EA7">
            <w:pPr>
              <w:rPr>
                <w:sz w:val="20"/>
                <w:szCs w:val="20"/>
              </w:rPr>
            </w:pPr>
            <w:r w:rsidRPr="00503189">
              <w:rPr>
                <w:sz w:val="20"/>
                <w:szCs w:val="20"/>
              </w:rPr>
              <w:t>Annex A, p. 29</w:t>
            </w:r>
          </w:p>
        </w:tc>
      </w:tr>
      <w:tr w:rsidR="0054569B" w:rsidRPr="00503189" w14:paraId="2B50B669"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tcPr>
          <w:p w14:paraId="5ECCD525" w14:textId="77777777" w:rsidR="0054569B" w:rsidRPr="00503189" w:rsidRDefault="0054569B" w:rsidP="00576EA7">
            <w:pPr>
              <w:rPr>
                <w:rFonts w:eastAsia="Yu Mincho"/>
                <w:sz w:val="20"/>
                <w:szCs w:val="20"/>
                <w:lang w:eastAsia="zh-TW"/>
              </w:rPr>
            </w:pPr>
            <w:r w:rsidRPr="00503189">
              <w:rPr>
                <w:rFonts w:eastAsia="Yu Mincho"/>
                <w:sz w:val="20"/>
                <w:szCs w:val="20"/>
                <w:lang w:eastAsia="zh-TW"/>
              </w:rPr>
              <w:t xml:space="preserve">Has the evidence report been reviewed by experts independent from the review authors? (e.g. peer review or committee review)? </w:t>
            </w:r>
          </w:p>
        </w:tc>
        <w:tc>
          <w:tcPr>
            <w:tcW w:w="993" w:type="dxa"/>
            <w:tcBorders>
              <w:top w:val="single" w:sz="4" w:space="0" w:color="auto"/>
              <w:left w:val="single" w:sz="4" w:space="0" w:color="auto"/>
              <w:bottom w:val="single" w:sz="4" w:space="0" w:color="auto"/>
              <w:right w:val="single" w:sz="4" w:space="0" w:color="auto"/>
            </w:tcBorders>
            <w:vAlign w:val="center"/>
          </w:tcPr>
          <w:p w14:paraId="7319CC59" w14:textId="77777777" w:rsidR="0054569B" w:rsidRPr="00503189" w:rsidRDefault="0054569B" w:rsidP="00576EA7">
            <w:pPr>
              <w:rPr>
                <w:sz w:val="20"/>
                <w:szCs w:val="20"/>
              </w:rPr>
            </w:pPr>
            <w:r w:rsidRPr="00503189">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3FC15F5A" w14:textId="77777777" w:rsidR="0054569B" w:rsidRPr="00503189" w:rsidRDefault="0054569B" w:rsidP="00576EA7">
            <w:pPr>
              <w:rPr>
                <w:sz w:val="20"/>
                <w:szCs w:val="20"/>
              </w:rPr>
            </w:pPr>
            <w:r w:rsidRPr="00503189">
              <w:rPr>
                <w:sz w:val="20"/>
                <w:szCs w:val="20"/>
              </w:rPr>
              <w:t xml:space="preserve">EFSA have contracted some </w:t>
            </w:r>
            <w:proofErr w:type="gramStart"/>
            <w:r w:rsidRPr="00503189">
              <w:rPr>
                <w:sz w:val="20"/>
                <w:szCs w:val="20"/>
              </w:rPr>
              <w:t>reviews</w:t>
            </w:r>
            <w:proofErr w:type="gramEnd"/>
            <w:r w:rsidRPr="00503189">
              <w:rPr>
                <w:sz w:val="20"/>
                <w:szCs w:val="20"/>
              </w:rPr>
              <w:t xml:space="preserve"> and the expert committee have assessed reviews independently.</w:t>
            </w:r>
          </w:p>
        </w:tc>
        <w:tc>
          <w:tcPr>
            <w:tcW w:w="1700" w:type="dxa"/>
            <w:tcBorders>
              <w:top w:val="single" w:sz="4" w:space="0" w:color="auto"/>
              <w:left w:val="single" w:sz="4" w:space="0" w:color="auto"/>
              <w:bottom w:val="single" w:sz="4" w:space="0" w:color="auto"/>
              <w:right w:val="single" w:sz="8" w:space="0" w:color="auto"/>
            </w:tcBorders>
            <w:vAlign w:val="center"/>
          </w:tcPr>
          <w:p w14:paraId="7873E49F" w14:textId="77777777" w:rsidR="0054569B" w:rsidRPr="00503189" w:rsidRDefault="0054569B" w:rsidP="00576EA7">
            <w:pPr>
              <w:rPr>
                <w:sz w:val="20"/>
                <w:szCs w:val="20"/>
              </w:rPr>
            </w:pPr>
          </w:p>
          <w:p w14:paraId="11169B4E" w14:textId="77777777" w:rsidR="0054569B" w:rsidRPr="00503189" w:rsidRDefault="0054569B" w:rsidP="00576EA7">
            <w:pPr>
              <w:rPr>
                <w:sz w:val="20"/>
                <w:szCs w:val="20"/>
              </w:rPr>
            </w:pPr>
          </w:p>
        </w:tc>
      </w:tr>
      <w:tr w:rsidR="0054569B" w:rsidRPr="00503189" w14:paraId="26EECB27"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5272A107" w14:textId="77777777" w:rsidR="0054569B" w:rsidRPr="00503189" w:rsidRDefault="0054569B" w:rsidP="00576EA7">
            <w:pPr>
              <w:rPr>
                <w:sz w:val="20"/>
                <w:szCs w:val="20"/>
              </w:rPr>
            </w:pPr>
            <w:r w:rsidRPr="00503189">
              <w:rPr>
                <w:sz w:val="20"/>
                <w:szCs w:val="20"/>
              </w:rPr>
              <w:t xml:space="preserve">Does the organisation use or undertake systematic literature review methods to identify and select data underpinning the advice? </w:t>
            </w:r>
          </w:p>
        </w:tc>
        <w:tc>
          <w:tcPr>
            <w:tcW w:w="993" w:type="dxa"/>
            <w:tcBorders>
              <w:top w:val="single" w:sz="4" w:space="0" w:color="auto"/>
              <w:left w:val="single" w:sz="4" w:space="0" w:color="auto"/>
              <w:bottom w:val="single" w:sz="4" w:space="0" w:color="auto"/>
              <w:right w:val="single" w:sz="4" w:space="0" w:color="auto"/>
            </w:tcBorders>
            <w:vAlign w:val="center"/>
          </w:tcPr>
          <w:p w14:paraId="12985CF1" w14:textId="77777777" w:rsidR="0054569B" w:rsidRPr="00503189" w:rsidRDefault="0054569B" w:rsidP="00576EA7">
            <w:pPr>
              <w:rPr>
                <w:sz w:val="20"/>
                <w:szCs w:val="20"/>
              </w:rPr>
            </w:pPr>
            <w:r w:rsidRPr="00503189">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7A324364" w14:textId="77777777" w:rsidR="0054569B" w:rsidRPr="00503189" w:rsidRDefault="0054569B" w:rsidP="00576EA7">
            <w:pPr>
              <w:rPr>
                <w:sz w:val="20"/>
                <w:szCs w:val="20"/>
              </w:rPr>
            </w:pPr>
            <w:r w:rsidRPr="00503189">
              <w:rPr>
                <w:sz w:val="20"/>
                <w:szCs w:val="20"/>
              </w:rPr>
              <w:t xml:space="preserve">A Protocol was established and published before commencement. </w:t>
            </w:r>
          </w:p>
        </w:tc>
        <w:tc>
          <w:tcPr>
            <w:tcW w:w="1700" w:type="dxa"/>
            <w:tcBorders>
              <w:top w:val="single" w:sz="4" w:space="0" w:color="auto"/>
              <w:left w:val="single" w:sz="4" w:space="0" w:color="auto"/>
              <w:bottom w:val="single" w:sz="4" w:space="0" w:color="auto"/>
              <w:right w:val="single" w:sz="8" w:space="0" w:color="auto"/>
            </w:tcBorders>
            <w:vAlign w:val="center"/>
          </w:tcPr>
          <w:p w14:paraId="75505C38" w14:textId="77777777" w:rsidR="0054569B" w:rsidRPr="00503189" w:rsidRDefault="0054569B" w:rsidP="00576EA7">
            <w:pPr>
              <w:rPr>
                <w:sz w:val="20"/>
                <w:szCs w:val="20"/>
              </w:rPr>
            </w:pPr>
            <w:r w:rsidRPr="00503189">
              <w:rPr>
                <w:sz w:val="20"/>
                <w:szCs w:val="20"/>
              </w:rPr>
              <w:t>Annex A</w:t>
            </w:r>
          </w:p>
        </w:tc>
      </w:tr>
      <w:tr w:rsidR="0054569B" w:rsidRPr="00503189" w14:paraId="3E9FDCB8"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31F465EB" w14:textId="77777777" w:rsidR="0054569B" w:rsidRPr="00503189" w:rsidRDefault="0054569B" w:rsidP="00576EA7">
            <w:pPr>
              <w:rPr>
                <w:sz w:val="20"/>
                <w:szCs w:val="20"/>
              </w:rPr>
            </w:pPr>
            <w:r w:rsidRPr="00503189">
              <w:rPr>
                <w:sz w:val="20"/>
                <w:szCs w:val="20"/>
              </w:rPr>
              <w:lastRenderedPageBreak/>
              <w:t>are the methods used documented clearly?</w:t>
            </w:r>
          </w:p>
        </w:tc>
        <w:tc>
          <w:tcPr>
            <w:tcW w:w="993" w:type="dxa"/>
            <w:tcBorders>
              <w:top w:val="single" w:sz="4" w:space="0" w:color="auto"/>
              <w:left w:val="single" w:sz="4" w:space="0" w:color="auto"/>
              <w:bottom w:val="single" w:sz="4" w:space="0" w:color="auto"/>
              <w:right w:val="single" w:sz="4" w:space="0" w:color="auto"/>
            </w:tcBorders>
            <w:vAlign w:val="center"/>
          </w:tcPr>
          <w:p w14:paraId="07F6BE8B" w14:textId="77777777" w:rsidR="0054569B" w:rsidRPr="00503189" w:rsidRDefault="0054569B" w:rsidP="00576EA7">
            <w:pPr>
              <w:rPr>
                <w:sz w:val="20"/>
                <w:szCs w:val="20"/>
              </w:rPr>
            </w:pPr>
            <w:r w:rsidRPr="00503189">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1FF889A1" w14:textId="77777777" w:rsidR="0054569B" w:rsidRPr="00503189" w:rsidRDefault="0054569B" w:rsidP="00576EA7">
            <w:pPr>
              <w:rPr>
                <w:sz w:val="20"/>
                <w:szCs w:val="20"/>
              </w:rPr>
            </w:pPr>
            <w:r w:rsidRPr="00503189">
              <w:rPr>
                <w:sz w:val="20"/>
                <w:szCs w:val="20"/>
              </w:rPr>
              <w:t>Refer to protocol (Annex A) and Annex B report.</w:t>
            </w:r>
          </w:p>
        </w:tc>
        <w:tc>
          <w:tcPr>
            <w:tcW w:w="1700" w:type="dxa"/>
            <w:tcBorders>
              <w:top w:val="single" w:sz="4" w:space="0" w:color="auto"/>
              <w:left w:val="single" w:sz="4" w:space="0" w:color="auto"/>
              <w:bottom w:val="single" w:sz="4" w:space="0" w:color="auto"/>
              <w:right w:val="single" w:sz="8" w:space="0" w:color="auto"/>
            </w:tcBorders>
            <w:vAlign w:val="center"/>
          </w:tcPr>
          <w:p w14:paraId="1CC4A2A2" w14:textId="77777777" w:rsidR="0054569B" w:rsidRPr="00503189" w:rsidRDefault="0054569B" w:rsidP="00576EA7">
            <w:pPr>
              <w:rPr>
                <w:sz w:val="20"/>
                <w:szCs w:val="20"/>
              </w:rPr>
            </w:pPr>
          </w:p>
        </w:tc>
      </w:tr>
      <w:tr w:rsidR="0054569B" w:rsidRPr="00503189" w14:paraId="09167C4C"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15E35DB5" w14:textId="77777777" w:rsidR="0054569B" w:rsidRPr="00503189" w:rsidRDefault="0054569B" w:rsidP="00576EA7">
            <w:pPr>
              <w:rPr>
                <w:sz w:val="20"/>
                <w:szCs w:val="20"/>
              </w:rPr>
            </w:pPr>
            <w:r w:rsidRPr="00503189">
              <w:rPr>
                <w:sz w:val="20"/>
                <w:szCs w:val="20"/>
              </w:rPr>
              <w:t xml:space="preserve">are inclusion/exclusion criteria used to select or exclude certain studies from the review? </w:t>
            </w:r>
          </w:p>
        </w:tc>
        <w:tc>
          <w:tcPr>
            <w:tcW w:w="993" w:type="dxa"/>
            <w:tcBorders>
              <w:top w:val="single" w:sz="4" w:space="0" w:color="auto"/>
              <w:left w:val="single" w:sz="4" w:space="0" w:color="auto"/>
              <w:bottom w:val="single" w:sz="4" w:space="0" w:color="auto"/>
              <w:right w:val="single" w:sz="4" w:space="0" w:color="auto"/>
            </w:tcBorders>
            <w:vAlign w:val="center"/>
          </w:tcPr>
          <w:p w14:paraId="4E8E9A95" w14:textId="77777777" w:rsidR="0054569B" w:rsidRPr="00503189" w:rsidRDefault="0054569B" w:rsidP="00576EA7">
            <w:pPr>
              <w:rPr>
                <w:sz w:val="20"/>
                <w:szCs w:val="20"/>
              </w:rPr>
            </w:pPr>
            <w:r w:rsidRPr="00503189">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4FCD17F3" w14:textId="77777777" w:rsidR="0054569B" w:rsidRPr="00503189" w:rsidRDefault="0054569B" w:rsidP="00576EA7">
            <w:pPr>
              <w:rPr>
                <w:sz w:val="20"/>
                <w:szCs w:val="20"/>
              </w:rPr>
            </w:pPr>
            <w:proofErr w:type="gramStart"/>
            <w:r w:rsidRPr="00503189">
              <w:rPr>
                <w:sz w:val="20"/>
                <w:szCs w:val="20"/>
              </w:rPr>
              <w:t>Yes</w:t>
            </w:r>
            <w:proofErr w:type="gramEnd"/>
            <w:r w:rsidRPr="00503189">
              <w:rPr>
                <w:sz w:val="20"/>
                <w:szCs w:val="20"/>
              </w:rPr>
              <w:t xml:space="preserve"> criteria are outlined for each </w:t>
            </w:r>
            <w:proofErr w:type="spellStart"/>
            <w:r w:rsidRPr="00503189">
              <w:rPr>
                <w:sz w:val="20"/>
                <w:szCs w:val="20"/>
              </w:rPr>
              <w:t>subquestion</w:t>
            </w:r>
            <w:proofErr w:type="spellEnd"/>
            <w:r w:rsidRPr="00503189">
              <w:rPr>
                <w:sz w:val="20"/>
                <w:szCs w:val="20"/>
              </w:rPr>
              <w:t xml:space="preserve"> against the PICO in the protocol at Annex A.</w:t>
            </w:r>
          </w:p>
        </w:tc>
        <w:tc>
          <w:tcPr>
            <w:tcW w:w="1700" w:type="dxa"/>
            <w:tcBorders>
              <w:top w:val="single" w:sz="4" w:space="0" w:color="auto"/>
              <w:left w:val="single" w:sz="4" w:space="0" w:color="auto"/>
              <w:bottom w:val="single" w:sz="4" w:space="0" w:color="auto"/>
              <w:right w:val="single" w:sz="8" w:space="0" w:color="auto"/>
            </w:tcBorders>
            <w:vAlign w:val="center"/>
          </w:tcPr>
          <w:p w14:paraId="0A1CAC9B" w14:textId="77777777" w:rsidR="0054569B" w:rsidRPr="00503189" w:rsidRDefault="0054569B" w:rsidP="00576EA7">
            <w:pPr>
              <w:rPr>
                <w:sz w:val="20"/>
                <w:szCs w:val="20"/>
              </w:rPr>
            </w:pPr>
          </w:p>
        </w:tc>
      </w:tr>
      <w:tr w:rsidR="0054569B" w:rsidRPr="00503189" w14:paraId="07140DFB"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3EAB15C0" w14:textId="77777777" w:rsidR="0054569B" w:rsidRPr="00503189" w:rsidRDefault="0054569B" w:rsidP="00576EA7">
            <w:pPr>
              <w:rPr>
                <w:sz w:val="20"/>
                <w:szCs w:val="20"/>
              </w:rPr>
            </w:pPr>
            <w:r w:rsidRPr="00503189">
              <w:rPr>
                <w:sz w:val="20"/>
                <w:szCs w:val="20"/>
              </w:rPr>
              <w:t>is justification of inclusion/exclusion criteria provided?</w:t>
            </w:r>
          </w:p>
        </w:tc>
        <w:tc>
          <w:tcPr>
            <w:tcW w:w="993" w:type="dxa"/>
            <w:tcBorders>
              <w:top w:val="single" w:sz="4" w:space="0" w:color="auto"/>
              <w:left w:val="single" w:sz="4" w:space="0" w:color="auto"/>
              <w:bottom w:val="single" w:sz="4" w:space="0" w:color="auto"/>
              <w:right w:val="single" w:sz="4" w:space="0" w:color="auto"/>
            </w:tcBorders>
            <w:vAlign w:val="center"/>
          </w:tcPr>
          <w:p w14:paraId="446E2BAF" w14:textId="77777777" w:rsidR="0054569B" w:rsidRPr="00503189" w:rsidRDefault="0054569B" w:rsidP="00576EA7">
            <w:pPr>
              <w:rPr>
                <w:sz w:val="20"/>
                <w:szCs w:val="20"/>
              </w:rPr>
            </w:pPr>
            <w:r w:rsidRPr="00503189">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518EB69C" w14:textId="77777777" w:rsidR="0054569B" w:rsidRPr="00503189" w:rsidRDefault="0054569B" w:rsidP="00576EA7">
            <w:pPr>
              <w:rPr>
                <w:sz w:val="20"/>
                <w:szCs w:val="20"/>
              </w:rPr>
            </w:pPr>
            <w:proofErr w:type="gramStart"/>
            <w:r w:rsidRPr="00503189">
              <w:rPr>
                <w:sz w:val="20"/>
                <w:szCs w:val="20"/>
              </w:rPr>
              <w:t>Yes</w:t>
            </w:r>
            <w:proofErr w:type="gramEnd"/>
            <w:r w:rsidRPr="00503189">
              <w:rPr>
                <w:sz w:val="20"/>
                <w:szCs w:val="20"/>
              </w:rPr>
              <w:t xml:space="preserve"> criteria are outlined for each </w:t>
            </w:r>
            <w:proofErr w:type="spellStart"/>
            <w:r w:rsidRPr="00503189">
              <w:rPr>
                <w:sz w:val="20"/>
                <w:szCs w:val="20"/>
              </w:rPr>
              <w:t>subquestion</w:t>
            </w:r>
            <w:proofErr w:type="spellEnd"/>
            <w:r w:rsidRPr="00503189">
              <w:rPr>
                <w:sz w:val="20"/>
                <w:szCs w:val="20"/>
              </w:rPr>
              <w:t xml:space="preserve"> against the PICO in the protocol at Annex A. Justification for exclusion criteria is also outlined in Annex A.</w:t>
            </w:r>
          </w:p>
        </w:tc>
        <w:tc>
          <w:tcPr>
            <w:tcW w:w="1700" w:type="dxa"/>
            <w:tcBorders>
              <w:top w:val="single" w:sz="4" w:space="0" w:color="auto"/>
              <w:left w:val="single" w:sz="4" w:space="0" w:color="auto"/>
              <w:bottom w:val="single" w:sz="4" w:space="0" w:color="auto"/>
              <w:right w:val="single" w:sz="8" w:space="0" w:color="auto"/>
            </w:tcBorders>
            <w:vAlign w:val="center"/>
          </w:tcPr>
          <w:p w14:paraId="6B0056EF" w14:textId="77777777" w:rsidR="0054569B" w:rsidRPr="00503189" w:rsidRDefault="0054569B" w:rsidP="00576EA7">
            <w:pPr>
              <w:rPr>
                <w:sz w:val="20"/>
                <w:szCs w:val="20"/>
              </w:rPr>
            </w:pPr>
          </w:p>
        </w:tc>
      </w:tr>
    </w:tbl>
    <w:p w14:paraId="050E99C6" w14:textId="238E9613" w:rsidR="0054569B" w:rsidRDefault="0054569B" w:rsidP="005338A3">
      <w:pPr>
        <w:pStyle w:val="Heading3"/>
        <w:spacing w:before="240"/>
      </w:pPr>
      <w:bookmarkStart w:id="123" w:name="_Toc234960895"/>
      <w:r>
        <w:t>Evidence search</w:t>
      </w:r>
      <w:bookmarkEnd w:id="123"/>
    </w:p>
    <w:tbl>
      <w:tblPr>
        <w:tblStyle w:val="TableGrid1"/>
        <w:tblW w:w="15451" w:type="dxa"/>
        <w:tblInd w:w="-294"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686"/>
        <w:gridCol w:w="993"/>
        <w:gridCol w:w="9072"/>
        <w:gridCol w:w="1700"/>
      </w:tblGrid>
      <w:tr w:rsidR="0054569B" w:rsidRPr="00503189" w14:paraId="21F1DD37" w14:textId="77777777" w:rsidTr="00C577A7">
        <w:trPr>
          <w:cantSplit/>
          <w:tblHeader/>
        </w:trPr>
        <w:tc>
          <w:tcPr>
            <w:tcW w:w="368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1C2E05CB" w14:textId="77777777" w:rsidR="0054569B" w:rsidRPr="00503189" w:rsidRDefault="0054569B" w:rsidP="00576EA7">
            <w:pPr>
              <w:rPr>
                <w:b/>
                <w:bCs/>
                <w:sz w:val="20"/>
                <w:szCs w:val="20"/>
                <w:vertAlign w:val="superscript"/>
              </w:rPr>
            </w:pPr>
            <w:r w:rsidRPr="00503189">
              <w:rPr>
                <w:b/>
                <w:bCs/>
                <w:sz w:val="20"/>
                <w:szCs w:val="20"/>
              </w:rPr>
              <w:t>Criteria</w:t>
            </w:r>
          </w:p>
        </w:tc>
        <w:tc>
          <w:tcPr>
            <w:tcW w:w="993" w:type="dxa"/>
            <w:tcBorders>
              <w:top w:val="single" w:sz="8" w:space="0" w:color="auto"/>
              <w:left w:val="single" w:sz="4" w:space="0" w:color="auto"/>
              <w:bottom w:val="single" w:sz="8" w:space="0" w:color="auto"/>
              <w:right w:val="single" w:sz="8" w:space="0" w:color="auto"/>
            </w:tcBorders>
            <w:shd w:val="clear" w:color="auto" w:fill="BFBFBF" w:themeFill="background1" w:themeFillShade="BF"/>
            <w:vAlign w:val="center"/>
            <w:hideMark/>
          </w:tcPr>
          <w:p w14:paraId="2CA0ED73" w14:textId="77777777" w:rsidR="0054569B" w:rsidRPr="00503189" w:rsidRDefault="0054569B" w:rsidP="00576EA7">
            <w:pPr>
              <w:rPr>
                <w:b/>
                <w:bCs/>
                <w:sz w:val="20"/>
                <w:szCs w:val="20"/>
              </w:rPr>
            </w:pPr>
            <w:r w:rsidRPr="00503189">
              <w:rPr>
                <w:b/>
                <w:bCs/>
                <w:sz w:val="20"/>
                <w:szCs w:val="20"/>
              </w:rPr>
              <w:t>Yes/No/NA</w:t>
            </w:r>
          </w:p>
        </w:tc>
        <w:tc>
          <w:tcPr>
            <w:tcW w:w="9072"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34C2312A" w14:textId="77777777" w:rsidR="0054569B" w:rsidRPr="00503189" w:rsidRDefault="0054569B" w:rsidP="00576EA7">
            <w:pPr>
              <w:rPr>
                <w:b/>
                <w:bCs/>
                <w:sz w:val="20"/>
                <w:szCs w:val="20"/>
              </w:rPr>
            </w:pPr>
            <w:r w:rsidRPr="00503189">
              <w:rPr>
                <w:b/>
                <w:bCs/>
                <w:sz w:val="20"/>
                <w:szCs w:val="20"/>
              </w:rPr>
              <w:t>Comment</w:t>
            </w:r>
          </w:p>
        </w:tc>
        <w:tc>
          <w:tcPr>
            <w:tcW w:w="170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18E4F0AD" w14:textId="77777777" w:rsidR="0054569B" w:rsidRPr="00503189" w:rsidRDefault="0054569B" w:rsidP="00576EA7">
            <w:pPr>
              <w:rPr>
                <w:b/>
                <w:bCs/>
                <w:sz w:val="20"/>
                <w:szCs w:val="20"/>
              </w:rPr>
            </w:pPr>
            <w:r w:rsidRPr="00503189">
              <w:rPr>
                <w:b/>
                <w:bCs/>
                <w:sz w:val="20"/>
                <w:szCs w:val="20"/>
              </w:rPr>
              <w:t>Page #</w:t>
            </w:r>
          </w:p>
        </w:tc>
      </w:tr>
      <w:tr w:rsidR="0054569B" w:rsidRPr="00503189" w14:paraId="2F55B9C1" w14:textId="77777777" w:rsidTr="00C577A7">
        <w:trPr>
          <w:cantSplit/>
        </w:trPr>
        <w:tc>
          <w:tcPr>
            <w:tcW w:w="3686" w:type="dxa"/>
            <w:tcBorders>
              <w:top w:val="single" w:sz="8" w:space="0" w:color="auto"/>
              <w:left w:val="single" w:sz="4" w:space="0" w:color="auto"/>
              <w:bottom w:val="single" w:sz="4" w:space="0" w:color="auto"/>
              <w:right w:val="single" w:sz="4" w:space="0" w:color="auto"/>
            </w:tcBorders>
            <w:vAlign w:val="center"/>
            <w:hideMark/>
          </w:tcPr>
          <w:p w14:paraId="56C03B94" w14:textId="40CBBB8D" w:rsidR="0054569B" w:rsidRPr="00503189" w:rsidRDefault="0054569B" w:rsidP="00576EA7">
            <w:pPr>
              <w:rPr>
                <w:sz w:val="20"/>
                <w:szCs w:val="20"/>
              </w:rPr>
            </w:pPr>
            <w:r w:rsidRPr="00503189">
              <w:rPr>
                <w:sz w:val="20"/>
                <w:szCs w:val="20"/>
              </w:rPr>
              <w:t>Are databases and other sources of evidence specified?</w:t>
            </w:r>
          </w:p>
        </w:tc>
        <w:tc>
          <w:tcPr>
            <w:tcW w:w="993" w:type="dxa"/>
            <w:tcBorders>
              <w:top w:val="single" w:sz="8" w:space="0" w:color="auto"/>
              <w:left w:val="single" w:sz="4" w:space="0" w:color="auto"/>
              <w:bottom w:val="single" w:sz="4" w:space="0" w:color="auto"/>
              <w:right w:val="single" w:sz="4" w:space="0" w:color="auto"/>
            </w:tcBorders>
            <w:vAlign w:val="center"/>
          </w:tcPr>
          <w:p w14:paraId="27BA8A3D" w14:textId="77777777" w:rsidR="0054569B" w:rsidRPr="00503189" w:rsidRDefault="0054569B" w:rsidP="00576EA7">
            <w:pPr>
              <w:rPr>
                <w:sz w:val="20"/>
                <w:szCs w:val="20"/>
              </w:rPr>
            </w:pPr>
            <w:r w:rsidRPr="00503189">
              <w:rPr>
                <w:sz w:val="20"/>
                <w:szCs w:val="20"/>
              </w:rPr>
              <w:t>Yes</w:t>
            </w:r>
          </w:p>
        </w:tc>
        <w:tc>
          <w:tcPr>
            <w:tcW w:w="9072" w:type="dxa"/>
            <w:tcBorders>
              <w:top w:val="single" w:sz="8" w:space="0" w:color="auto"/>
              <w:left w:val="single" w:sz="4" w:space="0" w:color="auto"/>
              <w:bottom w:val="single" w:sz="4" w:space="0" w:color="auto"/>
              <w:right w:val="single" w:sz="8" w:space="0" w:color="auto"/>
            </w:tcBorders>
            <w:vAlign w:val="center"/>
          </w:tcPr>
          <w:p w14:paraId="3A560819" w14:textId="77777777" w:rsidR="0054569B" w:rsidRPr="00503189" w:rsidRDefault="0054569B" w:rsidP="00576EA7">
            <w:pPr>
              <w:rPr>
                <w:sz w:val="20"/>
                <w:szCs w:val="20"/>
              </w:rPr>
            </w:pPr>
            <w:proofErr w:type="spellStart"/>
            <w:r w:rsidRPr="00503189">
              <w:rPr>
                <w:sz w:val="20"/>
                <w:szCs w:val="20"/>
              </w:rPr>
              <w:t>Pubmed</w:t>
            </w:r>
            <w:proofErr w:type="spellEnd"/>
            <w:r w:rsidRPr="00503189">
              <w:rPr>
                <w:sz w:val="20"/>
                <w:szCs w:val="20"/>
              </w:rPr>
              <w:t>, Cochrane library, Embase, Cochrane CENTRAL, Medline, CINAHL the Cochrane Hypertension Specialised Register and Clinicaltrials.gov</w:t>
            </w:r>
          </w:p>
        </w:tc>
        <w:tc>
          <w:tcPr>
            <w:tcW w:w="1700" w:type="dxa"/>
            <w:tcBorders>
              <w:top w:val="single" w:sz="8" w:space="0" w:color="auto"/>
              <w:left w:val="single" w:sz="4" w:space="0" w:color="auto"/>
              <w:bottom w:val="single" w:sz="4" w:space="0" w:color="auto"/>
              <w:right w:val="single" w:sz="8" w:space="0" w:color="auto"/>
            </w:tcBorders>
            <w:vAlign w:val="center"/>
          </w:tcPr>
          <w:p w14:paraId="11817AEE" w14:textId="77777777" w:rsidR="0054569B" w:rsidRPr="00503189" w:rsidRDefault="0054569B" w:rsidP="00576EA7">
            <w:pPr>
              <w:rPr>
                <w:sz w:val="20"/>
                <w:szCs w:val="20"/>
              </w:rPr>
            </w:pPr>
            <w:r w:rsidRPr="00503189">
              <w:rPr>
                <w:sz w:val="20"/>
                <w:szCs w:val="20"/>
              </w:rPr>
              <w:t>9</w:t>
            </w:r>
          </w:p>
        </w:tc>
      </w:tr>
      <w:tr w:rsidR="0054569B" w:rsidRPr="00503189" w14:paraId="2E5852F0"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06C3EAEC" w14:textId="77777777" w:rsidR="0054569B" w:rsidRPr="00503189" w:rsidRDefault="0054569B" w:rsidP="00576EA7">
            <w:pPr>
              <w:rPr>
                <w:sz w:val="20"/>
                <w:szCs w:val="20"/>
              </w:rPr>
            </w:pPr>
            <w:r w:rsidRPr="00503189">
              <w:rPr>
                <w:sz w:val="20"/>
                <w:szCs w:val="20"/>
              </w:rPr>
              <w:t xml:space="preserve">Does the literature search cover at least more than one scientific database as well as additional sources (which may include government reports and grey literature)? </w:t>
            </w:r>
          </w:p>
        </w:tc>
        <w:tc>
          <w:tcPr>
            <w:tcW w:w="993" w:type="dxa"/>
            <w:tcBorders>
              <w:top w:val="single" w:sz="4" w:space="0" w:color="auto"/>
              <w:left w:val="single" w:sz="4" w:space="0" w:color="auto"/>
              <w:bottom w:val="single" w:sz="4" w:space="0" w:color="auto"/>
              <w:right w:val="single" w:sz="4" w:space="0" w:color="auto"/>
            </w:tcBorders>
            <w:vAlign w:val="center"/>
          </w:tcPr>
          <w:p w14:paraId="25180FFD" w14:textId="77777777" w:rsidR="0054569B" w:rsidRPr="00503189" w:rsidRDefault="0054569B" w:rsidP="00576EA7">
            <w:pPr>
              <w:rPr>
                <w:sz w:val="20"/>
                <w:szCs w:val="20"/>
              </w:rPr>
            </w:pPr>
            <w:r w:rsidRPr="00503189">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272A35DA" w14:textId="77777777" w:rsidR="0054569B" w:rsidRPr="00503189" w:rsidRDefault="0054569B" w:rsidP="00576EA7">
            <w:pPr>
              <w:rPr>
                <w:sz w:val="20"/>
                <w:szCs w:val="20"/>
              </w:rPr>
            </w:pPr>
            <w:r w:rsidRPr="00503189">
              <w:rPr>
                <w:sz w:val="20"/>
                <w:szCs w:val="20"/>
              </w:rPr>
              <w:t>The Panel considered recent reports from national and international bodies (WHO, 2012a, 2012d, 2012c, 2012b; IOM, 2013; Nordic Council of Ministers, 2014), a preparatory systematic review which aimed to identify scientific data for this task (</w:t>
            </w:r>
            <w:proofErr w:type="spellStart"/>
            <w:r w:rsidRPr="00503189">
              <w:rPr>
                <w:sz w:val="20"/>
                <w:szCs w:val="20"/>
              </w:rPr>
              <w:t>Eeuwijk</w:t>
            </w:r>
            <w:proofErr w:type="spellEnd"/>
            <w:r w:rsidRPr="00503189">
              <w:rPr>
                <w:sz w:val="20"/>
                <w:szCs w:val="20"/>
              </w:rPr>
              <w:t xml:space="preserve"> et al., 2013), Two resources indexing PhD theses.</w:t>
            </w:r>
          </w:p>
        </w:tc>
        <w:tc>
          <w:tcPr>
            <w:tcW w:w="1700" w:type="dxa"/>
            <w:tcBorders>
              <w:top w:val="single" w:sz="4" w:space="0" w:color="auto"/>
              <w:left w:val="single" w:sz="4" w:space="0" w:color="auto"/>
              <w:bottom w:val="single" w:sz="4" w:space="0" w:color="auto"/>
              <w:right w:val="single" w:sz="8" w:space="0" w:color="auto"/>
            </w:tcBorders>
            <w:vAlign w:val="center"/>
          </w:tcPr>
          <w:p w14:paraId="1960B6FA" w14:textId="77777777" w:rsidR="0054569B" w:rsidRPr="00503189" w:rsidRDefault="0054569B" w:rsidP="00576EA7">
            <w:pPr>
              <w:rPr>
                <w:sz w:val="20"/>
                <w:szCs w:val="20"/>
              </w:rPr>
            </w:pPr>
          </w:p>
        </w:tc>
      </w:tr>
      <w:tr w:rsidR="0054569B" w:rsidRPr="00503189" w14:paraId="32958FD2"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0D728AEC" w14:textId="77777777" w:rsidR="0054569B" w:rsidRPr="00503189" w:rsidRDefault="0054569B" w:rsidP="00576EA7">
            <w:pPr>
              <w:rPr>
                <w:sz w:val="20"/>
                <w:szCs w:val="20"/>
              </w:rPr>
            </w:pPr>
            <w:r w:rsidRPr="00503189">
              <w:rPr>
                <w:sz w:val="20"/>
                <w:szCs w:val="20"/>
              </w:rPr>
              <w:t xml:space="preserve">Is the date range of the literature search specified and justified? </w:t>
            </w:r>
          </w:p>
        </w:tc>
        <w:tc>
          <w:tcPr>
            <w:tcW w:w="993" w:type="dxa"/>
            <w:tcBorders>
              <w:top w:val="single" w:sz="4" w:space="0" w:color="auto"/>
              <w:left w:val="single" w:sz="4" w:space="0" w:color="auto"/>
              <w:bottom w:val="single" w:sz="4" w:space="0" w:color="auto"/>
              <w:right w:val="single" w:sz="4" w:space="0" w:color="auto"/>
            </w:tcBorders>
            <w:vAlign w:val="center"/>
          </w:tcPr>
          <w:p w14:paraId="7E482904" w14:textId="77777777" w:rsidR="0054569B" w:rsidRPr="00503189" w:rsidRDefault="0054569B" w:rsidP="00576EA7">
            <w:pPr>
              <w:rPr>
                <w:sz w:val="20"/>
                <w:szCs w:val="20"/>
              </w:rPr>
            </w:pPr>
            <w:r w:rsidRPr="00503189">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315A81E1" w14:textId="77777777" w:rsidR="0054569B" w:rsidRPr="00503189" w:rsidRDefault="0054569B" w:rsidP="00576EA7">
            <w:pPr>
              <w:rPr>
                <w:sz w:val="20"/>
                <w:szCs w:val="20"/>
              </w:rPr>
            </w:pPr>
            <w:r w:rsidRPr="00503189">
              <w:rPr>
                <w:sz w:val="20"/>
                <w:szCs w:val="20"/>
              </w:rPr>
              <w:t>Table 9 in Annex A (p. 19) specifies the date range searched and rationale. Searches for RCTs were date limited for two sub-questions, to supplement studies identified by recent systematic reviews (</w:t>
            </w:r>
            <w:proofErr w:type="spellStart"/>
            <w:r w:rsidRPr="00503189">
              <w:rPr>
                <w:sz w:val="20"/>
                <w:szCs w:val="20"/>
              </w:rPr>
              <w:t>Gardual</w:t>
            </w:r>
            <w:proofErr w:type="spellEnd"/>
            <w:r w:rsidRPr="00503189">
              <w:rPr>
                <w:sz w:val="20"/>
                <w:szCs w:val="20"/>
              </w:rPr>
              <w:t xml:space="preserve"> et al 2017 and Adler et al 2014) which were used as sources of relevant studies. No time restriction </w:t>
            </w:r>
            <w:proofErr w:type="gramStart"/>
            <w:r w:rsidRPr="00503189">
              <w:rPr>
                <w:sz w:val="20"/>
                <w:szCs w:val="20"/>
              </w:rPr>
              <w:t>were</w:t>
            </w:r>
            <w:proofErr w:type="gramEnd"/>
            <w:r w:rsidRPr="00503189">
              <w:rPr>
                <w:sz w:val="20"/>
                <w:szCs w:val="20"/>
              </w:rPr>
              <w:t xml:space="preserve"> applied for observational studies or for RCTs for remaining sub-questions for which existing SRs had not been identified. Searches were up to February </w:t>
            </w:r>
            <w:proofErr w:type="gramStart"/>
            <w:r w:rsidRPr="00503189">
              <w:rPr>
                <w:sz w:val="20"/>
                <w:szCs w:val="20"/>
              </w:rPr>
              <w:t>2018</w:t>
            </w:r>
            <w:proofErr w:type="gramEnd"/>
            <w:r w:rsidRPr="00503189">
              <w:rPr>
                <w:sz w:val="20"/>
                <w:szCs w:val="20"/>
              </w:rPr>
              <w:t xml:space="preserve"> and October 2018 as depicted in the PRISMA charts (Appendix G of EFSA recommendations). </w:t>
            </w:r>
          </w:p>
        </w:tc>
        <w:tc>
          <w:tcPr>
            <w:tcW w:w="1700" w:type="dxa"/>
            <w:tcBorders>
              <w:top w:val="single" w:sz="4" w:space="0" w:color="auto"/>
              <w:left w:val="single" w:sz="4" w:space="0" w:color="auto"/>
              <w:bottom w:val="single" w:sz="4" w:space="0" w:color="auto"/>
              <w:right w:val="single" w:sz="8" w:space="0" w:color="auto"/>
            </w:tcBorders>
            <w:vAlign w:val="center"/>
          </w:tcPr>
          <w:p w14:paraId="78355F4A" w14:textId="77777777" w:rsidR="0054569B" w:rsidRPr="00503189" w:rsidRDefault="0054569B" w:rsidP="00576EA7">
            <w:pPr>
              <w:rPr>
                <w:sz w:val="20"/>
                <w:szCs w:val="20"/>
              </w:rPr>
            </w:pPr>
            <w:r w:rsidRPr="00503189">
              <w:rPr>
                <w:sz w:val="20"/>
                <w:szCs w:val="20"/>
              </w:rPr>
              <w:t>Appendix G of EFSA recommendations.</w:t>
            </w:r>
          </w:p>
        </w:tc>
      </w:tr>
      <w:tr w:rsidR="0054569B" w:rsidRPr="00503189" w14:paraId="2E7FA3EE"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2EBB4188" w14:textId="77777777" w:rsidR="0054569B" w:rsidRPr="00503189" w:rsidRDefault="0054569B" w:rsidP="00576EA7">
            <w:pPr>
              <w:rPr>
                <w:sz w:val="20"/>
                <w:szCs w:val="20"/>
              </w:rPr>
            </w:pPr>
            <w:r w:rsidRPr="00503189">
              <w:rPr>
                <w:sz w:val="20"/>
                <w:szCs w:val="20"/>
              </w:rPr>
              <w:t xml:space="preserve">Are search terms and/or search strings specified? </w:t>
            </w:r>
          </w:p>
        </w:tc>
        <w:tc>
          <w:tcPr>
            <w:tcW w:w="993" w:type="dxa"/>
            <w:tcBorders>
              <w:top w:val="single" w:sz="4" w:space="0" w:color="auto"/>
              <w:left w:val="single" w:sz="4" w:space="0" w:color="auto"/>
              <w:bottom w:val="single" w:sz="4" w:space="0" w:color="auto"/>
              <w:right w:val="single" w:sz="4" w:space="0" w:color="auto"/>
            </w:tcBorders>
            <w:vAlign w:val="center"/>
          </w:tcPr>
          <w:p w14:paraId="60CDDADE" w14:textId="77777777" w:rsidR="0054569B" w:rsidRPr="00503189" w:rsidRDefault="0054569B" w:rsidP="00576EA7">
            <w:pPr>
              <w:rPr>
                <w:sz w:val="20"/>
                <w:szCs w:val="20"/>
              </w:rPr>
            </w:pPr>
            <w:r w:rsidRPr="00503189">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54525608" w14:textId="77777777" w:rsidR="0054569B" w:rsidRPr="00503189" w:rsidRDefault="0054569B" w:rsidP="00576EA7">
            <w:pPr>
              <w:rPr>
                <w:sz w:val="20"/>
                <w:szCs w:val="20"/>
              </w:rPr>
            </w:pPr>
            <w:r w:rsidRPr="00503189">
              <w:rPr>
                <w:sz w:val="20"/>
                <w:szCs w:val="20"/>
              </w:rPr>
              <w:t>Outlined in the protocol (Appendix D of Annex A).</w:t>
            </w:r>
          </w:p>
        </w:tc>
        <w:tc>
          <w:tcPr>
            <w:tcW w:w="1700" w:type="dxa"/>
            <w:tcBorders>
              <w:top w:val="single" w:sz="4" w:space="0" w:color="auto"/>
              <w:left w:val="single" w:sz="4" w:space="0" w:color="auto"/>
              <w:bottom w:val="single" w:sz="4" w:space="0" w:color="auto"/>
              <w:right w:val="single" w:sz="8" w:space="0" w:color="auto"/>
            </w:tcBorders>
            <w:vAlign w:val="center"/>
          </w:tcPr>
          <w:p w14:paraId="75BB5382" w14:textId="77777777" w:rsidR="0054569B" w:rsidRPr="00503189" w:rsidRDefault="0054569B" w:rsidP="00576EA7">
            <w:pPr>
              <w:rPr>
                <w:sz w:val="20"/>
                <w:szCs w:val="20"/>
              </w:rPr>
            </w:pPr>
            <w:r w:rsidRPr="00503189">
              <w:rPr>
                <w:sz w:val="20"/>
                <w:szCs w:val="20"/>
              </w:rPr>
              <w:t>Appendix D of Annex A.</w:t>
            </w:r>
          </w:p>
        </w:tc>
      </w:tr>
    </w:tbl>
    <w:p w14:paraId="068B70EE" w14:textId="77777777" w:rsidR="0054569B" w:rsidRDefault="0054569B" w:rsidP="005338A3">
      <w:pPr>
        <w:pStyle w:val="Heading3"/>
        <w:spacing w:before="240"/>
      </w:pPr>
      <w:bookmarkStart w:id="124" w:name="_Toc234960896"/>
      <w:r>
        <w:t>Critical appraisal methods and tools</w:t>
      </w:r>
      <w:bookmarkEnd w:id="124"/>
    </w:p>
    <w:tbl>
      <w:tblPr>
        <w:tblStyle w:val="TableGrid1"/>
        <w:tblW w:w="15451" w:type="dxa"/>
        <w:tblInd w:w="-294"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686"/>
        <w:gridCol w:w="993"/>
        <w:gridCol w:w="9072"/>
        <w:gridCol w:w="1700"/>
      </w:tblGrid>
      <w:tr w:rsidR="0054569B" w:rsidRPr="00691C8E" w14:paraId="481863C9" w14:textId="77777777" w:rsidTr="00C577A7">
        <w:trPr>
          <w:cantSplit/>
          <w:tblHeader/>
        </w:trPr>
        <w:tc>
          <w:tcPr>
            <w:tcW w:w="368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2E7805D9" w14:textId="77777777" w:rsidR="0054569B" w:rsidRPr="00C557A9" w:rsidRDefault="0054569B" w:rsidP="00576EA7">
            <w:pPr>
              <w:rPr>
                <w:b/>
                <w:bCs/>
                <w:sz w:val="20"/>
                <w:szCs w:val="20"/>
                <w:vertAlign w:val="superscript"/>
              </w:rPr>
            </w:pPr>
            <w:r w:rsidRPr="00C557A9">
              <w:rPr>
                <w:b/>
                <w:bCs/>
                <w:sz w:val="20"/>
                <w:szCs w:val="20"/>
              </w:rPr>
              <w:t>Criteria</w:t>
            </w:r>
          </w:p>
        </w:tc>
        <w:tc>
          <w:tcPr>
            <w:tcW w:w="993" w:type="dxa"/>
            <w:tcBorders>
              <w:top w:val="single" w:sz="8" w:space="0" w:color="auto"/>
              <w:left w:val="single" w:sz="4" w:space="0" w:color="auto"/>
              <w:bottom w:val="single" w:sz="8" w:space="0" w:color="auto"/>
              <w:right w:val="single" w:sz="8" w:space="0" w:color="auto"/>
            </w:tcBorders>
            <w:shd w:val="clear" w:color="auto" w:fill="BFBFBF" w:themeFill="background1" w:themeFillShade="BF"/>
            <w:vAlign w:val="center"/>
            <w:hideMark/>
          </w:tcPr>
          <w:p w14:paraId="4D850FD3" w14:textId="77777777" w:rsidR="0054569B" w:rsidRPr="00C557A9" w:rsidRDefault="0054569B" w:rsidP="00576EA7">
            <w:pPr>
              <w:rPr>
                <w:b/>
                <w:bCs/>
                <w:sz w:val="20"/>
                <w:szCs w:val="20"/>
              </w:rPr>
            </w:pPr>
            <w:r w:rsidRPr="00C557A9">
              <w:rPr>
                <w:b/>
                <w:bCs/>
                <w:sz w:val="20"/>
                <w:szCs w:val="20"/>
              </w:rPr>
              <w:t>Yes/No/NA</w:t>
            </w:r>
          </w:p>
        </w:tc>
        <w:tc>
          <w:tcPr>
            <w:tcW w:w="9072"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04BD0220" w14:textId="77777777" w:rsidR="0054569B" w:rsidRPr="00C557A9" w:rsidRDefault="0054569B" w:rsidP="00576EA7">
            <w:pPr>
              <w:rPr>
                <w:b/>
                <w:bCs/>
                <w:sz w:val="20"/>
                <w:szCs w:val="20"/>
              </w:rPr>
            </w:pPr>
            <w:r w:rsidRPr="00C557A9">
              <w:rPr>
                <w:b/>
                <w:bCs/>
                <w:sz w:val="20"/>
                <w:szCs w:val="20"/>
              </w:rPr>
              <w:t>Comment</w:t>
            </w:r>
          </w:p>
        </w:tc>
        <w:tc>
          <w:tcPr>
            <w:tcW w:w="170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62072B63" w14:textId="77777777" w:rsidR="0054569B" w:rsidRPr="00C557A9" w:rsidRDefault="0054569B" w:rsidP="00576EA7">
            <w:pPr>
              <w:rPr>
                <w:b/>
                <w:bCs/>
                <w:sz w:val="20"/>
                <w:szCs w:val="20"/>
              </w:rPr>
            </w:pPr>
            <w:r w:rsidRPr="00C557A9">
              <w:rPr>
                <w:b/>
                <w:bCs/>
                <w:sz w:val="20"/>
                <w:szCs w:val="20"/>
              </w:rPr>
              <w:t>Page #</w:t>
            </w:r>
          </w:p>
        </w:tc>
      </w:tr>
      <w:tr w:rsidR="0054569B" w:rsidRPr="00691C8E" w14:paraId="03995F99" w14:textId="77777777" w:rsidTr="00C577A7">
        <w:trPr>
          <w:cantSplit/>
        </w:trPr>
        <w:tc>
          <w:tcPr>
            <w:tcW w:w="3686" w:type="dxa"/>
            <w:tcBorders>
              <w:top w:val="single" w:sz="8" w:space="0" w:color="auto"/>
              <w:left w:val="single" w:sz="4" w:space="0" w:color="auto"/>
              <w:bottom w:val="single" w:sz="4" w:space="0" w:color="auto"/>
              <w:right w:val="single" w:sz="4" w:space="0" w:color="auto"/>
            </w:tcBorders>
            <w:vAlign w:val="center"/>
            <w:hideMark/>
          </w:tcPr>
          <w:p w14:paraId="6AB8E24B" w14:textId="77777777" w:rsidR="0054569B" w:rsidRPr="00691C8E" w:rsidRDefault="0054569B" w:rsidP="00576EA7">
            <w:pPr>
              <w:rPr>
                <w:sz w:val="20"/>
                <w:szCs w:val="20"/>
              </w:rPr>
            </w:pPr>
            <w:r w:rsidRPr="00691C8E">
              <w:rPr>
                <w:sz w:val="20"/>
                <w:szCs w:val="20"/>
              </w:rPr>
              <w:t xml:space="preserve">Is risk of bias of individual studies assessed and taken into consideration? </w:t>
            </w:r>
          </w:p>
        </w:tc>
        <w:tc>
          <w:tcPr>
            <w:tcW w:w="993" w:type="dxa"/>
            <w:tcBorders>
              <w:top w:val="single" w:sz="8" w:space="0" w:color="auto"/>
              <w:left w:val="single" w:sz="4" w:space="0" w:color="auto"/>
              <w:bottom w:val="single" w:sz="4" w:space="0" w:color="auto"/>
              <w:right w:val="single" w:sz="4" w:space="0" w:color="auto"/>
            </w:tcBorders>
            <w:vAlign w:val="center"/>
          </w:tcPr>
          <w:p w14:paraId="51CE5400" w14:textId="77777777" w:rsidR="0054569B" w:rsidRPr="00691C8E" w:rsidRDefault="0054569B" w:rsidP="00576EA7">
            <w:pPr>
              <w:rPr>
                <w:sz w:val="20"/>
                <w:szCs w:val="20"/>
              </w:rPr>
            </w:pPr>
            <w:r w:rsidRPr="00691C8E">
              <w:rPr>
                <w:sz w:val="20"/>
                <w:szCs w:val="20"/>
              </w:rPr>
              <w:t>Yes</w:t>
            </w:r>
          </w:p>
        </w:tc>
        <w:tc>
          <w:tcPr>
            <w:tcW w:w="9072" w:type="dxa"/>
            <w:tcBorders>
              <w:top w:val="single" w:sz="8" w:space="0" w:color="auto"/>
              <w:left w:val="single" w:sz="4" w:space="0" w:color="auto"/>
              <w:bottom w:val="single" w:sz="4" w:space="0" w:color="auto"/>
              <w:right w:val="single" w:sz="4" w:space="0" w:color="auto"/>
            </w:tcBorders>
            <w:vAlign w:val="center"/>
          </w:tcPr>
          <w:p w14:paraId="73796E65" w14:textId="5113C3C2" w:rsidR="0054569B" w:rsidRPr="00691C8E" w:rsidRDefault="0054569B" w:rsidP="00576EA7">
            <w:pPr>
              <w:rPr>
                <w:sz w:val="20"/>
                <w:szCs w:val="20"/>
              </w:rPr>
            </w:pPr>
            <w:r w:rsidRPr="00691C8E">
              <w:rPr>
                <w:sz w:val="20"/>
                <w:szCs w:val="20"/>
              </w:rPr>
              <w:t>The internal validity or risk of bias (</w:t>
            </w:r>
            <w:proofErr w:type="spellStart"/>
            <w:r w:rsidRPr="00691C8E">
              <w:rPr>
                <w:sz w:val="20"/>
                <w:szCs w:val="20"/>
              </w:rPr>
              <w:t>RoB</w:t>
            </w:r>
            <w:proofErr w:type="spellEnd"/>
            <w:r w:rsidRPr="00691C8E">
              <w:rPr>
                <w:sz w:val="20"/>
                <w:szCs w:val="20"/>
              </w:rPr>
              <w:t xml:space="preserve">) of each individual study included in the assessment was appraised using a customised version of the Office of Health Assessment and Translation (OHAT) </w:t>
            </w:r>
            <w:proofErr w:type="spellStart"/>
            <w:r w:rsidRPr="00691C8E">
              <w:rPr>
                <w:sz w:val="20"/>
                <w:szCs w:val="20"/>
              </w:rPr>
              <w:t>RoB</w:t>
            </w:r>
            <w:proofErr w:type="spellEnd"/>
            <w:r w:rsidRPr="00691C8E">
              <w:rPr>
                <w:sz w:val="20"/>
                <w:szCs w:val="20"/>
              </w:rPr>
              <w:t xml:space="preserve"> tool developed by the US National Toxicology Program (NTP) (OHAT-NTP, </w:t>
            </w:r>
            <w:hyperlink r:id="rId203" w:anchor="efs27704-bib-0227" w:history="1">
              <w:r w:rsidRPr="00691C8E">
                <w:rPr>
                  <w:rStyle w:val="Hyperlink"/>
                  <w:rFonts w:asciiTheme="minorHAnsi" w:hAnsiTheme="minorHAnsi"/>
                  <w:sz w:val="20"/>
                  <w:szCs w:val="20"/>
                </w:rPr>
                <w:t>2015</w:t>
              </w:r>
            </w:hyperlink>
            <w:r w:rsidRPr="00691C8E">
              <w:rPr>
                <w:sz w:val="20"/>
                <w:szCs w:val="20"/>
              </w:rPr>
              <w:t xml:space="preserve">) which is suitable for both RCTs and observational studies. </w:t>
            </w:r>
          </w:p>
        </w:tc>
        <w:tc>
          <w:tcPr>
            <w:tcW w:w="1700" w:type="dxa"/>
            <w:tcBorders>
              <w:top w:val="single" w:sz="8" w:space="0" w:color="auto"/>
              <w:left w:val="single" w:sz="4" w:space="0" w:color="auto"/>
              <w:bottom w:val="single" w:sz="4" w:space="0" w:color="auto"/>
              <w:right w:val="single" w:sz="4" w:space="0" w:color="auto"/>
            </w:tcBorders>
            <w:vAlign w:val="center"/>
          </w:tcPr>
          <w:p w14:paraId="148D1633" w14:textId="77777777" w:rsidR="0054569B" w:rsidRPr="00691C8E" w:rsidRDefault="0054569B" w:rsidP="00576EA7">
            <w:pPr>
              <w:rPr>
                <w:sz w:val="20"/>
                <w:szCs w:val="20"/>
              </w:rPr>
            </w:pPr>
          </w:p>
        </w:tc>
      </w:tr>
      <w:tr w:rsidR="0054569B" w:rsidRPr="00691C8E" w14:paraId="3648C3F5"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2DF5257C" w14:textId="77777777" w:rsidR="0054569B" w:rsidRPr="00691C8E" w:rsidRDefault="0054569B" w:rsidP="00576EA7">
            <w:pPr>
              <w:rPr>
                <w:sz w:val="20"/>
                <w:szCs w:val="20"/>
              </w:rPr>
            </w:pPr>
            <w:r w:rsidRPr="00691C8E">
              <w:rPr>
                <w:sz w:val="20"/>
                <w:szCs w:val="20"/>
              </w:rPr>
              <w:lastRenderedPageBreak/>
              <w:t>if yes, what tools are used? if no, was any other method used to assess study quality?</w:t>
            </w:r>
          </w:p>
        </w:tc>
        <w:tc>
          <w:tcPr>
            <w:tcW w:w="993" w:type="dxa"/>
            <w:tcBorders>
              <w:top w:val="single" w:sz="4" w:space="0" w:color="auto"/>
              <w:left w:val="single" w:sz="4" w:space="0" w:color="auto"/>
              <w:bottom w:val="single" w:sz="4" w:space="0" w:color="auto"/>
              <w:right w:val="single" w:sz="4" w:space="0" w:color="auto"/>
            </w:tcBorders>
            <w:vAlign w:val="center"/>
          </w:tcPr>
          <w:p w14:paraId="30ABC2AA" w14:textId="77777777" w:rsidR="0054569B" w:rsidRPr="00691C8E" w:rsidRDefault="0054569B" w:rsidP="00576EA7">
            <w:pPr>
              <w:rPr>
                <w:sz w:val="20"/>
                <w:szCs w:val="20"/>
              </w:rPr>
            </w:pPr>
          </w:p>
        </w:tc>
        <w:tc>
          <w:tcPr>
            <w:tcW w:w="9072" w:type="dxa"/>
            <w:tcBorders>
              <w:top w:val="single" w:sz="4" w:space="0" w:color="auto"/>
              <w:left w:val="single" w:sz="4" w:space="0" w:color="auto"/>
              <w:bottom w:val="single" w:sz="4" w:space="0" w:color="auto"/>
              <w:right w:val="single" w:sz="4" w:space="0" w:color="auto"/>
            </w:tcBorders>
            <w:vAlign w:val="center"/>
          </w:tcPr>
          <w:p w14:paraId="4857CB93" w14:textId="72ADDFDE" w:rsidR="0054569B" w:rsidRPr="00691C8E" w:rsidRDefault="0054569B" w:rsidP="00576EA7">
            <w:pPr>
              <w:rPr>
                <w:sz w:val="20"/>
                <w:szCs w:val="20"/>
              </w:rPr>
            </w:pPr>
            <w:r w:rsidRPr="00691C8E">
              <w:rPr>
                <w:sz w:val="20"/>
                <w:szCs w:val="20"/>
              </w:rPr>
              <w:t xml:space="preserve">Office of Health Assessment and Translation (OHAT) </w:t>
            </w:r>
            <w:proofErr w:type="spellStart"/>
            <w:r w:rsidRPr="00691C8E">
              <w:rPr>
                <w:sz w:val="20"/>
                <w:szCs w:val="20"/>
              </w:rPr>
              <w:t>RoB</w:t>
            </w:r>
            <w:proofErr w:type="spellEnd"/>
            <w:r w:rsidRPr="00691C8E">
              <w:rPr>
                <w:sz w:val="20"/>
                <w:szCs w:val="20"/>
              </w:rPr>
              <w:t xml:space="preserve"> tool developed by the US National Toxicology Program (NTP) (OHAT-NTP, </w:t>
            </w:r>
            <w:hyperlink r:id="rId204" w:anchor="efs27704-bib-0227" w:history="1">
              <w:r w:rsidRPr="00691C8E">
                <w:rPr>
                  <w:rStyle w:val="Hyperlink"/>
                  <w:rFonts w:asciiTheme="minorHAnsi" w:hAnsiTheme="minorHAnsi"/>
                  <w:sz w:val="20"/>
                  <w:szCs w:val="20"/>
                </w:rPr>
                <w:t>2015</w:t>
              </w:r>
            </w:hyperlink>
            <w:r w:rsidRPr="00691C8E">
              <w:rPr>
                <w:sz w:val="20"/>
                <w:szCs w:val="20"/>
              </w:rPr>
              <w:t>)</w:t>
            </w:r>
          </w:p>
        </w:tc>
        <w:tc>
          <w:tcPr>
            <w:tcW w:w="1700" w:type="dxa"/>
            <w:tcBorders>
              <w:top w:val="single" w:sz="4" w:space="0" w:color="auto"/>
              <w:left w:val="single" w:sz="4" w:space="0" w:color="auto"/>
              <w:bottom w:val="single" w:sz="4" w:space="0" w:color="auto"/>
              <w:right w:val="single" w:sz="4" w:space="0" w:color="auto"/>
            </w:tcBorders>
            <w:vAlign w:val="center"/>
          </w:tcPr>
          <w:p w14:paraId="6B299BBE" w14:textId="77777777" w:rsidR="0054569B" w:rsidRPr="00691C8E" w:rsidRDefault="0054569B" w:rsidP="00576EA7">
            <w:pPr>
              <w:rPr>
                <w:sz w:val="20"/>
                <w:szCs w:val="20"/>
              </w:rPr>
            </w:pPr>
          </w:p>
        </w:tc>
      </w:tr>
      <w:tr w:rsidR="0054569B" w:rsidRPr="00691C8E" w14:paraId="51B0B3C5"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20925244" w14:textId="77777777" w:rsidR="0054569B" w:rsidRPr="00691C8E" w:rsidRDefault="0054569B" w:rsidP="00576EA7">
            <w:pPr>
              <w:rPr>
                <w:sz w:val="20"/>
                <w:szCs w:val="20"/>
              </w:rPr>
            </w:pPr>
            <w:r w:rsidRPr="00691C8E">
              <w:rPr>
                <w:sz w:val="20"/>
                <w:szCs w:val="20"/>
              </w:rPr>
              <w:t>Does the organisation use a systematic or some other methodological approach to synthesise the evidence (i.e. to assess and summarise the information provided in the studies)?</w:t>
            </w:r>
          </w:p>
        </w:tc>
        <w:tc>
          <w:tcPr>
            <w:tcW w:w="993" w:type="dxa"/>
            <w:tcBorders>
              <w:top w:val="single" w:sz="4" w:space="0" w:color="auto"/>
              <w:left w:val="single" w:sz="4" w:space="0" w:color="auto"/>
              <w:bottom w:val="single" w:sz="4" w:space="0" w:color="auto"/>
              <w:right w:val="single" w:sz="4" w:space="0" w:color="auto"/>
            </w:tcBorders>
            <w:vAlign w:val="center"/>
          </w:tcPr>
          <w:p w14:paraId="286AC063" w14:textId="77777777" w:rsidR="0054569B" w:rsidRPr="00691C8E" w:rsidRDefault="0054569B" w:rsidP="00576EA7">
            <w:pPr>
              <w:rPr>
                <w:sz w:val="20"/>
                <w:szCs w:val="20"/>
              </w:rPr>
            </w:pPr>
            <w:r w:rsidRPr="00691C8E">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22636CF5" w14:textId="77777777" w:rsidR="0054569B" w:rsidRPr="00691C8E" w:rsidRDefault="0054569B" w:rsidP="00576EA7">
            <w:pPr>
              <w:rPr>
                <w:sz w:val="20"/>
                <w:szCs w:val="20"/>
              </w:rPr>
            </w:pPr>
            <w:r w:rsidRPr="00691C8E">
              <w:rPr>
                <w:sz w:val="20"/>
                <w:szCs w:val="20"/>
              </w:rPr>
              <w:t xml:space="preserve">Meta-analysis of trials of effects of sodium reduction on SBP and DBP. Dose response modelling </w:t>
            </w:r>
          </w:p>
        </w:tc>
        <w:tc>
          <w:tcPr>
            <w:tcW w:w="1700" w:type="dxa"/>
            <w:tcBorders>
              <w:top w:val="single" w:sz="4" w:space="0" w:color="auto"/>
              <w:left w:val="single" w:sz="4" w:space="0" w:color="auto"/>
              <w:bottom w:val="single" w:sz="4" w:space="0" w:color="auto"/>
              <w:right w:val="single" w:sz="8" w:space="0" w:color="auto"/>
            </w:tcBorders>
            <w:vAlign w:val="center"/>
          </w:tcPr>
          <w:p w14:paraId="5B57C86C" w14:textId="77777777" w:rsidR="0054569B" w:rsidRPr="00691C8E" w:rsidRDefault="0054569B" w:rsidP="00576EA7">
            <w:pPr>
              <w:rPr>
                <w:sz w:val="20"/>
                <w:szCs w:val="20"/>
              </w:rPr>
            </w:pPr>
          </w:p>
        </w:tc>
      </w:tr>
      <w:tr w:rsidR="0054569B" w:rsidRPr="00691C8E" w14:paraId="6B93E844" w14:textId="77777777" w:rsidTr="00C577A7">
        <w:trPr>
          <w:cantSplit/>
        </w:trPr>
        <w:tc>
          <w:tcPr>
            <w:tcW w:w="3686" w:type="dxa"/>
            <w:tcBorders>
              <w:top w:val="single" w:sz="4" w:space="0" w:color="auto"/>
              <w:left w:val="single" w:sz="4" w:space="0" w:color="auto"/>
              <w:bottom w:val="single" w:sz="4" w:space="0" w:color="auto"/>
              <w:right w:val="single" w:sz="4" w:space="0" w:color="auto"/>
            </w:tcBorders>
            <w:vAlign w:val="center"/>
            <w:hideMark/>
          </w:tcPr>
          <w:p w14:paraId="02ED72EC" w14:textId="77777777" w:rsidR="0054569B" w:rsidRPr="00691C8E" w:rsidRDefault="0054569B" w:rsidP="00576EA7">
            <w:pPr>
              <w:rPr>
                <w:sz w:val="20"/>
                <w:szCs w:val="20"/>
              </w:rPr>
            </w:pPr>
            <w:r w:rsidRPr="00691C8E">
              <w:rPr>
                <w:sz w:val="20"/>
                <w:szCs w:val="20"/>
              </w:rPr>
              <w:t xml:space="preserve">Does the organisation assess the overall certainty of the evidence and reach recommendations? </w:t>
            </w:r>
          </w:p>
        </w:tc>
        <w:tc>
          <w:tcPr>
            <w:tcW w:w="993" w:type="dxa"/>
            <w:tcBorders>
              <w:top w:val="single" w:sz="4" w:space="0" w:color="auto"/>
              <w:left w:val="single" w:sz="4" w:space="0" w:color="auto"/>
              <w:bottom w:val="single" w:sz="4" w:space="0" w:color="auto"/>
              <w:right w:val="single" w:sz="4" w:space="0" w:color="auto"/>
            </w:tcBorders>
            <w:vAlign w:val="center"/>
          </w:tcPr>
          <w:p w14:paraId="6A5E7FDA" w14:textId="77777777" w:rsidR="0054569B" w:rsidRPr="00691C8E" w:rsidRDefault="0054569B" w:rsidP="00576EA7">
            <w:pPr>
              <w:rPr>
                <w:sz w:val="20"/>
                <w:szCs w:val="20"/>
              </w:rPr>
            </w:pPr>
            <w:r w:rsidRPr="00691C8E">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465BD046" w14:textId="77777777" w:rsidR="0054569B" w:rsidRPr="00691C8E" w:rsidRDefault="0054569B" w:rsidP="00576EA7">
            <w:pPr>
              <w:rPr>
                <w:sz w:val="20"/>
                <w:szCs w:val="20"/>
              </w:rPr>
            </w:pPr>
            <w:r w:rsidRPr="00691C8E">
              <w:rPr>
                <w:sz w:val="20"/>
                <w:szCs w:val="20"/>
              </w:rPr>
              <w:t>3.8 of Annex A protocol states:</w:t>
            </w:r>
          </w:p>
          <w:p w14:paraId="4B51E47F" w14:textId="77777777" w:rsidR="0054569B" w:rsidRPr="00691C8E" w:rsidRDefault="0054569B" w:rsidP="00576EA7">
            <w:pPr>
              <w:rPr>
                <w:sz w:val="20"/>
                <w:szCs w:val="20"/>
              </w:rPr>
            </w:pPr>
            <w:r w:rsidRPr="00691C8E">
              <w:rPr>
                <w:sz w:val="20"/>
                <w:szCs w:val="20"/>
              </w:rPr>
              <w:t>“Once the individual studies are appraised for internal validity and after synthesising the evidence, for each sub-question, outcome and line of evidence (i.e. RCTs separately from observational studies), the uncertainty in the body of evidence will be discussed, by considering factors such as the consistency of results, the precision of effect/association estimates and/or dose–response models, the internal validity and external validity (directness, generalisability, applicability) of the included studies.”</w:t>
            </w:r>
          </w:p>
          <w:p w14:paraId="662EC518" w14:textId="77777777" w:rsidR="0054569B" w:rsidRPr="00691C8E" w:rsidRDefault="0054569B" w:rsidP="00576EA7">
            <w:pPr>
              <w:rPr>
                <w:sz w:val="20"/>
                <w:szCs w:val="20"/>
              </w:rPr>
            </w:pPr>
            <w:r w:rsidRPr="00691C8E">
              <w:rPr>
                <w:sz w:val="20"/>
                <w:szCs w:val="20"/>
              </w:rPr>
              <w:t>p. 9 of the Guidance states:</w:t>
            </w:r>
          </w:p>
          <w:p w14:paraId="201FC061" w14:textId="0915F0D3" w:rsidR="0054569B" w:rsidRPr="00691C8E" w:rsidRDefault="0054569B" w:rsidP="00576EA7">
            <w:pPr>
              <w:rPr>
                <w:sz w:val="20"/>
                <w:szCs w:val="20"/>
              </w:rPr>
            </w:pPr>
            <w:r w:rsidRPr="00691C8E">
              <w:rPr>
                <w:sz w:val="20"/>
                <w:szCs w:val="20"/>
              </w:rPr>
              <w:t>The principles of the EFSA Scientific Committee guidance documents on uncertainties analysis and on the use of weight of evidence approaches in scientific assessments (EFSA Scientific Committee et al., 2017; EFSA Scientific Committee et al., 2018a; EFSA Scientific Committee et al., 2018b) were applied. Expert judgement was used to weigh the available evidence and take account of the associated uncertainties by means of a formal expert knowledge elicitation (EKE). The EKE allows a representation of the uncertainty about the quantity (parameter) of interest using a probability distribution.</w:t>
            </w:r>
          </w:p>
        </w:tc>
        <w:tc>
          <w:tcPr>
            <w:tcW w:w="1700" w:type="dxa"/>
            <w:tcBorders>
              <w:top w:val="single" w:sz="4" w:space="0" w:color="auto"/>
              <w:left w:val="single" w:sz="4" w:space="0" w:color="auto"/>
              <w:bottom w:val="single" w:sz="4" w:space="0" w:color="auto"/>
              <w:right w:val="single" w:sz="8" w:space="0" w:color="auto"/>
            </w:tcBorders>
            <w:vAlign w:val="center"/>
          </w:tcPr>
          <w:p w14:paraId="7D241058" w14:textId="77777777" w:rsidR="0054569B" w:rsidRPr="00691C8E" w:rsidRDefault="0054569B" w:rsidP="00576EA7">
            <w:pPr>
              <w:rPr>
                <w:sz w:val="20"/>
                <w:szCs w:val="20"/>
              </w:rPr>
            </w:pPr>
            <w:r w:rsidRPr="00691C8E">
              <w:rPr>
                <w:sz w:val="20"/>
                <w:szCs w:val="20"/>
              </w:rPr>
              <w:t>Refer to Annex A, s3.8 and to page 9 of the EFSA Guidelines</w:t>
            </w:r>
          </w:p>
        </w:tc>
      </w:tr>
    </w:tbl>
    <w:p w14:paraId="6CE0128C" w14:textId="77777777" w:rsidR="00C577A7" w:rsidRDefault="00C577A7" w:rsidP="00576EA7"/>
    <w:p w14:paraId="58578EC4" w14:textId="77777777" w:rsidR="00C577A7" w:rsidRDefault="00C577A7" w:rsidP="00576EA7">
      <w:pPr>
        <w:rPr>
          <w:rFonts w:eastAsiaTheme="majorEastAsia" w:cstheme="majorBidi"/>
          <w:color w:val="0F4761" w:themeColor="accent1" w:themeShade="BF"/>
          <w:sz w:val="24"/>
          <w:szCs w:val="28"/>
        </w:rPr>
      </w:pPr>
      <w:r>
        <w:br w:type="page"/>
      </w:r>
    </w:p>
    <w:p w14:paraId="28628BA6" w14:textId="6B348176" w:rsidR="0054569B" w:rsidRDefault="0054569B" w:rsidP="005338A3">
      <w:pPr>
        <w:pStyle w:val="Heading3"/>
        <w:spacing w:before="240"/>
      </w:pPr>
      <w:bookmarkStart w:id="125" w:name="_Toc234960897"/>
      <w:r>
        <w:lastRenderedPageBreak/>
        <w:t>Derivation of nutrient reference values</w:t>
      </w:r>
      <w:bookmarkEnd w:id="125"/>
      <w:r>
        <w:t xml:space="preserve"> </w:t>
      </w:r>
    </w:p>
    <w:tbl>
      <w:tblPr>
        <w:tblStyle w:val="TableGrid1"/>
        <w:tblW w:w="15451" w:type="dxa"/>
        <w:tblInd w:w="-294"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686"/>
        <w:gridCol w:w="993"/>
        <w:gridCol w:w="9072"/>
        <w:gridCol w:w="1700"/>
      </w:tblGrid>
      <w:tr w:rsidR="0054569B" w14:paraId="78E266BD" w14:textId="77777777" w:rsidTr="00C577A7">
        <w:trPr>
          <w:tblHeader/>
        </w:trPr>
        <w:tc>
          <w:tcPr>
            <w:tcW w:w="368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679431CC" w14:textId="77777777" w:rsidR="0054569B" w:rsidRPr="00C557A9" w:rsidRDefault="0054569B" w:rsidP="00576EA7">
            <w:pPr>
              <w:rPr>
                <w:b/>
                <w:bCs/>
                <w:sz w:val="20"/>
                <w:szCs w:val="20"/>
                <w:vertAlign w:val="superscript"/>
              </w:rPr>
            </w:pPr>
            <w:r w:rsidRPr="00C557A9">
              <w:rPr>
                <w:b/>
                <w:bCs/>
                <w:sz w:val="20"/>
                <w:szCs w:val="20"/>
              </w:rPr>
              <w:t>Criteria</w:t>
            </w:r>
          </w:p>
        </w:tc>
        <w:tc>
          <w:tcPr>
            <w:tcW w:w="993" w:type="dxa"/>
            <w:tcBorders>
              <w:top w:val="single" w:sz="8" w:space="0" w:color="auto"/>
              <w:left w:val="single" w:sz="4" w:space="0" w:color="auto"/>
              <w:bottom w:val="single" w:sz="8" w:space="0" w:color="auto"/>
              <w:right w:val="single" w:sz="8" w:space="0" w:color="auto"/>
            </w:tcBorders>
            <w:shd w:val="clear" w:color="auto" w:fill="BFBFBF" w:themeFill="background1" w:themeFillShade="BF"/>
            <w:vAlign w:val="center"/>
            <w:hideMark/>
          </w:tcPr>
          <w:p w14:paraId="3B475ECA" w14:textId="77777777" w:rsidR="0054569B" w:rsidRPr="00C557A9" w:rsidRDefault="0054569B" w:rsidP="00576EA7">
            <w:pPr>
              <w:rPr>
                <w:b/>
                <w:bCs/>
                <w:sz w:val="20"/>
                <w:szCs w:val="20"/>
              </w:rPr>
            </w:pPr>
            <w:r w:rsidRPr="00C557A9">
              <w:rPr>
                <w:b/>
                <w:bCs/>
                <w:sz w:val="20"/>
                <w:szCs w:val="20"/>
              </w:rPr>
              <w:t>Yes/No/NA</w:t>
            </w:r>
          </w:p>
        </w:tc>
        <w:tc>
          <w:tcPr>
            <w:tcW w:w="9072"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3C0C32A4" w14:textId="77777777" w:rsidR="0054569B" w:rsidRPr="00C557A9" w:rsidRDefault="0054569B" w:rsidP="00576EA7">
            <w:pPr>
              <w:rPr>
                <w:b/>
                <w:bCs/>
                <w:sz w:val="20"/>
                <w:szCs w:val="20"/>
              </w:rPr>
            </w:pPr>
            <w:r w:rsidRPr="00C557A9">
              <w:rPr>
                <w:b/>
                <w:bCs/>
                <w:sz w:val="20"/>
                <w:szCs w:val="20"/>
              </w:rPr>
              <w:t>Comment</w:t>
            </w:r>
          </w:p>
        </w:tc>
        <w:tc>
          <w:tcPr>
            <w:tcW w:w="170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3AFF8D74" w14:textId="77777777" w:rsidR="0054569B" w:rsidRPr="00C557A9" w:rsidRDefault="0054569B" w:rsidP="00576EA7">
            <w:pPr>
              <w:rPr>
                <w:b/>
                <w:bCs/>
                <w:sz w:val="20"/>
                <w:szCs w:val="20"/>
              </w:rPr>
            </w:pPr>
            <w:r w:rsidRPr="00C557A9">
              <w:rPr>
                <w:b/>
                <w:bCs/>
                <w:sz w:val="20"/>
                <w:szCs w:val="20"/>
              </w:rPr>
              <w:t>Page #</w:t>
            </w:r>
          </w:p>
        </w:tc>
      </w:tr>
      <w:tr w:rsidR="0054569B" w14:paraId="2D58941E" w14:textId="77777777" w:rsidTr="00C577A7">
        <w:tc>
          <w:tcPr>
            <w:tcW w:w="3686" w:type="dxa"/>
            <w:tcBorders>
              <w:top w:val="single" w:sz="4" w:space="0" w:color="auto"/>
              <w:left w:val="single" w:sz="4" w:space="0" w:color="auto"/>
              <w:bottom w:val="single" w:sz="4" w:space="0" w:color="auto"/>
              <w:right w:val="single" w:sz="4" w:space="0" w:color="auto"/>
            </w:tcBorders>
            <w:vAlign w:val="center"/>
            <w:hideMark/>
          </w:tcPr>
          <w:p w14:paraId="208C6B6E" w14:textId="77777777" w:rsidR="0054569B" w:rsidRPr="00BE46DD" w:rsidRDefault="0054569B" w:rsidP="00576EA7">
            <w:pPr>
              <w:rPr>
                <w:rFonts w:cstheme="minorHAnsi"/>
                <w:sz w:val="20"/>
                <w:szCs w:val="20"/>
              </w:rPr>
            </w:pPr>
            <w:r w:rsidRPr="00BE46DD">
              <w:rPr>
                <w:rStyle w:val="cf01"/>
                <w:rFonts w:asciiTheme="minorHAnsi" w:hAnsiTheme="minorHAnsi" w:cstheme="minorHAnsi"/>
                <w:sz w:val="20"/>
                <w:szCs w:val="20"/>
              </w:rPr>
              <w:t xml:space="preserve">Is the method selected to calculate </w:t>
            </w:r>
            <w:r w:rsidRPr="00BE46DD">
              <w:rPr>
                <w:rStyle w:val="cf11"/>
                <w:rFonts w:asciiTheme="minorHAnsi" w:hAnsiTheme="minorHAnsi" w:cstheme="minorHAnsi"/>
                <w:sz w:val="20"/>
                <w:szCs w:val="20"/>
              </w:rPr>
              <w:t>NRV(s) documented and justified? (factorial, dose response or risk assessment)</w:t>
            </w:r>
          </w:p>
          <w:p w14:paraId="46021DB9" w14:textId="77777777" w:rsidR="0054569B" w:rsidRPr="00BE46DD" w:rsidRDefault="0054569B" w:rsidP="00576EA7">
            <w:pPr>
              <w:rPr>
                <w:color w:val="E97132" w:themeColor="accent2"/>
                <w:sz w:val="20"/>
                <w:szCs w:val="20"/>
                <w:highlight w:val="yellow"/>
              </w:rPr>
            </w:pPr>
          </w:p>
        </w:tc>
        <w:tc>
          <w:tcPr>
            <w:tcW w:w="993" w:type="dxa"/>
            <w:tcBorders>
              <w:top w:val="single" w:sz="4" w:space="0" w:color="auto"/>
              <w:left w:val="single" w:sz="4" w:space="0" w:color="auto"/>
              <w:bottom w:val="single" w:sz="4" w:space="0" w:color="auto"/>
              <w:right w:val="single" w:sz="4" w:space="0" w:color="auto"/>
            </w:tcBorders>
            <w:vAlign w:val="center"/>
          </w:tcPr>
          <w:p w14:paraId="5A3B15FA" w14:textId="77777777" w:rsidR="0054569B" w:rsidRPr="00BE46DD" w:rsidRDefault="0054569B" w:rsidP="00576EA7">
            <w:pPr>
              <w:rPr>
                <w:sz w:val="20"/>
                <w:szCs w:val="20"/>
              </w:rPr>
            </w:pPr>
            <w:r w:rsidRPr="00BE46DD">
              <w:rPr>
                <w:sz w:val="20"/>
                <w:szCs w:val="20"/>
              </w:rPr>
              <w:t>Partially yes</w:t>
            </w:r>
          </w:p>
        </w:tc>
        <w:tc>
          <w:tcPr>
            <w:tcW w:w="9072" w:type="dxa"/>
            <w:tcBorders>
              <w:top w:val="single" w:sz="4" w:space="0" w:color="auto"/>
              <w:left w:val="single" w:sz="4" w:space="0" w:color="auto"/>
              <w:bottom w:val="single" w:sz="4" w:space="0" w:color="auto"/>
              <w:right w:val="single" w:sz="8" w:space="0" w:color="auto"/>
            </w:tcBorders>
            <w:vAlign w:val="center"/>
          </w:tcPr>
          <w:p w14:paraId="27C6F482" w14:textId="77777777" w:rsidR="0054569B" w:rsidRPr="00BE46DD" w:rsidRDefault="0054569B" w:rsidP="00576EA7">
            <w:pPr>
              <w:rPr>
                <w:sz w:val="20"/>
                <w:szCs w:val="20"/>
              </w:rPr>
            </w:pPr>
            <w:r w:rsidRPr="00BE46DD">
              <w:rPr>
                <w:sz w:val="20"/>
                <w:szCs w:val="20"/>
              </w:rPr>
              <w:t>The Panel considered that there are no appropriate biomarkers of sodium status that can be used for deriving DRVs for sodium.</w:t>
            </w:r>
          </w:p>
          <w:p w14:paraId="69FCC768" w14:textId="77777777" w:rsidR="0054569B" w:rsidRPr="00BE46DD" w:rsidRDefault="0054569B" w:rsidP="00576EA7">
            <w:pPr>
              <w:rPr>
                <w:rFonts w:cstheme="minorHAnsi"/>
                <w:sz w:val="20"/>
                <w:szCs w:val="20"/>
              </w:rPr>
            </w:pPr>
            <w:r w:rsidRPr="00BE46DD">
              <w:rPr>
                <w:rFonts w:cstheme="minorHAnsi"/>
                <w:sz w:val="20"/>
                <w:szCs w:val="20"/>
              </w:rPr>
              <w:t>The Panel acknowledged substantial uncertainties associated with evidence for sodium requirements (balance studies) and cardiovascular disease risk reduction. They elected to set a single ‘safe and adequate’ value (</w:t>
            </w:r>
            <w:proofErr w:type="spellStart"/>
            <w:r w:rsidRPr="00BE46DD">
              <w:rPr>
                <w:rFonts w:cstheme="minorHAnsi"/>
                <w:sz w:val="20"/>
                <w:szCs w:val="20"/>
              </w:rPr>
              <w:t>ie</w:t>
            </w:r>
            <w:proofErr w:type="spellEnd"/>
            <w:r w:rsidRPr="00BE46DD">
              <w:rPr>
                <w:rFonts w:cstheme="minorHAnsi"/>
                <w:sz w:val="20"/>
                <w:szCs w:val="20"/>
              </w:rPr>
              <w:t>. neither an AI nor an SDT or CDDR) that reflects a compromise between the different types of evidence and risks.</w:t>
            </w:r>
          </w:p>
          <w:p w14:paraId="027A90B2" w14:textId="77777777" w:rsidR="0054569B" w:rsidRPr="00BE46DD" w:rsidRDefault="0054569B" w:rsidP="00576EA7">
            <w:pPr>
              <w:rPr>
                <w:rFonts w:cstheme="minorHAnsi"/>
                <w:sz w:val="20"/>
                <w:szCs w:val="20"/>
              </w:rPr>
            </w:pPr>
            <w:r w:rsidRPr="00BE46DD">
              <w:rPr>
                <w:rFonts w:cstheme="minorHAnsi"/>
                <w:sz w:val="20"/>
                <w:szCs w:val="20"/>
              </w:rPr>
              <w:t xml:space="preserve">The ’safe and adequate’ value was based on evidence from sodium balance studies and dose-response modelling for </w:t>
            </w:r>
            <w:proofErr w:type="gramStart"/>
            <w:r w:rsidRPr="00BE46DD">
              <w:rPr>
                <w:rFonts w:cstheme="minorHAnsi"/>
                <w:sz w:val="20"/>
                <w:szCs w:val="20"/>
              </w:rPr>
              <w:t>SBP, but</w:t>
            </w:r>
            <w:proofErr w:type="gramEnd"/>
            <w:r w:rsidRPr="00BE46DD">
              <w:rPr>
                <w:rFonts w:cstheme="minorHAnsi"/>
                <w:sz w:val="20"/>
                <w:szCs w:val="20"/>
              </w:rPr>
              <w:t xml:space="preserve"> derived using an Expert knowledge elicitation (EKE) based on probability using the roulette method (EFSA 2014).  </w:t>
            </w:r>
          </w:p>
          <w:p w14:paraId="0BA8E95B" w14:textId="2A142F60" w:rsidR="0054569B" w:rsidRPr="00BE46DD" w:rsidRDefault="0054569B" w:rsidP="00576EA7">
            <w:pPr>
              <w:rPr>
                <w:sz w:val="20"/>
                <w:szCs w:val="20"/>
              </w:rPr>
            </w:pPr>
            <w:r w:rsidRPr="00BE46DD">
              <w:rPr>
                <w:rFonts w:cstheme="minorHAnsi"/>
                <w:sz w:val="20"/>
                <w:szCs w:val="20"/>
              </w:rPr>
              <w:t>The method was clearly documented and justified, although it may not align with NHMRC’s objectives of establishing both an AI and SDT.</w:t>
            </w:r>
          </w:p>
        </w:tc>
        <w:tc>
          <w:tcPr>
            <w:tcW w:w="1700" w:type="dxa"/>
            <w:tcBorders>
              <w:top w:val="single" w:sz="4" w:space="0" w:color="auto"/>
              <w:left w:val="single" w:sz="4" w:space="0" w:color="auto"/>
              <w:bottom w:val="single" w:sz="4" w:space="0" w:color="auto"/>
              <w:right w:val="single" w:sz="8" w:space="0" w:color="auto"/>
            </w:tcBorders>
            <w:vAlign w:val="center"/>
          </w:tcPr>
          <w:p w14:paraId="43DBCB30" w14:textId="77777777" w:rsidR="00C577A7" w:rsidRDefault="0054569B" w:rsidP="00576EA7">
            <w:pPr>
              <w:rPr>
                <w:sz w:val="20"/>
                <w:szCs w:val="20"/>
              </w:rPr>
            </w:pPr>
            <w:r w:rsidRPr="00BE46DD">
              <w:rPr>
                <w:sz w:val="20"/>
                <w:szCs w:val="20"/>
              </w:rPr>
              <w:t>9 (‘integration of the available evidence and derivation of DRVs)</w:t>
            </w:r>
          </w:p>
          <w:p w14:paraId="161B38A3" w14:textId="5FB52866" w:rsidR="0054569B" w:rsidRPr="00BE46DD" w:rsidRDefault="0054569B" w:rsidP="00576EA7">
            <w:pPr>
              <w:rPr>
                <w:sz w:val="20"/>
                <w:szCs w:val="20"/>
              </w:rPr>
            </w:pPr>
            <w:r w:rsidRPr="00BE46DD">
              <w:rPr>
                <w:sz w:val="20"/>
                <w:szCs w:val="20"/>
              </w:rPr>
              <w:t xml:space="preserve">Appendix M (p. 187) of </w:t>
            </w:r>
            <w:proofErr w:type="spellStart"/>
            <w:r w:rsidRPr="00BE46DD">
              <w:rPr>
                <w:sz w:val="20"/>
                <w:szCs w:val="20"/>
              </w:rPr>
              <w:t>Guideleines</w:t>
            </w:r>
            <w:proofErr w:type="spellEnd"/>
          </w:p>
        </w:tc>
      </w:tr>
      <w:tr w:rsidR="0054569B" w14:paraId="5F1F3C7B" w14:textId="77777777" w:rsidTr="00C577A7">
        <w:tc>
          <w:tcPr>
            <w:tcW w:w="3686" w:type="dxa"/>
            <w:tcBorders>
              <w:top w:val="single" w:sz="4" w:space="0" w:color="auto"/>
              <w:left w:val="single" w:sz="4" w:space="0" w:color="auto"/>
              <w:bottom w:val="single" w:sz="4" w:space="0" w:color="auto"/>
              <w:right w:val="single" w:sz="4" w:space="0" w:color="auto"/>
            </w:tcBorders>
            <w:vAlign w:val="center"/>
            <w:hideMark/>
          </w:tcPr>
          <w:p w14:paraId="3A3700A4" w14:textId="77777777" w:rsidR="0054569B" w:rsidRPr="00BE46DD" w:rsidRDefault="0054569B" w:rsidP="00576EA7">
            <w:pPr>
              <w:rPr>
                <w:color w:val="E97132" w:themeColor="accent2"/>
                <w:sz w:val="20"/>
                <w:szCs w:val="20"/>
              </w:rPr>
            </w:pPr>
            <w:r w:rsidRPr="00BE46DD">
              <w:rPr>
                <w:sz w:val="20"/>
                <w:szCs w:val="20"/>
              </w:rPr>
              <w:t xml:space="preserve">Are the algorithms and calculations clearly documented and explained? </w:t>
            </w:r>
          </w:p>
        </w:tc>
        <w:tc>
          <w:tcPr>
            <w:tcW w:w="993" w:type="dxa"/>
            <w:tcBorders>
              <w:top w:val="single" w:sz="4" w:space="0" w:color="auto"/>
              <w:left w:val="single" w:sz="4" w:space="0" w:color="auto"/>
              <w:bottom w:val="single" w:sz="4" w:space="0" w:color="auto"/>
              <w:right w:val="single" w:sz="4" w:space="0" w:color="auto"/>
            </w:tcBorders>
            <w:vAlign w:val="center"/>
          </w:tcPr>
          <w:p w14:paraId="6B2060D4" w14:textId="77777777" w:rsidR="0054569B" w:rsidRPr="00BE46DD" w:rsidRDefault="0054569B" w:rsidP="00576EA7">
            <w:pPr>
              <w:rPr>
                <w:sz w:val="20"/>
                <w:szCs w:val="20"/>
              </w:rPr>
            </w:pPr>
            <w:r w:rsidRPr="00BE46DD">
              <w:rPr>
                <w:sz w:val="20"/>
                <w:szCs w:val="20"/>
              </w:rPr>
              <w:t xml:space="preserve">Yes </w:t>
            </w:r>
          </w:p>
        </w:tc>
        <w:tc>
          <w:tcPr>
            <w:tcW w:w="9072" w:type="dxa"/>
            <w:tcBorders>
              <w:top w:val="single" w:sz="4" w:space="0" w:color="auto"/>
              <w:left w:val="single" w:sz="4" w:space="0" w:color="auto"/>
              <w:bottom w:val="single" w:sz="4" w:space="0" w:color="auto"/>
              <w:right w:val="single" w:sz="8" w:space="0" w:color="auto"/>
            </w:tcBorders>
            <w:vAlign w:val="center"/>
          </w:tcPr>
          <w:p w14:paraId="542F8945" w14:textId="77777777" w:rsidR="0054569B" w:rsidRPr="00BE46DD" w:rsidRDefault="0054569B" w:rsidP="00576EA7">
            <w:pPr>
              <w:rPr>
                <w:rFonts w:cstheme="minorHAnsi"/>
                <w:color w:val="000000"/>
                <w:sz w:val="20"/>
                <w:szCs w:val="20"/>
                <w:shd w:val="clear" w:color="auto" w:fill="FFFFFF"/>
              </w:rPr>
            </w:pPr>
            <w:r w:rsidRPr="00BE46DD">
              <w:rPr>
                <w:rFonts w:cstheme="minorHAnsi"/>
                <w:color w:val="000000"/>
                <w:sz w:val="20"/>
                <w:szCs w:val="20"/>
                <w:shd w:val="clear" w:color="auto" w:fill="FFFFFF"/>
              </w:rPr>
              <w:t>The following question was used for the EKE: </w:t>
            </w:r>
            <w:r w:rsidRPr="00BE46DD">
              <w:rPr>
                <w:rFonts w:cstheme="minorHAnsi"/>
                <w:i/>
                <w:color w:val="000000"/>
                <w:sz w:val="20"/>
                <w:szCs w:val="20"/>
                <w:shd w:val="clear" w:color="auto" w:fill="FFFFFF"/>
              </w:rPr>
              <w:t>What is the lowest level of sodium intake at which the risk of chronic disease (i</w:t>
            </w:r>
            <w:r w:rsidRPr="00BE46DD">
              <w:rPr>
                <w:rFonts w:cstheme="minorHAnsi"/>
                <w:color w:val="000000"/>
                <w:sz w:val="20"/>
                <w:szCs w:val="20"/>
                <w:shd w:val="clear" w:color="auto" w:fill="FFFFFF"/>
              </w:rPr>
              <w:t>.</w:t>
            </w:r>
            <w:r w:rsidRPr="00BE46DD">
              <w:rPr>
                <w:rFonts w:cstheme="minorHAnsi"/>
                <w:i/>
                <w:color w:val="000000"/>
                <w:sz w:val="20"/>
                <w:szCs w:val="20"/>
                <w:shd w:val="clear" w:color="auto" w:fill="FFFFFF"/>
              </w:rPr>
              <w:t>e</w:t>
            </w:r>
            <w:r w:rsidRPr="00BE46DD">
              <w:rPr>
                <w:rFonts w:cstheme="minorHAnsi"/>
                <w:color w:val="000000"/>
                <w:sz w:val="20"/>
                <w:szCs w:val="20"/>
                <w:shd w:val="clear" w:color="auto" w:fill="FFFFFF"/>
              </w:rPr>
              <w:t>. </w:t>
            </w:r>
            <w:r w:rsidRPr="00BE46DD">
              <w:rPr>
                <w:rFonts w:cstheme="minorHAnsi"/>
                <w:i/>
                <w:color w:val="000000"/>
                <w:sz w:val="20"/>
                <w:szCs w:val="20"/>
                <w:shd w:val="clear" w:color="auto" w:fill="FFFFFF"/>
              </w:rPr>
              <w:t>stroke</w:t>
            </w:r>
            <w:r w:rsidRPr="00BE46DD">
              <w:rPr>
                <w:rFonts w:cstheme="minorHAnsi"/>
                <w:color w:val="000000"/>
                <w:sz w:val="20"/>
                <w:szCs w:val="20"/>
                <w:shd w:val="clear" w:color="auto" w:fill="FFFFFF"/>
              </w:rPr>
              <w:t>,</w:t>
            </w:r>
            <w:r w:rsidRPr="00BE46DD">
              <w:rPr>
                <w:rFonts w:cstheme="minorHAnsi"/>
                <w:i/>
                <w:color w:val="000000"/>
                <w:sz w:val="20"/>
                <w:szCs w:val="20"/>
                <w:shd w:val="clear" w:color="auto" w:fill="FFFFFF"/>
              </w:rPr>
              <w:t> CHD) is minimised in the majority (≥ 97</w:t>
            </w:r>
            <w:r w:rsidRPr="00BE46DD">
              <w:rPr>
                <w:rFonts w:cstheme="minorHAnsi"/>
                <w:color w:val="000000"/>
                <w:sz w:val="20"/>
                <w:szCs w:val="20"/>
                <w:shd w:val="clear" w:color="auto" w:fill="FFFFFF"/>
              </w:rPr>
              <w:t>.</w:t>
            </w:r>
            <w:r w:rsidRPr="00BE46DD">
              <w:rPr>
                <w:rFonts w:cstheme="minorHAnsi"/>
                <w:i/>
                <w:color w:val="000000"/>
                <w:sz w:val="20"/>
                <w:szCs w:val="20"/>
                <w:shd w:val="clear" w:color="auto" w:fill="FFFFFF"/>
              </w:rPr>
              <w:t>5%) of the general population of adults</w:t>
            </w:r>
            <w:r w:rsidRPr="00BE46DD">
              <w:rPr>
                <w:rFonts w:cstheme="minorHAnsi"/>
                <w:color w:val="000000"/>
                <w:sz w:val="20"/>
                <w:szCs w:val="20"/>
                <w:shd w:val="clear" w:color="auto" w:fill="FFFFFF"/>
              </w:rPr>
              <w:t>?</w:t>
            </w:r>
          </w:p>
          <w:p w14:paraId="0FB32DD9" w14:textId="20609941" w:rsidR="0054569B" w:rsidRPr="00BE46DD" w:rsidRDefault="0054569B" w:rsidP="00576EA7">
            <w:pPr>
              <w:rPr>
                <w:sz w:val="20"/>
                <w:szCs w:val="20"/>
              </w:rPr>
            </w:pPr>
            <w:r w:rsidRPr="00BE46DD">
              <w:rPr>
                <w:rFonts w:cstheme="minorHAnsi"/>
                <w:color w:val="000000"/>
                <w:sz w:val="20"/>
                <w:szCs w:val="20"/>
                <w:shd w:val="clear" w:color="auto" w:fill="FFFFFF"/>
              </w:rPr>
              <w:t xml:space="preserve">Nature of EKE process is that it is deliberative and pragmatic rather than fully quantitative, so calculations and algorithms are not explicit, although EKE probabilities for sodium balance and SBP are documented in figures. Resulting derivation described on pp. 43-47. </w:t>
            </w:r>
          </w:p>
        </w:tc>
        <w:tc>
          <w:tcPr>
            <w:tcW w:w="1700" w:type="dxa"/>
            <w:tcBorders>
              <w:top w:val="single" w:sz="4" w:space="0" w:color="auto"/>
              <w:left w:val="single" w:sz="4" w:space="0" w:color="auto"/>
              <w:bottom w:val="single" w:sz="4" w:space="0" w:color="auto"/>
              <w:right w:val="single" w:sz="8" w:space="0" w:color="auto"/>
            </w:tcBorders>
            <w:vAlign w:val="center"/>
          </w:tcPr>
          <w:p w14:paraId="67F28D2F" w14:textId="77777777" w:rsidR="0054569B" w:rsidRPr="00BE46DD" w:rsidRDefault="0054569B" w:rsidP="00576EA7">
            <w:pPr>
              <w:rPr>
                <w:sz w:val="20"/>
                <w:szCs w:val="20"/>
              </w:rPr>
            </w:pPr>
            <w:r w:rsidRPr="00BE46DD">
              <w:rPr>
                <w:sz w:val="20"/>
                <w:szCs w:val="20"/>
              </w:rPr>
              <w:t>pp. 43-47</w:t>
            </w:r>
          </w:p>
        </w:tc>
      </w:tr>
      <w:tr w:rsidR="0054569B" w14:paraId="1EC90477" w14:textId="77777777" w:rsidTr="00C577A7">
        <w:tc>
          <w:tcPr>
            <w:tcW w:w="3686" w:type="dxa"/>
            <w:tcBorders>
              <w:top w:val="single" w:sz="4" w:space="0" w:color="auto"/>
              <w:left w:val="single" w:sz="4" w:space="0" w:color="auto"/>
              <w:bottom w:val="single" w:sz="4" w:space="0" w:color="auto"/>
              <w:right w:val="single" w:sz="4" w:space="0" w:color="auto"/>
            </w:tcBorders>
            <w:vAlign w:val="center"/>
          </w:tcPr>
          <w:p w14:paraId="4C6036EA" w14:textId="77777777" w:rsidR="0054569B" w:rsidRPr="00BE46DD" w:rsidRDefault="0054569B" w:rsidP="00576EA7">
            <w:pPr>
              <w:rPr>
                <w:sz w:val="20"/>
                <w:szCs w:val="20"/>
              </w:rPr>
            </w:pPr>
            <w:r w:rsidRPr="00BE46DD">
              <w:rPr>
                <w:sz w:val="20"/>
                <w:szCs w:val="20"/>
              </w:rPr>
              <w:t>Are the assumptions and reference data (intake, body weights for age groups etc) used for the calculations clearly documented and explained?</w:t>
            </w:r>
          </w:p>
          <w:p w14:paraId="22278EFE" w14:textId="77777777" w:rsidR="0054569B" w:rsidRPr="00BE46DD" w:rsidRDefault="0054569B" w:rsidP="00576EA7">
            <w:pPr>
              <w:rPr>
                <w:color w:val="E97132" w:themeColor="accent2"/>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62A573E6" w14:textId="77777777" w:rsidR="0054569B" w:rsidRPr="00BE46DD" w:rsidRDefault="0054569B" w:rsidP="00576EA7">
            <w:pPr>
              <w:rPr>
                <w:sz w:val="20"/>
                <w:szCs w:val="20"/>
              </w:rPr>
            </w:pPr>
            <w:r w:rsidRPr="00BE46DD">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005C1F4B" w14:textId="6C070EE2" w:rsidR="0054569B" w:rsidRPr="00BE46DD" w:rsidRDefault="0054569B" w:rsidP="00576EA7">
            <w:pPr>
              <w:rPr>
                <w:rFonts w:cstheme="minorHAnsi"/>
                <w:color w:val="000000"/>
                <w:sz w:val="20"/>
                <w:szCs w:val="20"/>
                <w:shd w:val="clear" w:color="auto" w:fill="FFFFFF"/>
              </w:rPr>
            </w:pPr>
            <w:r w:rsidRPr="00BE46DD">
              <w:rPr>
                <w:rFonts w:cstheme="minorHAnsi"/>
                <w:color w:val="000000"/>
                <w:sz w:val="20"/>
                <w:szCs w:val="20"/>
                <w:shd w:val="clear" w:color="auto" w:fill="FFFFFF"/>
              </w:rPr>
              <w:t>The age categories proposed by the EFSA NDA Panel (</w:t>
            </w:r>
            <w:hyperlink r:id="rId205" w:anchor="efs25778-bib-0084" w:history="1">
              <w:r w:rsidRPr="00BE46DD">
                <w:rPr>
                  <w:rStyle w:val="Hyperlink"/>
                  <w:rFonts w:asciiTheme="minorHAnsi" w:hAnsiTheme="minorHAnsi" w:cstheme="minorHAnsi"/>
                  <w:sz w:val="20"/>
                  <w:szCs w:val="20"/>
                </w:rPr>
                <w:t>2010</w:t>
              </w:r>
            </w:hyperlink>
            <w:r w:rsidRPr="00BE46DD">
              <w:rPr>
                <w:rFonts w:cstheme="minorHAnsi"/>
                <w:color w:val="000000"/>
                <w:sz w:val="20"/>
                <w:szCs w:val="20"/>
                <w:shd w:val="clear" w:color="auto" w:fill="FFFFFF"/>
              </w:rPr>
              <w:t xml:space="preserve">) were applied. For each age category, the Panel decided to set a single value for boys and </w:t>
            </w:r>
            <w:proofErr w:type="gramStart"/>
            <w:r w:rsidRPr="00BE46DD">
              <w:rPr>
                <w:rFonts w:cstheme="minorHAnsi"/>
                <w:color w:val="000000"/>
                <w:sz w:val="20"/>
                <w:szCs w:val="20"/>
                <w:shd w:val="clear" w:color="auto" w:fill="FFFFFF"/>
              </w:rPr>
              <w:t>girls</w:t>
            </w:r>
            <w:proofErr w:type="gramEnd"/>
            <w:r w:rsidRPr="00BE46DD">
              <w:rPr>
                <w:rFonts w:cstheme="minorHAnsi"/>
                <w:color w:val="000000"/>
                <w:sz w:val="20"/>
                <w:szCs w:val="20"/>
                <w:shd w:val="clear" w:color="auto" w:fill="FFFFFF"/>
              </w:rPr>
              <w:t xml:space="preserve"> and the average of the values calculated for both sexes was taken (Table </w:t>
            </w:r>
            <w:hyperlink r:id="rId206" w:anchor="efs25778-tbl-0011" w:tooltip="Link to table" w:history="1">
              <w:r w:rsidRPr="00BE46DD">
                <w:rPr>
                  <w:rStyle w:val="Hyperlink"/>
                  <w:rFonts w:asciiTheme="minorHAnsi" w:hAnsiTheme="minorHAnsi" w:cstheme="minorHAnsi"/>
                  <w:color w:val="002596"/>
                  <w:sz w:val="20"/>
                  <w:szCs w:val="20"/>
                  <w:shd w:val="clear" w:color="auto" w:fill="FFFFFF"/>
                </w:rPr>
                <w:t>11</w:t>
              </w:r>
            </w:hyperlink>
            <w:r w:rsidRPr="00BE46DD">
              <w:rPr>
                <w:rFonts w:cstheme="minorHAnsi"/>
                <w:color w:val="000000"/>
                <w:sz w:val="20"/>
                <w:szCs w:val="20"/>
                <w:shd w:val="clear" w:color="auto" w:fill="FFFFFF"/>
              </w:rPr>
              <w:t>).</w:t>
            </w:r>
          </w:p>
          <w:p w14:paraId="69CF531D" w14:textId="6857ED10" w:rsidR="0054569B" w:rsidRPr="00BE46DD" w:rsidRDefault="0054569B" w:rsidP="00576EA7">
            <w:pPr>
              <w:rPr>
                <w:sz w:val="20"/>
                <w:szCs w:val="20"/>
              </w:rPr>
            </w:pPr>
            <w:r w:rsidRPr="00BE46DD">
              <w:rPr>
                <w:sz w:val="20"/>
                <w:szCs w:val="20"/>
              </w:rPr>
              <w:t>There is a lack of data from which an AR could be derived for infants (Section </w:t>
            </w:r>
            <w:hyperlink r:id="rId207" w:anchor="efs25778-sec-0052" w:history="1">
              <w:r w:rsidRPr="00BE46DD">
                <w:rPr>
                  <w:rStyle w:val="Hyperlink"/>
                  <w:rFonts w:asciiTheme="minorHAnsi" w:hAnsiTheme="minorHAnsi"/>
                  <w:sz w:val="20"/>
                  <w:szCs w:val="20"/>
                </w:rPr>
                <w:t>5.4</w:t>
              </w:r>
            </w:hyperlink>
            <w:r w:rsidRPr="00BE46DD">
              <w:rPr>
                <w:sz w:val="20"/>
                <w:szCs w:val="20"/>
              </w:rPr>
              <w:t>).</w:t>
            </w:r>
          </w:p>
          <w:p w14:paraId="51B47E9D" w14:textId="1868901D" w:rsidR="0054569B" w:rsidRPr="00BE46DD" w:rsidRDefault="0054569B" w:rsidP="00576EA7">
            <w:pPr>
              <w:rPr>
                <w:sz w:val="20"/>
                <w:szCs w:val="20"/>
              </w:rPr>
            </w:pPr>
            <w:r w:rsidRPr="00BE46DD">
              <w:rPr>
                <w:sz w:val="20"/>
                <w:szCs w:val="20"/>
              </w:rPr>
              <w:t>Upwards extrapolation from the estimated sodium intake of fully breast-fed infants during the first 6 months of life of 120 mg/day (Section </w:t>
            </w:r>
            <w:hyperlink r:id="rId208" w:anchor="efs25778-sec-0023" w:history="1">
              <w:r w:rsidRPr="00BE46DD">
                <w:rPr>
                  <w:rStyle w:val="Hyperlink"/>
                  <w:rFonts w:asciiTheme="minorHAnsi" w:hAnsiTheme="minorHAnsi"/>
                  <w:sz w:val="20"/>
                  <w:szCs w:val="20"/>
                </w:rPr>
                <w:t>2.3.4.4</w:t>
              </w:r>
            </w:hyperlink>
            <w:r w:rsidRPr="00BE46DD">
              <w:rPr>
                <w:sz w:val="20"/>
                <w:szCs w:val="20"/>
              </w:rPr>
              <w:t>), based on ARs for energy of infants aged 3 months (2.0 MJ/day for men and women (EFSA NDA Panel, </w:t>
            </w:r>
            <w:hyperlink r:id="rId209" w:anchor="efs25778-bib-0087" w:history="1">
              <w:r w:rsidRPr="00BE46DD">
                <w:rPr>
                  <w:rStyle w:val="Hyperlink"/>
                  <w:rFonts w:asciiTheme="minorHAnsi" w:hAnsiTheme="minorHAnsi"/>
                  <w:sz w:val="20"/>
                  <w:szCs w:val="20"/>
                </w:rPr>
                <w:t>2013a</w:t>
              </w:r>
            </w:hyperlink>
            <w:r w:rsidRPr="00BE46DD">
              <w:rPr>
                <w:sz w:val="20"/>
                <w:szCs w:val="20"/>
              </w:rPr>
              <w:t>)) and 9 months (2.8 MJ/day for men and women (EFSA NDA Panel, </w:t>
            </w:r>
            <w:hyperlink r:id="rId210" w:anchor="efs25778-bib-0088" w:history="1">
              <w:r w:rsidRPr="00BE46DD">
                <w:rPr>
                  <w:rStyle w:val="Hyperlink"/>
                  <w:rFonts w:asciiTheme="minorHAnsi" w:hAnsiTheme="minorHAnsi"/>
                  <w:sz w:val="20"/>
                  <w:szCs w:val="20"/>
                </w:rPr>
                <w:t>2013b</w:t>
              </w:r>
            </w:hyperlink>
            <w:r w:rsidRPr="00BE46DD">
              <w:rPr>
                <w:sz w:val="20"/>
                <w:szCs w:val="20"/>
              </w:rPr>
              <w:t>)), results in an estimated sodium intake of 168 mg/day.</w:t>
            </w:r>
          </w:p>
          <w:p w14:paraId="47BE2CE9" w14:textId="16756CCD" w:rsidR="0054569B" w:rsidRPr="00BE46DD" w:rsidRDefault="0054569B" w:rsidP="00576EA7">
            <w:pPr>
              <w:rPr>
                <w:sz w:val="20"/>
                <w:szCs w:val="20"/>
              </w:rPr>
            </w:pPr>
            <w:r w:rsidRPr="00BE46DD">
              <w:rPr>
                <w:sz w:val="20"/>
                <w:szCs w:val="20"/>
              </w:rPr>
              <w:t>After rounding to the closest 0.1, an AI of 0.2 g/day is proposed for infants aged 7–11 months.</w:t>
            </w:r>
          </w:p>
        </w:tc>
        <w:tc>
          <w:tcPr>
            <w:tcW w:w="1700" w:type="dxa"/>
            <w:tcBorders>
              <w:top w:val="single" w:sz="4" w:space="0" w:color="auto"/>
              <w:left w:val="single" w:sz="4" w:space="0" w:color="auto"/>
              <w:bottom w:val="single" w:sz="4" w:space="0" w:color="auto"/>
              <w:right w:val="single" w:sz="8" w:space="0" w:color="auto"/>
            </w:tcBorders>
            <w:vAlign w:val="center"/>
          </w:tcPr>
          <w:p w14:paraId="65CDAF40" w14:textId="77777777" w:rsidR="0054569B" w:rsidRPr="00BE46DD" w:rsidRDefault="0054569B" w:rsidP="00576EA7">
            <w:pPr>
              <w:rPr>
                <w:sz w:val="20"/>
                <w:szCs w:val="20"/>
              </w:rPr>
            </w:pPr>
          </w:p>
        </w:tc>
      </w:tr>
      <w:tr w:rsidR="0054569B" w14:paraId="02FFA5C6" w14:textId="77777777" w:rsidTr="00C577A7">
        <w:tc>
          <w:tcPr>
            <w:tcW w:w="3686" w:type="dxa"/>
            <w:tcBorders>
              <w:top w:val="single" w:sz="8" w:space="0" w:color="auto"/>
              <w:left w:val="single" w:sz="4" w:space="0" w:color="auto"/>
              <w:bottom w:val="single" w:sz="4" w:space="0" w:color="auto"/>
              <w:right w:val="single" w:sz="4" w:space="0" w:color="auto"/>
            </w:tcBorders>
            <w:vAlign w:val="center"/>
            <w:hideMark/>
          </w:tcPr>
          <w:p w14:paraId="20BD1762" w14:textId="77777777" w:rsidR="0054569B" w:rsidRPr="00BE46DD" w:rsidRDefault="0054569B" w:rsidP="00576EA7">
            <w:pPr>
              <w:rPr>
                <w:sz w:val="20"/>
                <w:szCs w:val="20"/>
              </w:rPr>
            </w:pPr>
            <w:r w:rsidRPr="00BE46DD">
              <w:rPr>
                <w:sz w:val="20"/>
                <w:szCs w:val="20"/>
              </w:rPr>
              <w:t xml:space="preserve">Is there justification for the choice of uncertainty and safety factors? </w:t>
            </w:r>
          </w:p>
        </w:tc>
        <w:tc>
          <w:tcPr>
            <w:tcW w:w="993" w:type="dxa"/>
            <w:tcBorders>
              <w:top w:val="single" w:sz="8" w:space="0" w:color="auto"/>
              <w:left w:val="single" w:sz="4" w:space="0" w:color="auto"/>
              <w:bottom w:val="single" w:sz="4" w:space="0" w:color="auto"/>
              <w:right w:val="single" w:sz="4" w:space="0" w:color="auto"/>
            </w:tcBorders>
            <w:vAlign w:val="center"/>
          </w:tcPr>
          <w:p w14:paraId="1136CF64" w14:textId="77777777" w:rsidR="0054569B" w:rsidRPr="00BE46DD" w:rsidRDefault="0054569B" w:rsidP="00576EA7">
            <w:pPr>
              <w:rPr>
                <w:sz w:val="20"/>
                <w:szCs w:val="20"/>
              </w:rPr>
            </w:pPr>
            <w:r w:rsidRPr="00BE46DD">
              <w:rPr>
                <w:sz w:val="20"/>
                <w:szCs w:val="20"/>
              </w:rPr>
              <w:t>Partially Yes, partially N/A</w:t>
            </w:r>
          </w:p>
        </w:tc>
        <w:tc>
          <w:tcPr>
            <w:tcW w:w="9072" w:type="dxa"/>
            <w:tcBorders>
              <w:top w:val="single" w:sz="8" w:space="0" w:color="auto"/>
              <w:left w:val="single" w:sz="4" w:space="0" w:color="auto"/>
              <w:bottom w:val="single" w:sz="4" w:space="0" w:color="auto"/>
              <w:right w:val="single" w:sz="8" w:space="0" w:color="auto"/>
            </w:tcBorders>
            <w:vAlign w:val="center"/>
          </w:tcPr>
          <w:p w14:paraId="7EBED90F" w14:textId="77777777" w:rsidR="0054569B" w:rsidRPr="00BE46DD" w:rsidRDefault="0054569B" w:rsidP="00576EA7">
            <w:pPr>
              <w:rPr>
                <w:sz w:val="20"/>
                <w:szCs w:val="20"/>
              </w:rPr>
            </w:pPr>
            <w:r w:rsidRPr="00BE46DD">
              <w:rPr>
                <w:sz w:val="20"/>
                <w:szCs w:val="20"/>
              </w:rPr>
              <w:t xml:space="preserve">NRVs derived by group consensus using EKE so no Uncertainty Factor or safety factor formally applied. However, these concepts were built into the consensus approach, with the elicitation focused on the </w:t>
            </w:r>
            <w:r w:rsidRPr="00BE46DD">
              <w:rPr>
                <w:i/>
                <w:iCs/>
                <w:sz w:val="20"/>
                <w:szCs w:val="20"/>
              </w:rPr>
              <w:t>lowest</w:t>
            </w:r>
            <w:r w:rsidRPr="00BE46DD">
              <w:rPr>
                <w:sz w:val="20"/>
                <w:szCs w:val="20"/>
              </w:rPr>
              <w:t xml:space="preserve"> level of sodium intake at which the risk of chronic disease (i.e. stroke, CHD) is minimised in the general population. </w:t>
            </w:r>
          </w:p>
          <w:p w14:paraId="5C21DF56" w14:textId="4C988316" w:rsidR="0054569B" w:rsidRPr="00BE46DD" w:rsidRDefault="0054569B" w:rsidP="00576EA7">
            <w:pPr>
              <w:rPr>
                <w:sz w:val="20"/>
                <w:szCs w:val="20"/>
              </w:rPr>
            </w:pPr>
            <w:r w:rsidRPr="00BE46DD">
              <w:rPr>
                <w:sz w:val="20"/>
                <w:szCs w:val="20"/>
              </w:rPr>
              <w:t>Experts expressed the probability that each of the proposed ranges of sodium intake might include the ‘true’ level of interest. Therefore, the probability distribution reflects the uncertainty about the level elicited. It does NOT represent the probability (or risk) of sodium ‘imbalance’ associated to a given range of sodium intake. Ranges that did not receive any probability are not retained in the figure.</w:t>
            </w:r>
          </w:p>
        </w:tc>
        <w:tc>
          <w:tcPr>
            <w:tcW w:w="1700" w:type="dxa"/>
            <w:tcBorders>
              <w:top w:val="single" w:sz="8" w:space="0" w:color="auto"/>
              <w:left w:val="single" w:sz="4" w:space="0" w:color="auto"/>
              <w:bottom w:val="single" w:sz="4" w:space="0" w:color="auto"/>
              <w:right w:val="single" w:sz="8" w:space="0" w:color="auto"/>
            </w:tcBorders>
            <w:vAlign w:val="center"/>
          </w:tcPr>
          <w:p w14:paraId="1A81DCC8" w14:textId="77777777" w:rsidR="0054569B" w:rsidRPr="00BE46DD" w:rsidRDefault="0054569B" w:rsidP="00576EA7">
            <w:pPr>
              <w:rPr>
                <w:sz w:val="20"/>
                <w:szCs w:val="20"/>
              </w:rPr>
            </w:pPr>
            <w:r w:rsidRPr="00BE46DD">
              <w:rPr>
                <w:sz w:val="20"/>
                <w:szCs w:val="20"/>
              </w:rPr>
              <w:t>pp. 43-47</w:t>
            </w:r>
          </w:p>
        </w:tc>
      </w:tr>
      <w:tr w:rsidR="0054569B" w14:paraId="3C49477B" w14:textId="77777777" w:rsidTr="00C577A7">
        <w:tc>
          <w:tcPr>
            <w:tcW w:w="3686" w:type="dxa"/>
            <w:tcBorders>
              <w:top w:val="single" w:sz="8" w:space="0" w:color="auto"/>
              <w:left w:val="single" w:sz="4" w:space="0" w:color="auto"/>
              <w:bottom w:val="single" w:sz="4" w:space="0" w:color="auto"/>
              <w:right w:val="single" w:sz="4" w:space="0" w:color="auto"/>
            </w:tcBorders>
            <w:vAlign w:val="center"/>
          </w:tcPr>
          <w:p w14:paraId="24874A7D" w14:textId="77777777" w:rsidR="0054569B" w:rsidRPr="00BE46DD" w:rsidRDefault="0054569B" w:rsidP="00576EA7">
            <w:pPr>
              <w:rPr>
                <w:rFonts w:cs="Calibri"/>
                <w:sz w:val="20"/>
                <w:szCs w:val="20"/>
              </w:rPr>
            </w:pPr>
            <w:r w:rsidRPr="00BE46DD">
              <w:rPr>
                <w:rStyle w:val="cf01"/>
                <w:rFonts w:asciiTheme="minorHAnsi" w:hAnsiTheme="minorHAnsi" w:cs="Calibri"/>
                <w:sz w:val="20"/>
                <w:szCs w:val="20"/>
              </w:rPr>
              <w:lastRenderedPageBreak/>
              <w:t xml:space="preserve">Is justification provided for any clinical/chronic endpoints selected as indictors/outcomes? </w:t>
            </w:r>
          </w:p>
          <w:p w14:paraId="754161AB" w14:textId="77777777" w:rsidR="0054569B" w:rsidRPr="00BE46DD" w:rsidRDefault="0054569B" w:rsidP="00576EA7">
            <w:pPr>
              <w:rPr>
                <w:rFonts w:cs="Calibri"/>
                <w:sz w:val="20"/>
                <w:szCs w:val="20"/>
              </w:rPr>
            </w:pPr>
            <w:r w:rsidRPr="00BE46DD">
              <w:rPr>
                <w:rStyle w:val="cf01"/>
                <w:rFonts w:asciiTheme="minorHAnsi" w:hAnsiTheme="minorHAnsi" w:cs="Calibri"/>
                <w:sz w:val="20"/>
                <w:szCs w:val="20"/>
              </w:rPr>
              <w:t xml:space="preserve">(Details of endpoints to be provided in a supplementary table.) </w:t>
            </w:r>
          </w:p>
          <w:p w14:paraId="684CE02B" w14:textId="77777777" w:rsidR="0054569B" w:rsidRPr="00BE46DD" w:rsidRDefault="0054569B" w:rsidP="00576EA7">
            <w:pPr>
              <w:rPr>
                <w:rFonts w:cs="Calibri"/>
                <w:sz w:val="20"/>
                <w:szCs w:val="20"/>
              </w:rPr>
            </w:pPr>
          </w:p>
        </w:tc>
        <w:tc>
          <w:tcPr>
            <w:tcW w:w="993" w:type="dxa"/>
            <w:tcBorders>
              <w:top w:val="single" w:sz="8" w:space="0" w:color="auto"/>
              <w:left w:val="single" w:sz="4" w:space="0" w:color="auto"/>
              <w:bottom w:val="single" w:sz="4" w:space="0" w:color="auto"/>
              <w:right w:val="single" w:sz="4" w:space="0" w:color="auto"/>
            </w:tcBorders>
            <w:vAlign w:val="center"/>
          </w:tcPr>
          <w:p w14:paraId="6840C5FC" w14:textId="77777777" w:rsidR="0054569B" w:rsidRPr="00BE46DD" w:rsidRDefault="0054569B" w:rsidP="00576EA7">
            <w:pPr>
              <w:rPr>
                <w:sz w:val="20"/>
                <w:szCs w:val="20"/>
              </w:rPr>
            </w:pPr>
            <w:r w:rsidRPr="00BE46DD">
              <w:rPr>
                <w:sz w:val="20"/>
                <w:szCs w:val="20"/>
              </w:rPr>
              <w:t>Yes</w:t>
            </w:r>
          </w:p>
        </w:tc>
        <w:tc>
          <w:tcPr>
            <w:tcW w:w="9072" w:type="dxa"/>
            <w:tcBorders>
              <w:top w:val="single" w:sz="8" w:space="0" w:color="auto"/>
              <w:left w:val="single" w:sz="4" w:space="0" w:color="auto"/>
              <w:bottom w:val="single" w:sz="4" w:space="0" w:color="auto"/>
              <w:right w:val="single" w:sz="8" w:space="0" w:color="auto"/>
            </w:tcBorders>
            <w:vAlign w:val="center"/>
          </w:tcPr>
          <w:p w14:paraId="17F831C3" w14:textId="77777777" w:rsidR="0054569B" w:rsidRPr="00BE46DD" w:rsidRDefault="0054569B" w:rsidP="00576EA7">
            <w:pPr>
              <w:rPr>
                <w:rFonts w:cstheme="minorHAnsi"/>
                <w:color w:val="000000"/>
                <w:sz w:val="20"/>
                <w:szCs w:val="20"/>
                <w:shd w:val="clear" w:color="auto" w:fill="FFFFFF"/>
              </w:rPr>
            </w:pPr>
            <w:r w:rsidRPr="00BE46DD">
              <w:rPr>
                <w:rFonts w:cstheme="minorHAnsi"/>
                <w:color w:val="000000"/>
                <w:sz w:val="20"/>
                <w:szCs w:val="20"/>
                <w:shd w:val="clear" w:color="auto" w:fill="FFFFFF"/>
              </w:rPr>
              <w:t xml:space="preserve">Annex A documents the various outcomes of interest and the rationale for selecting them as end points. </w:t>
            </w:r>
          </w:p>
          <w:p w14:paraId="4F2DACAF" w14:textId="4707B2E3" w:rsidR="0054569B" w:rsidRPr="00BE46DD" w:rsidRDefault="0054569B" w:rsidP="00576EA7">
            <w:pPr>
              <w:rPr>
                <w:rFonts w:cstheme="minorHAnsi"/>
                <w:color w:val="000000"/>
                <w:sz w:val="20"/>
                <w:szCs w:val="20"/>
                <w:shd w:val="clear" w:color="auto" w:fill="FFFFFF"/>
              </w:rPr>
            </w:pPr>
            <w:r w:rsidRPr="00BE46DD">
              <w:rPr>
                <w:rFonts w:cstheme="minorHAnsi"/>
                <w:color w:val="000000"/>
                <w:sz w:val="20"/>
                <w:szCs w:val="20"/>
                <w:shd w:val="clear" w:color="auto" w:fill="FFFFFF"/>
              </w:rPr>
              <w:t>The Panel considers that relevant data to inform the setting of DRVs for sodium is provided by: (</w:t>
            </w:r>
            <w:proofErr w:type="spellStart"/>
            <w:r w:rsidRPr="00BE46DD">
              <w:rPr>
                <w:rFonts w:cstheme="minorHAnsi"/>
                <w:color w:val="000000"/>
                <w:sz w:val="20"/>
                <w:szCs w:val="20"/>
                <w:shd w:val="clear" w:color="auto" w:fill="FFFFFF"/>
              </w:rPr>
              <w:t>i</w:t>
            </w:r>
            <w:proofErr w:type="spellEnd"/>
            <w:r w:rsidRPr="00BE46DD">
              <w:rPr>
                <w:rFonts w:cstheme="minorHAnsi"/>
                <w:color w:val="000000"/>
                <w:sz w:val="20"/>
                <w:szCs w:val="20"/>
                <w:shd w:val="clear" w:color="auto" w:fill="FFFFFF"/>
              </w:rPr>
              <w:t>) balance studies on sodium (Section </w:t>
            </w:r>
            <w:hyperlink r:id="rId211" w:anchor="efs25778-sec-0046" w:history="1">
              <w:r w:rsidRPr="00BE46DD">
                <w:rPr>
                  <w:rStyle w:val="Hyperlink"/>
                  <w:rFonts w:asciiTheme="minorHAnsi" w:hAnsiTheme="minorHAnsi" w:cstheme="minorHAnsi"/>
                  <w:color w:val="002596"/>
                  <w:sz w:val="20"/>
                  <w:szCs w:val="20"/>
                  <w:shd w:val="clear" w:color="auto" w:fill="FFFFFF"/>
                </w:rPr>
                <w:t>5.2</w:t>
              </w:r>
            </w:hyperlink>
            <w:r w:rsidRPr="00BE46DD">
              <w:rPr>
                <w:rFonts w:cstheme="minorHAnsi"/>
                <w:color w:val="000000"/>
                <w:sz w:val="20"/>
                <w:szCs w:val="20"/>
                <w:shd w:val="clear" w:color="auto" w:fill="FFFFFF"/>
              </w:rPr>
              <w:t>); and (ii) studies informing the relationship between sodium intake and blood pressure level or CVD risk. </w:t>
            </w:r>
          </w:p>
          <w:p w14:paraId="7CC1DE20" w14:textId="77777777" w:rsidR="0054569B" w:rsidRPr="00BE46DD" w:rsidRDefault="0054569B" w:rsidP="00576EA7">
            <w:pPr>
              <w:rPr>
                <w:sz w:val="20"/>
                <w:szCs w:val="20"/>
              </w:rPr>
            </w:pPr>
            <w:r w:rsidRPr="00BE46DD">
              <w:rPr>
                <w:sz w:val="20"/>
                <w:szCs w:val="20"/>
              </w:rPr>
              <w:t xml:space="preserve">The Panel considered other relevant </w:t>
            </w:r>
            <w:proofErr w:type="gramStart"/>
            <w:r w:rsidRPr="00BE46DD">
              <w:rPr>
                <w:sz w:val="20"/>
                <w:szCs w:val="20"/>
              </w:rPr>
              <w:t>endpoints,</w:t>
            </w:r>
            <w:proofErr w:type="gramEnd"/>
            <w:r w:rsidRPr="00BE46DD">
              <w:rPr>
                <w:sz w:val="20"/>
                <w:szCs w:val="20"/>
              </w:rPr>
              <w:t xml:space="preserve"> however these were ultimately excluded from the evidence base used to inform DRV establishment due to the low certainty of evidence or difficulties with interpreting the results relative to sodium. </w:t>
            </w:r>
          </w:p>
        </w:tc>
        <w:tc>
          <w:tcPr>
            <w:tcW w:w="1700" w:type="dxa"/>
            <w:tcBorders>
              <w:top w:val="single" w:sz="8" w:space="0" w:color="auto"/>
              <w:left w:val="single" w:sz="4" w:space="0" w:color="auto"/>
              <w:bottom w:val="single" w:sz="4" w:space="0" w:color="auto"/>
              <w:right w:val="single" w:sz="8" w:space="0" w:color="auto"/>
            </w:tcBorders>
            <w:vAlign w:val="center"/>
          </w:tcPr>
          <w:p w14:paraId="34735D73" w14:textId="77777777" w:rsidR="0054569B" w:rsidRPr="00BE46DD" w:rsidRDefault="0054569B" w:rsidP="00576EA7">
            <w:pPr>
              <w:rPr>
                <w:i/>
                <w:iCs/>
                <w:sz w:val="20"/>
                <w:szCs w:val="20"/>
              </w:rPr>
            </w:pPr>
            <w:r w:rsidRPr="00BE46DD">
              <w:rPr>
                <w:sz w:val="20"/>
                <w:szCs w:val="20"/>
              </w:rPr>
              <w:t xml:space="preserve">Annex A, section </w:t>
            </w:r>
            <w:r w:rsidRPr="00BE46DD">
              <w:rPr>
                <w:i/>
                <w:iCs/>
                <w:sz w:val="20"/>
                <w:szCs w:val="20"/>
              </w:rPr>
              <w:t>2.4 selection of health outcomes.</w:t>
            </w:r>
          </w:p>
          <w:p w14:paraId="48D4C6F0" w14:textId="77777777" w:rsidR="0054569B" w:rsidRPr="00BE46DD" w:rsidRDefault="0054569B" w:rsidP="00576EA7">
            <w:pPr>
              <w:rPr>
                <w:sz w:val="20"/>
                <w:szCs w:val="20"/>
              </w:rPr>
            </w:pPr>
          </w:p>
          <w:p w14:paraId="25E0CDF0" w14:textId="77777777" w:rsidR="0054569B" w:rsidRPr="00BE46DD" w:rsidRDefault="0054569B" w:rsidP="00576EA7">
            <w:pPr>
              <w:rPr>
                <w:sz w:val="20"/>
                <w:szCs w:val="20"/>
              </w:rPr>
            </w:pPr>
            <w:r w:rsidRPr="00BE46DD">
              <w:rPr>
                <w:sz w:val="20"/>
                <w:szCs w:val="20"/>
              </w:rPr>
              <w:t xml:space="preserve">See also Guidelines section </w:t>
            </w:r>
            <w:r w:rsidRPr="00BE46DD">
              <w:rPr>
                <w:i/>
                <w:iCs/>
                <w:sz w:val="20"/>
                <w:szCs w:val="20"/>
              </w:rPr>
              <w:t>5 Criteria (endpoints) on which to base dietary reference values</w:t>
            </w:r>
          </w:p>
        </w:tc>
      </w:tr>
      <w:tr w:rsidR="0054569B" w14:paraId="747D1E73" w14:textId="77777777" w:rsidTr="00C577A7">
        <w:tc>
          <w:tcPr>
            <w:tcW w:w="3686" w:type="dxa"/>
            <w:tcBorders>
              <w:top w:val="single" w:sz="8" w:space="0" w:color="auto"/>
              <w:left w:val="single" w:sz="4" w:space="0" w:color="auto"/>
              <w:bottom w:val="single" w:sz="4" w:space="0" w:color="auto"/>
              <w:right w:val="single" w:sz="4" w:space="0" w:color="auto"/>
            </w:tcBorders>
            <w:vAlign w:val="center"/>
          </w:tcPr>
          <w:p w14:paraId="6248049C" w14:textId="77777777" w:rsidR="0054569B" w:rsidRPr="00BE46DD" w:rsidRDefault="0054569B" w:rsidP="00576EA7">
            <w:pPr>
              <w:rPr>
                <w:rFonts w:cstheme="minorHAnsi"/>
                <w:sz w:val="20"/>
                <w:szCs w:val="20"/>
              </w:rPr>
            </w:pPr>
            <w:r w:rsidRPr="00BE46DD">
              <w:rPr>
                <w:rStyle w:val="cf01"/>
                <w:rFonts w:asciiTheme="minorHAnsi" w:hAnsiTheme="minorHAnsi" w:cstheme="minorHAnsi"/>
                <w:sz w:val="20"/>
                <w:szCs w:val="20"/>
              </w:rPr>
              <w:t>Is justification provided for the value selected for the reference point^? (including mechanistic evidence, health outcome data, key events, balance studies)</w:t>
            </w:r>
          </w:p>
          <w:p w14:paraId="7FE5C715" w14:textId="77777777" w:rsidR="0054569B" w:rsidRPr="00BE46DD" w:rsidRDefault="0054569B" w:rsidP="00576EA7">
            <w:pPr>
              <w:rPr>
                <w:rFonts w:cstheme="minorHAnsi"/>
                <w:sz w:val="20"/>
                <w:szCs w:val="20"/>
              </w:rPr>
            </w:pPr>
            <w:r w:rsidRPr="00BE46DD">
              <w:rPr>
                <w:rStyle w:val="cf01"/>
                <w:rFonts w:asciiTheme="minorHAnsi" w:hAnsiTheme="minorHAnsi" w:cstheme="minorHAnsi"/>
                <w:sz w:val="20"/>
                <w:szCs w:val="20"/>
              </w:rPr>
              <w:t xml:space="preserve">^ refence point is usually the baseline value to which any scaling and uncertainty factors are applied. </w:t>
            </w:r>
          </w:p>
          <w:p w14:paraId="2D137ED8" w14:textId="77777777" w:rsidR="0054569B" w:rsidRPr="00BE46DD" w:rsidRDefault="0054569B" w:rsidP="00576EA7">
            <w:pPr>
              <w:rPr>
                <w:color w:val="E97132" w:themeColor="accent2"/>
                <w:sz w:val="20"/>
                <w:szCs w:val="20"/>
              </w:rPr>
            </w:pPr>
          </w:p>
        </w:tc>
        <w:tc>
          <w:tcPr>
            <w:tcW w:w="993" w:type="dxa"/>
            <w:tcBorders>
              <w:top w:val="single" w:sz="8" w:space="0" w:color="auto"/>
              <w:left w:val="single" w:sz="4" w:space="0" w:color="auto"/>
              <w:bottom w:val="single" w:sz="4" w:space="0" w:color="auto"/>
              <w:right w:val="single" w:sz="4" w:space="0" w:color="auto"/>
            </w:tcBorders>
            <w:vAlign w:val="center"/>
          </w:tcPr>
          <w:p w14:paraId="5FF5F504" w14:textId="77777777" w:rsidR="0054569B" w:rsidRPr="00BE46DD" w:rsidRDefault="0054569B" w:rsidP="00576EA7">
            <w:pPr>
              <w:rPr>
                <w:sz w:val="20"/>
                <w:szCs w:val="20"/>
              </w:rPr>
            </w:pPr>
            <w:r w:rsidRPr="00BE46DD">
              <w:rPr>
                <w:sz w:val="20"/>
                <w:szCs w:val="20"/>
              </w:rPr>
              <w:t>Yes</w:t>
            </w:r>
          </w:p>
        </w:tc>
        <w:tc>
          <w:tcPr>
            <w:tcW w:w="9072" w:type="dxa"/>
            <w:tcBorders>
              <w:top w:val="single" w:sz="8" w:space="0" w:color="auto"/>
              <w:left w:val="single" w:sz="4" w:space="0" w:color="auto"/>
              <w:bottom w:val="single" w:sz="4" w:space="0" w:color="auto"/>
              <w:right w:val="single" w:sz="8" w:space="0" w:color="auto"/>
            </w:tcBorders>
            <w:vAlign w:val="center"/>
          </w:tcPr>
          <w:p w14:paraId="79C57E67" w14:textId="5CC9075F" w:rsidR="0054569B" w:rsidRPr="00BE46DD" w:rsidRDefault="0054569B" w:rsidP="00576EA7">
            <w:pPr>
              <w:rPr>
                <w:sz w:val="20"/>
                <w:szCs w:val="20"/>
              </w:rPr>
            </w:pPr>
            <w:r w:rsidRPr="00BE46DD">
              <w:rPr>
                <w:sz w:val="20"/>
                <w:szCs w:val="20"/>
              </w:rPr>
              <w:t>From the literature reviewed in Section </w:t>
            </w:r>
            <w:hyperlink r:id="rId212" w:anchor="efs25778-sec-0044" w:history="1">
              <w:r w:rsidRPr="00BE46DD">
                <w:rPr>
                  <w:rStyle w:val="Hyperlink"/>
                  <w:rFonts w:asciiTheme="minorHAnsi" w:hAnsiTheme="minorHAnsi"/>
                  <w:sz w:val="20"/>
                  <w:szCs w:val="20"/>
                </w:rPr>
                <w:t>5</w:t>
              </w:r>
            </w:hyperlink>
            <w:r w:rsidRPr="00BE46DD">
              <w:rPr>
                <w:sz w:val="20"/>
                <w:szCs w:val="20"/>
              </w:rPr>
              <w:t xml:space="preserve">, there is strong evidence for a positive relationship between sodium and blood pressure levels, which is an established risk factor for CVD risk. The meta-regression dose–response modelling provided evidence for a linear relationship between blood pressure and </w:t>
            </w:r>
            <w:proofErr w:type="spellStart"/>
            <w:r w:rsidRPr="00BE46DD">
              <w:rPr>
                <w:sz w:val="20"/>
                <w:szCs w:val="20"/>
              </w:rPr>
              <w:t>UNa</w:t>
            </w:r>
            <w:proofErr w:type="spellEnd"/>
            <w:r w:rsidRPr="00BE46DD">
              <w:rPr>
                <w:sz w:val="20"/>
                <w:szCs w:val="20"/>
              </w:rPr>
              <w:t xml:space="preserve"> in the range covered by the eligible studies (ca. 50–200 mmol/day) (Section </w:t>
            </w:r>
            <w:hyperlink r:id="rId213" w:anchor="efs25778-sec-0059" w:history="1">
              <w:r w:rsidRPr="00BE46DD">
                <w:rPr>
                  <w:rStyle w:val="Hyperlink"/>
                  <w:rFonts w:asciiTheme="minorHAnsi" w:hAnsiTheme="minorHAnsi"/>
                  <w:sz w:val="20"/>
                  <w:szCs w:val="20"/>
                </w:rPr>
                <w:t>5.5.1.2</w:t>
              </w:r>
            </w:hyperlink>
            <w:r w:rsidRPr="00BE46DD">
              <w:rPr>
                <w:sz w:val="20"/>
                <w:szCs w:val="20"/>
              </w:rPr>
              <w:t>); any increase in blood pressure level is considered adverse.</w:t>
            </w:r>
          </w:p>
          <w:p w14:paraId="1ACF1214" w14:textId="7858F2CB" w:rsidR="0054569B" w:rsidRPr="00BE46DD" w:rsidRDefault="0054569B" w:rsidP="00576EA7">
            <w:pPr>
              <w:rPr>
                <w:sz w:val="20"/>
                <w:szCs w:val="20"/>
              </w:rPr>
            </w:pPr>
            <w:r w:rsidRPr="00BE46DD">
              <w:rPr>
                <w:sz w:val="20"/>
                <w:szCs w:val="20"/>
              </w:rPr>
              <w:t>The Panel used the cumulative uncertainty density functions to integrate the evidence and associated uncertainties and derive a reference value for sodium (see Figure </w:t>
            </w:r>
            <w:hyperlink r:id="rId214" w:anchor="efs25778-fig-0003" w:history="1">
              <w:r w:rsidRPr="00BE46DD">
                <w:rPr>
                  <w:rStyle w:val="Hyperlink"/>
                  <w:rFonts w:asciiTheme="minorHAnsi" w:hAnsiTheme="minorHAnsi"/>
                  <w:sz w:val="20"/>
                  <w:szCs w:val="20"/>
                </w:rPr>
                <w:t>3</w:t>
              </w:r>
            </w:hyperlink>
            <w:r w:rsidRPr="00BE46DD">
              <w:rPr>
                <w:sz w:val="20"/>
                <w:szCs w:val="20"/>
              </w:rPr>
              <w:t>). The Panel considered that:</w:t>
            </w:r>
          </w:p>
          <w:p w14:paraId="14F54450" w14:textId="77777777" w:rsidR="0054569B" w:rsidRPr="00BE46DD" w:rsidRDefault="0054569B" w:rsidP="00576EA7">
            <w:pPr>
              <w:rPr>
                <w:sz w:val="20"/>
                <w:szCs w:val="20"/>
              </w:rPr>
            </w:pPr>
            <w:r w:rsidRPr="00BE46DD">
              <w:rPr>
                <w:sz w:val="20"/>
                <w:szCs w:val="20"/>
              </w:rPr>
              <w:t>A sodium intake of 2.0 g/day represents a level of sodium for which there is sufficient confidence that it is associated within a reduced risk of CVD in the general adult population.</w:t>
            </w:r>
          </w:p>
          <w:p w14:paraId="204A69A3" w14:textId="77777777" w:rsidR="0054569B" w:rsidRPr="00BE46DD" w:rsidRDefault="0054569B" w:rsidP="00576EA7">
            <w:pPr>
              <w:rPr>
                <w:sz w:val="20"/>
                <w:szCs w:val="20"/>
              </w:rPr>
            </w:pPr>
            <w:r w:rsidRPr="00BE46DD">
              <w:rPr>
                <w:sz w:val="20"/>
                <w:szCs w:val="20"/>
              </w:rPr>
              <w:t>A sodium intake of 2.0 g/day is likely to allow most of the general population to maintain sodium balance.</w:t>
            </w:r>
          </w:p>
          <w:p w14:paraId="1C217FCB" w14:textId="77777777" w:rsidR="0054569B" w:rsidRPr="00BE46DD" w:rsidRDefault="0054569B" w:rsidP="00576EA7">
            <w:pPr>
              <w:rPr>
                <w:sz w:val="20"/>
                <w:szCs w:val="20"/>
              </w:rPr>
            </w:pPr>
            <w:r w:rsidRPr="00BE46DD">
              <w:rPr>
                <w:sz w:val="20"/>
                <w:szCs w:val="20"/>
              </w:rPr>
              <w:t xml:space="preserve">Therefore, the Panel considers that 2.0 g of sodium/day is a safe and adequate intake for the general EU population of adults. </w:t>
            </w:r>
          </w:p>
        </w:tc>
        <w:tc>
          <w:tcPr>
            <w:tcW w:w="1700" w:type="dxa"/>
            <w:tcBorders>
              <w:top w:val="single" w:sz="8" w:space="0" w:color="auto"/>
              <w:left w:val="single" w:sz="4" w:space="0" w:color="auto"/>
              <w:bottom w:val="single" w:sz="4" w:space="0" w:color="auto"/>
              <w:right w:val="single" w:sz="8" w:space="0" w:color="auto"/>
            </w:tcBorders>
            <w:vAlign w:val="center"/>
          </w:tcPr>
          <w:p w14:paraId="4C305015" w14:textId="1FEC38F6" w:rsidR="0054569B" w:rsidRPr="00BE46DD" w:rsidRDefault="0054569B" w:rsidP="00576EA7">
            <w:pPr>
              <w:rPr>
                <w:sz w:val="20"/>
                <w:szCs w:val="20"/>
              </w:rPr>
            </w:pPr>
            <w:r w:rsidRPr="00BE46DD">
              <w:rPr>
                <w:sz w:val="20"/>
                <w:szCs w:val="20"/>
              </w:rPr>
              <w:t>See Guidelines Section </w:t>
            </w:r>
            <w:hyperlink r:id="rId215" w:anchor="efs25778-sec-0059" w:history="1">
              <w:r w:rsidRPr="00BE46DD">
                <w:rPr>
                  <w:rStyle w:val="Hyperlink"/>
                  <w:rFonts w:asciiTheme="minorHAnsi" w:hAnsiTheme="minorHAnsi"/>
                  <w:sz w:val="20"/>
                  <w:szCs w:val="20"/>
                </w:rPr>
                <w:t>5.5.1.2</w:t>
              </w:r>
            </w:hyperlink>
          </w:p>
        </w:tc>
      </w:tr>
      <w:tr w:rsidR="0054569B" w14:paraId="0AB728CD" w14:textId="77777777" w:rsidTr="00C577A7">
        <w:tc>
          <w:tcPr>
            <w:tcW w:w="3686" w:type="dxa"/>
            <w:tcBorders>
              <w:top w:val="single" w:sz="8" w:space="0" w:color="auto"/>
              <w:left w:val="single" w:sz="4" w:space="0" w:color="auto"/>
              <w:bottom w:val="single" w:sz="4" w:space="0" w:color="auto"/>
              <w:right w:val="single" w:sz="4" w:space="0" w:color="auto"/>
            </w:tcBorders>
            <w:vAlign w:val="center"/>
          </w:tcPr>
          <w:p w14:paraId="7F062666" w14:textId="77777777" w:rsidR="0054569B" w:rsidRPr="00BE46DD" w:rsidRDefault="0054569B" w:rsidP="00576EA7">
            <w:pPr>
              <w:rPr>
                <w:sz w:val="20"/>
                <w:szCs w:val="20"/>
              </w:rPr>
            </w:pPr>
            <w:r w:rsidRPr="00BE46DD">
              <w:rPr>
                <w:sz w:val="20"/>
                <w:szCs w:val="20"/>
              </w:rPr>
              <w:t xml:space="preserve">Is the population group generalisable to the Australian and New Zealand population? </w:t>
            </w:r>
          </w:p>
          <w:p w14:paraId="29FC0460" w14:textId="77777777" w:rsidR="0054569B" w:rsidRPr="00BE46DD" w:rsidRDefault="0054569B" w:rsidP="00576EA7">
            <w:pPr>
              <w:rPr>
                <w:color w:val="E97132" w:themeColor="accent2"/>
                <w:sz w:val="20"/>
                <w:szCs w:val="20"/>
              </w:rPr>
            </w:pPr>
            <w:r w:rsidRPr="00BE46DD">
              <w:rPr>
                <w:sz w:val="20"/>
                <w:szCs w:val="20"/>
              </w:rPr>
              <w:t>Where are the underlying studies from?</w:t>
            </w:r>
          </w:p>
        </w:tc>
        <w:tc>
          <w:tcPr>
            <w:tcW w:w="993" w:type="dxa"/>
            <w:tcBorders>
              <w:top w:val="single" w:sz="8" w:space="0" w:color="auto"/>
              <w:left w:val="single" w:sz="4" w:space="0" w:color="auto"/>
              <w:bottom w:val="single" w:sz="4" w:space="0" w:color="auto"/>
              <w:right w:val="single" w:sz="4" w:space="0" w:color="auto"/>
            </w:tcBorders>
            <w:vAlign w:val="center"/>
          </w:tcPr>
          <w:p w14:paraId="4440B150" w14:textId="77777777" w:rsidR="0054569B" w:rsidRPr="00BE46DD" w:rsidRDefault="0054569B" w:rsidP="00576EA7">
            <w:pPr>
              <w:rPr>
                <w:sz w:val="20"/>
                <w:szCs w:val="20"/>
              </w:rPr>
            </w:pPr>
            <w:r w:rsidRPr="00BE46DD">
              <w:rPr>
                <w:sz w:val="20"/>
                <w:szCs w:val="20"/>
              </w:rPr>
              <w:t>Yes</w:t>
            </w:r>
          </w:p>
        </w:tc>
        <w:tc>
          <w:tcPr>
            <w:tcW w:w="9072" w:type="dxa"/>
            <w:tcBorders>
              <w:top w:val="single" w:sz="8" w:space="0" w:color="auto"/>
              <w:left w:val="single" w:sz="4" w:space="0" w:color="auto"/>
              <w:bottom w:val="single" w:sz="4" w:space="0" w:color="auto"/>
              <w:right w:val="single" w:sz="8" w:space="0" w:color="auto"/>
            </w:tcBorders>
            <w:vAlign w:val="center"/>
          </w:tcPr>
          <w:p w14:paraId="00DF2D1F" w14:textId="77777777" w:rsidR="0054569B" w:rsidRPr="00BE46DD" w:rsidRDefault="0054569B" w:rsidP="00576EA7">
            <w:pPr>
              <w:rPr>
                <w:sz w:val="20"/>
                <w:szCs w:val="20"/>
              </w:rPr>
            </w:pPr>
            <w:r w:rsidRPr="00BE46DD">
              <w:rPr>
                <w:sz w:val="20"/>
                <w:szCs w:val="20"/>
              </w:rPr>
              <w:t>Studies were conducted in a range of countries and population groups that are generalisable to the Australian and New Zealand populations. Though included studies do not mention First Nations peoples.</w:t>
            </w:r>
          </w:p>
        </w:tc>
        <w:tc>
          <w:tcPr>
            <w:tcW w:w="1700" w:type="dxa"/>
            <w:tcBorders>
              <w:top w:val="single" w:sz="8" w:space="0" w:color="auto"/>
              <w:left w:val="single" w:sz="4" w:space="0" w:color="auto"/>
              <w:bottom w:val="single" w:sz="4" w:space="0" w:color="auto"/>
              <w:right w:val="single" w:sz="8" w:space="0" w:color="auto"/>
            </w:tcBorders>
            <w:vAlign w:val="center"/>
          </w:tcPr>
          <w:p w14:paraId="0CD2B6B0" w14:textId="77777777" w:rsidR="0054569B" w:rsidRPr="00BE46DD" w:rsidRDefault="0054569B" w:rsidP="00576EA7">
            <w:pPr>
              <w:rPr>
                <w:sz w:val="20"/>
                <w:szCs w:val="20"/>
              </w:rPr>
            </w:pPr>
          </w:p>
        </w:tc>
      </w:tr>
      <w:tr w:rsidR="0054569B" w14:paraId="44CD10F9" w14:textId="77777777" w:rsidTr="00C577A7">
        <w:tc>
          <w:tcPr>
            <w:tcW w:w="3686" w:type="dxa"/>
            <w:tcBorders>
              <w:top w:val="single" w:sz="4" w:space="0" w:color="auto"/>
              <w:left w:val="single" w:sz="4" w:space="0" w:color="auto"/>
              <w:bottom w:val="single" w:sz="4" w:space="0" w:color="auto"/>
              <w:right w:val="single" w:sz="4" w:space="0" w:color="auto"/>
            </w:tcBorders>
            <w:vAlign w:val="center"/>
            <w:hideMark/>
          </w:tcPr>
          <w:p w14:paraId="2FA4FB8E" w14:textId="77777777" w:rsidR="0054569B" w:rsidRPr="00BE46DD" w:rsidRDefault="0054569B" w:rsidP="00576EA7">
            <w:pPr>
              <w:rPr>
                <w:sz w:val="20"/>
                <w:szCs w:val="20"/>
              </w:rPr>
            </w:pPr>
            <w:r w:rsidRPr="00BE46DD">
              <w:rPr>
                <w:sz w:val="20"/>
                <w:szCs w:val="20"/>
              </w:rPr>
              <w:t xml:space="preserve">If scaling was applied – was the method described, along with an appropriate rationale for the chosen method? </w:t>
            </w:r>
          </w:p>
        </w:tc>
        <w:tc>
          <w:tcPr>
            <w:tcW w:w="993" w:type="dxa"/>
            <w:tcBorders>
              <w:top w:val="single" w:sz="4" w:space="0" w:color="auto"/>
              <w:left w:val="single" w:sz="4" w:space="0" w:color="auto"/>
              <w:bottom w:val="single" w:sz="4" w:space="0" w:color="auto"/>
              <w:right w:val="single" w:sz="4" w:space="0" w:color="auto"/>
            </w:tcBorders>
            <w:vAlign w:val="center"/>
          </w:tcPr>
          <w:p w14:paraId="675345D2" w14:textId="77777777" w:rsidR="0054569B" w:rsidRPr="00BE46DD" w:rsidRDefault="0054569B" w:rsidP="00576EA7">
            <w:pPr>
              <w:rPr>
                <w:sz w:val="20"/>
                <w:szCs w:val="20"/>
              </w:rPr>
            </w:pPr>
            <w:r w:rsidRPr="00BE46DD">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00AA7993" w14:textId="77777777" w:rsidR="0054569B" w:rsidRPr="00BE46DD" w:rsidRDefault="0054569B" w:rsidP="00576EA7">
            <w:pPr>
              <w:rPr>
                <w:rFonts w:cs="Calibri"/>
                <w:sz w:val="20"/>
                <w:szCs w:val="20"/>
              </w:rPr>
            </w:pPr>
            <w:r w:rsidRPr="00BE46DD">
              <w:rPr>
                <w:rFonts w:cs="Calibri"/>
                <w:color w:val="000000"/>
                <w:sz w:val="20"/>
                <w:szCs w:val="20"/>
                <w:shd w:val="clear" w:color="auto" w:fill="FFFFFF"/>
              </w:rPr>
              <w:t>Reference values for children are extrapolated from the reference value for adults based on the energy requirements of the age groups and applying a growth factor. For infants over 6 months of age, an AI is derived by extrapolating the estimated sodium intake of fully breast-fed infants during the first 6 months of life based on the energy requirement of the respective age groups.</w:t>
            </w:r>
          </w:p>
        </w:tc>
        <w:tc>
          <w:tcPr>
            <w:tcW w:w="1700" w:type="dxa"/>
            <w:tcBorders>
              <w:top w:val="single" w:sz="4" w:space="0" w:color="auto"/>
              <w:left w:val="single" w:sz="4" w:space="0" w:color="auto"/>
              <w:bottom w:val="single" w:sz="4" w:space="0" w:color="auto"/>
              <w:right w:val="single" w:sz="8" w:space="0" w:color="auto"/>
            </w:tcBorders>
            <w:vAlign w:val="center"/>
          </w:tcPr>
          <w:p w14:paraId="2706A3F7" w14:textId="77777777" w:rsidR="0054569B" w:rsidRPr="00BE46DD" w:rsidRDefault="0054569B" w:rsidP="00576EA7">
            <w:pPr>
              <w:rPr>
                <w:sz w:val="20"/>
                <w:szCs w:val="20"/>
              </w:rPr>
            </w:pPr>
          </w:p>
        </w:tc>
      </w:tr>
      <w:tr w:rsidR="0054569B" w14:paraId="5C2DA7B3" w14:textId="77777777" w:rsidTr="00C577A7">
        <w:tc>
          <w:tcPr>
            <w:tcW w:w="3686" w:type="dxa"/>
            <w:tcBorders>
              <w:top w:val="single" w:sz="4" w:space="0" w:color="auto"/>
              <w:left w:val="single" w:sz="4" w:space="0" w:color="auto"/>
              <w:bottom w:val="single" w:sz="4" w:space="0" w:color="auto"/>
              <w:right w:val="single" w:sz="4" w:space="0" w:color="auto"/>
            </w:tcBorders>
            <w:vAlign w:val="center"/>
          </w:tcPr>
          <w:p w14:paraId="0A11086C" w14:textId="77777777" w:rsidR="0054569B" w:rsidRPr="00BE46DD" w:rsidRDefault="0054569B" w:rsidP="00576EA7">
            <w:pPr>
              <w:rPr>
                <w:sz w:val="20"/>
                <w:szCs w:val="20"/>
              </w:rPr>
            </w:pPr>
            <w:r w:rsidRPr="00BE46DD">
              <w:rPr>
                <w:sz w:val="20"/>
                <w:szCs w:val="20"/>
              </w:rPr>
              <w:t>Is the method used appropriate for Australian and New Zealand populations?</w:t>
            </w:r>
          </w:p>
        </w:tc>
        <w:tc>
          <w:tcPr>
            <w:tcW w:w="993" w:type="dxa"/>
            <w:tcBorders>
              <w:top w:val="single" w:sz="4" w:space="0" w:color="auto"/>
              <w:left w:val="single" w:sz="4" w:space="0" w:color="auto"/>
              <w:bottom w:val="single" w:sz="4" w:space="0" w:color="auto"/>
              <w:right w:val="single" w:sz="4" w:space="0" w:color="auto"/>
            </w:tcBorders>
            <w:vAlign w:val="center"/>
          </w:tcPr>
          <w:p w14:paraId="4A7CDEDE" w14:textId="77777777" w:rsidR="0054569B" w:rsidRPr="00BE46DD" w:rsidRDefault="0054569B" w:rsidP="00576EA7">
            <w:pPr>
              <w:rPr>
                <w:sz w:val="20"/>
                <w:szCs w:val="20"/>
              </w:rPr>
            </w:pPr>
            <w:r w:rsidRPr="00BE46DD">
              <w:rPr>
                <w:sz w:val="20"/>
                <w:szCs w:val="20"/>
              </w:rPr>
              <w:t>Yes</w:t>
            </w:r>
          </w:p>
        </w:tc>
        <w:tc>
          <w:tcPr>
            <w:tcW w:w="9072" w:type="dxa"/>
            <w:tcBorders>
              <w:top w:val="single" w:sz="4" w:space="0" w:color="auto"/>
              <w:left w:val="single" w:sz="4" w:space="0" w:color="auto"/>
              <w:bottom w:val="single" w:sz="4" w:space="0" w:color="auto"/>
              <w:right w:val="single" w:sz="8" w:space="0" w:color="auto"/>
            </w:tcBorders>
            <w:vAlign w:val="center"/>
          </w:tcPr>
          <w:p w14:paraId="337EB700" w14:textId="77777777" w:rsidR="0054569B" w:rsidRPr="00BE46DD" w:rsidRDefault="0054569B" w:rsidP="00576EA7">
            <w:pPr>
              <w:rPr>
                <w:rFonts w:cs="Calibri"/>
                <w:color w:val="000000"/>
                <w:sz w:val="20"/>
                <w:szCs w:val="20"/>
                <w:shd w:val="clear" w:color="auto" w:fill="FFFFFF"/>
              </w:rPr>
            </w:pPr>
          </w:p>
        </w:tc>
        <w:tc>
          <w:tcPr>
            <w:tcW w:w="1700" w:type="dxa"/>
            <w:tcBorders>
              <w:top w:val="single" w:sz="4" w:space="0" w:color="auto"/>
              <w:left w:val="single" w:sz="4" w:space="0" w:color="auto"/>
              <w:bottom w:val="single" w:sz="4" w:space="0" w:color="auto"/>
              <w:right w:val="single" w:sz="8" w:space="0" w:color="auto"/>
            </w:tcBorders>
            <w:vAlign w:val="center"/>
          </w:tcPr>
          <w:p w14:paraId="1F3F585D" w14:textId="77777777" w:rsidR="0054569B" w:rsidRPr="00BE46DD" w:rsidRDefault="0054569B" w:rsidP="00576EA7">
            <w:pPr>
              <w:rPr>
                <w:sz w:val="20"/>
                <w:szCs w:val="20"/>
              </w:rPr>
            </w:pPr>
          </w:p>
        </w:tc>
      </w:tr>
      <w:tr w:rsidR="0054569B" w14:paraId="4541F400" w14:textId="77777777" w:rsidTr="00C577A7">
        <w:tc>
          <w:tcPr>
            <w:tcW w:w="3686" w:type="dxa"/>
            <w:tcBorders>
              <w:top w:val="single" w:sz="4" w:space="0" w:color="auto"/>
              <w:left w:val="single" w:sz="4" w:space="0" w:color="auto"/>
              <w:bottom w:val="single" w:sz="4" w:space="0" w:color="auto"/>
              <w:right w:val="single" w:sz="4" w:space="0" w:color="auto"/>
            </w:tcBorders>
            <w:vAlign w:val="center"/>
            <w:hideMark/>
          </w:tcPr>
          <w:p w14:paraId="5E87558B" w14:textId="77777777" w:rsidR="0054569B" w:rsidRPr="00BE46DD" w:rsidRDefault="0054569B" w:rsidP="00576EA7">
            <w:pPr>
              <w:rPr>
                <w:sz w:val="20"/>
                <w:szCs w:val="20"/>
              </w:rPr>
            </w:pPr>
            <w:r w:rsidRPr="00BE46DD">
              <w:rPr>
                <w:sz w:val="20"/>
                <w:szCs w:val="20"/>
              </w:rPr>
              <w:lastRenderedPageBreak/>
              <w:t xml:space="preserve"> Are the processes used when expert judgement is applied documented and published? (Evidence to decision process used to obtain final conclusions).</w:t>
            </w:r>
          </w:p>
        </w:tc>
        <w:tc>
          <w:tcPr>
            <w:tcW w:w="993" w:type="dxa"/>
            <w:tcBorders>
              <w:top w:val="single" w:sz="4" w:space="0" w:color="auto"/>
              <w:left w:val="single" w:sz="4" w:space="0" w:color="auto"/>
              <w:bottom w:val="single" w:sz="4" w:space="0" w:color="auto"/>
              <w:right w:val="single" w:sz="4" w:space="0" w:color="auto"/>
            </w:tcBorders>
            <w:vAlign w:val="center"/>
          </w:tcPr>
          <w:p w14:paraId="08E99555" w14:textId="77777777" w:rsidR="0054569B" w:rsidRPr="00BE46DD" w:rsidRDefault="0054569B" w:rsidP="00576EA7">
            <w:pPr>
              <w:rPr>
                <w:sz w:val="20"/>
                <w:szCs w:val="20"/>
              </w:rPr>
            </w:pPr>
            <w:r w:rsidRPr="00BE46DD">
              <w:rPr>
                <w:sz w:val="20"/>
                <w:szCs w:val="20"/>
              </w:rPr>
              <w:t xml:space="preserve">Yes </w:t>
            </w:r>
          </w:p>
        </w:tc>
        <w:tc>
          <w:tcPr>
            <w:tcW w:w="9072" w:type="dxa"/>
            <w:tcBorders>
              <w:top w:val="single" w:sz="4" w:space="0" w:color="auto"/>
              <w:left w:val="single" w:sz="4" w:space="0" w:color="auto"/>
              <w:bottom w:val="single" w:sz="4" w:space="0" w:color="auto"/>
              <w:right w:val="single" w:sz="8" w:space="0" w:color="auto"/>
            </w:tcBorders>
            <w:vAlign w:val="center"/>
          </w:tcPr>
          <w:p w14:paraId="04129D92" w14:textId="77777777" w:rsidR="0054569B" w:rsidRPr="00BE46DD" w:rsidRDefault="0054569B" w:rsidP="00576EA7">
            <w:pPr>
              <w:rPr>
                <w:sz w:val="20"/>
                <w:szCs w:val="20"/>
              </w:rPr>
            </w:pPr>
            <w:r w:rsidRPr="00BE46DD">
              <w:rPr>
                <w:sz w:val="20"/>
                <w:szCs w:val="20"/>
              </w:rPr>
              <w:t>The EKE used the roulette method. This is a formal approach that allows the experts to draw their own distribution of uncertainty on the parameter to be estimated by placing different numbers of plastic counters along the range of possible parameter values conveniently split in subintervals. The judgements were elicited following the Sheffield protocol, in which experts first make separate judgements about the distribution, then share and discuss their distributions, and finally develop a consensus distribution and document their reasoning (EFSA, 2014)</w:t>
            </w:r>
          </w:p>
          <w:p w14:paraId="5933ACA6" w14:textId="77777777" w:rsidR="0054569B" w:rsidRPr="00BE46DD" w:rsidRDefault="0054569B" w:rsidP="00576EA7">
            <w:pPr>
              <w:rPr>
                <w:sz w:val="20"/>
                <w:szCs w:val="20"/>
              </w:rPr>
            </w:pPr>
            <w:r w:rsidRPr="00BE46DD">
              <w:rPr>
                <w:sz w:val="20"/>
                <w:szCs w:val="20"/>
              </w:rPr>
              <w:t>Methods are comprehensively described in Appendix M (p. 187) of Guidelines</w:t>
            </w:r>
          </w:p>
        </w:tc>
        <w:tc>
          <w:tcPr>
            <w:tcW w:w="1700" w:type="dxa"/>
            <w:tcBorders>
              <w:top w:val="single" w:sz="4" w:space="0" w:color="auto"/>
              <w:left w:val="single" w:sz="4" w:space="0" w:color="auto"/>
              <w:bottom w:val="single" w:sz="4" w:space="0" w:color="auto"/>
              <w:right w:val="single" w:sz="8" w:space="0" w:color="auto"/>
            </w:tcBorders>
            <w:vAlign w:val="center"/>
          </w:tcPr>
          <w:p w14:paraId="2E734881" w14:textId="77777777" w:rsidR="0054569B" w:rsidRPr="00BE46DD" w:rsidRDefault="0054569B" w:rsidP="00576EA7">
            <w:pPr>
              <w:rPr>
                <w:sz w:val="20"/>
                <w:szCs w:val="20"/>
              </w:rPr>
            </w:pPr>
            <w:r w:rsidRPr="00BE46DD">
              <w:rPr>
                <w:sz w:val="20"/>
                <w:szCs w:val="20"/>
              </w:rPr>
              <w:t>p. 9 of Guidelines.</w:t>
            </w:r>
          </w:p>
          <w:p w14:paraId="17B13B6E" w14:textId="77777777" w:rsidR="0054569B" w:rsidRPr="00BE46DD" w:rsidRDefault="0054569B" w:rsidP="00576EA7">
            <w:pPr>
              <w:rPr>
                <w:sz w:val="20"/>
                <w:szCs w:val="20"/>
              </w:rPr>
            </w:pPr>
          </w:p>
          <w:p w14:paraId="0541B824" w14:textId="77777777" w:rsidR="0054569B" w:rsidRPr="00BE46DD" w:rsidRDefault="0054569B" w:rsidP="00576EA7">
            <w:pPr>
              <w:rPr>
                <w:sz w:val="20"/>
                <w:szCs w:val="20"/>
              </w:rPr>
            </w:pPr>
            <w:r w:rsidRPr="00BE46DD">
              <w:rPr>
                <w:sz w:val="20"/>
                <w:szCs w:val="20"/>
              </w:rPr>
              <w:t>Appendix M (p. 187) of Guidelines</w:t>
            </w:r>
          </w:p>
        </w:tc>
      </w:tr>
    </w:tbl>
    <w:p w14:paraId="0E3A8350" w14:textId="77777777" w:rsidR="0054569B" w:rsidRDefault="0054569B" w:rsidP="005338A3">
      <w:pPr>
        <w:pStyle w:val="Heading3"/>
        <w:spacing w:before="240"/>
      </w:pPr>
      <w:bookmarkStart w:id="126" w:name="_Toc234960898"/>
      <w:r>
        <w:t>Suitability for adopting vs adapting</w:t>
      </w:r>
      <w:bookmarkEnd w:id="126"/>
    </w:p>
    <w:tbl>
      <w:tblPr>
        <w:tblStyle w:val="TableGrid1"/>
        <w:tblW w:w="15451" w:type="dxa"/>
        <w:tblInd w:w="-294"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403"/>
        <w:gridCol w:w="1417"/>
        <w:gridCol w:w="8931"/>
        <w:gridCol w:w="1700"/>
      </w:tblGrid>
      <w:tr w:rsidR="00213FE6" w:rsidRPr="00585DEE" w14:paraId="1EC44100" w14:textId="77777777" w:rsidTr="00C577A7">
        <w:trPr>
          <w:tblHeader/>
        </w:trPr>
        <w:tc>
          <w:tcPr>
            <w:tcW w:w="3403"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75CC4955" w14:textId="77777777" w:rsidR="00213FE6" w:rsidRPr="00C557A9" w:rsidRDefault="00213FE6" w:rsidP="00576EA7">
            <w:pPr>
              <w:rPr>
                <w:b/>
                <w:bCs/>
                <w:sz w:val="20"/>
                <w:szCs w:val="20"/>
                <w:vertAlign w:val="superscript"/>
              </w:rPr>
            </w:pPr>
            <w:r w:rsidRPr="00C557A9">
              <w:rPr>
                <w:b/>
                <w:bCs/>
                <w:sz w:val="20"/>
                <w:szCs w:val="20"/>
              </w:rPr>
              <w:t>Criteria</w:t>
            </w:r>
          </w:p>
        </w:tc>
        <w:tc>
          <w:tcPr>
            <w:tcW w:w="1417" w:type="dxa"/>
            <w:tcBorders>
              <w:top w:val="single" w:sz="8" w:space="0" w:color="auto"/>
              <w:left w:val="single" w:sz="4" w:space="0" w:color="auto"/>
              <w:bottom w:val="single" w:sz="8" w:space="0" w:color="auto"/>
              <w:right w:val="single" w:sz="8" w:space="0" w:color="auto"/>
            </w:tcBorders>
            <w:shd w:val="clear" w:color="auto" w:fill="BFBFBF" w:themeFill="background1" w:themeFillShade="BF"/>
            <w:vAlign w:val="center"/>
            <w:hideMark/>
          </w:tcPr>
          <w:p w14:paraId="392647B4" w14:textId="5C0D445A" w:rsidR="00213FE6" w:rsidRPr="00C557A9" w:rsidRDefault="006F36F7" w:rsidP="00576EA7">
            <w:pPr>
              <w:rPr>
                <w:b/>
                <w:bCs/>
                <w:sz w:val="20"/>
                <w:szCs w:val="20"/>
              </w:rPr>
            </w:pPr>
            <w:r>
              <w:rPr>
                <w:b/>
                <w:bCs/>
                <w:sz w:val="20"/>
                <w:szCs w:val="20"/>
              </w:rPr>
              <w:t>Suitability assessment</w:t>
            </w:r>
          </w:p>
        </w:tc>
        <w:tc>
          <w:tcPr>
            <w:tcW w:w="893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0C9987C1" w14:textId="77777777" w:rsidR="00213FE6" w:rsidRPr="00C557A9" w:rsidRDefault="00213FE6" w:rsidP="00576EA7">
            <w:pPr>
              <w:rPr>
                <w:b/>
                <w:bCs/>
                <w:sz w:val="20"/>
                <w:szCs w:val="20"/>
              </w:rPr>
            </w:pPr>
            <w:r w:rsidRPr="00C557A9">
              <w:rPr>
                <w:b/>
                <w:bCs/>
                <w:sz w:val="20"/>
                <w:szCs w:val="20"/>
              </w:rPr>
              <w:t>Comment</w:t>
            </w:r>
          </w:p>
        </w:tc>
        <w:tc>
          <w:tcPr>
            <w:tcW w:w="170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8F9B5E6" w14:textId="77777777" w:rsidR="00213FE6" w:rsidRPr="00C557A9" w:rsidRDefault="00213FE6" w:rsidP="00576EA7">
            <w:pPr>
              <w:rPr>
                <w:b/>
                <w:bCs/>
                <w:sz w:val="20"/>
                <w:szCs w:val="20"/>
              </w:rPr>
            </w:pPr>
            <w:r w:rsidRPr="00C557A9">
              <w:rPr>
                <w:b/>
                <w:bCs/>
                <w:sz w:val="20"/>
                <w:szCs w:val="20"/>
              </w:rPr>
              <w:t>Page #</w:t>
            </w:r>
          </w:p>
        </w:tc>
      </w:tr>
      <w:tr w:rsidR="00213FE6" w:rsidRPr="00585DEE" w14:paraId="5A60F143" w14:textId="77777777" w:rsidTr="00C577A7">
        <w:tc>
          <w:tcPr>
            <w:tcW w:w="3403" w:type="dxa"/>
            <w:tcBorders>
              <w:top w:val="single" w:sz="4" w:space="0" w:color="auto"/>
              <w:left w:val="single" w:sz="4" w:space="0" w:color="auto"/>
              <w:bottom w:val="single" w:sz="8" w:space="0" w:color="auto"/>
              <w:right w:val="single" w:sz="4" w:space="0" w:color="auto"/>
            </w:tcBorders>
            <w:vAlign w:val="center"/>
            <w:hideMark/>
          </w:tcPr>
          <w:p w14:paraId="69FE6DFF" w14:textId="77777777" w:rsidR="00213FE6" w:rsidRPr="00585DEE" w:rsidRDefault="00213FE6" w:rsidP="00576EA7">
            <w:pPr>
              <w:rPr>
                <w:i/>
                <w:iCs/>
                <w:sz w:val="20"/>
                <w:szCs w:val="20"/>
              </w:rPr>
            </w:pPr>
            <w:r w:rsidRPr="00585DEE">
              <w:rPr>
                <w:sz w:val="20"/>
                <w:szCs w:val="20"/>
              </w:rPr>
              <w:t xml:space="preserve">How does the Australian and New Zealand context (e.g. food system, dietary patterns, intakes, status) compare with the jurisdiction in which the NRV under consideration was developed? </w:t>
            </w:r>
          </w:p>
        </w:tc>
        <w:tc>
          <w:tcPr>
            <w:tcW w:w="1417" w:type="dxa"/>
            <w:tcBorders>
              <w:top w:val="single" w:sz="4" w:space="0" w:color="auto"/>
              <w:left w:val="single" w:sz="4" w:space="0" w:color="auto"/>
              <w:bottom w:val="single" w:sz="8" w:space="0" w:color="auto"/>
              <w:right w:val="single" w:sz="4" w:space="0" w:color="auto"/>
            </w:tcBorders>
            <w:vAlign w:val="center"/>
          </w:tcPr>
          <w:p w14:paraId="60CEB709" w14:textId="036DB639" w:rsidR="00213FE6" w:rsidRPr="00585DEE" w:rsidRDefault="00213FE6" w:rsidP="00576EA7">
            <w:pPr>
              <w:rPr>
                <w:sz w:val="20"/>
                <w:szCs w:val="20"/>
              </w:rPr>
            </w:pPr>
            <w:r w:rsidRPr="00585DEE">
              <w:rPr>
                <w:sz w:val="20"/>
                <w:szCs w:val="20"/>
              </w:rPr>
              <w:t>Suitable to probably suitable</w:t>
            </w:r>
          </w:p>
        </w:tc>
        <w:tc>
          <w:tcPr>
            <w:tcW w:w="8931" w:type="dxa"/>
            <w:tcBorders>
              <w:top w:val="single" w:sz="4" w:space="0" w:color="auto"/>
              <w:left w:val="single" w:sz="4" w:space="0" w:color="auto"/>
              <w:bottom w:val="single" w:sz="8" w:space="0" w:color="auto"/>
              <w:right w:val="single" w:sz="8" w:space="0" w:color="auto"/>
            </w:tcBorders>
            <w:vAlign w:val="center"/>
          </w:tcPr>
          <w:p w14:paraId="7550C795" w14:textId="77777777" w:rsidR="00213FE6" w:rsidRPr="00585DEE" w:rsidRDefault="00213FE6" w:rsidP="00576EA7">
            <w:pPr>
              <w:rPr>
                <w:rFonts w:cstheme="minorHAnsi"/>
                <w:sz w:val="20"/>
                <w:szCs w:val="20"/>
              </w:rPr>
            </w:pPr>
            <w:r w:rsidRPr="00585DEE">
              <w:rPr>
                <w:rFonts w:cstheme="minorHAnsi"/>
                <w:sz w:val="20"/>
                <w:szCs w:val="20"/>
              </w:rPr>
              <w:t xml:space="preserve">Analysis presented in EFSA review suggests that intakes in Western Europe and Australia / New Zealand are comparable, ranging from 3.4-3.8g/day (see p. 23 of Guidelines). </w:t>
            </w:r>
          </w:p>
          <w:p w14:paraId="14B56267" w14:textId="77777777" w:rsidR="00213FE6" w:rsidRPr="00585DEE" w:rsidRDefault="00213FE6" w:rsidP="00576EA7">
            <w:pPr>
              <w:rPr>
                <w:rFonts w:cstheme="minorHAnsi"/>
                <w:sz w:val="20"/>
                <w:szCs w:val="20"/>
              </w:rPr>
            </w:pPr>
            <w:r w:rsidRPr="00585DEE">
              <w:rPr>
                <w:rFonts w:cstheme="minorHAnsi"/>
                <w:sz w:val="20"/>
                <w:szCs w:val="20"/>
              </w:rPr>
              <w:t xml:space="preserve">The Panel notes that sodium chloride added during industrial food processing, discretionary use or food preservation is the major source of dietary sodium in Western diets. This is also true for Australia and New Zealand. </w:t>
            </w:r>
          </w:p>
          <w:p w14:paraId="5B3AC6D4" w14:textId="03F9431A" w:rsidR="00213FE6" w:rsidRPr="00585DEE" w:rsidRDefault="00213FE6" w:rsidP="00576EA7">
            <w:pPr>
              <w:rPr>
                <w:rFonts w:cstheme="minorHAnsi"/>
                <w:sz w:val="20"/>
                <w:szCs w:val="20"/>
              </w:rPr>
            </w:pPr>
            <w:r w:rsidRPr="00585DEE">
              <w:rPr>
                <w:rFonts w:cstheme="minorHAnsi"/>
                <w:sz w:val="20"/>
                <w:szCs w:val="20"/>
              </w:rPr>
              <w:t xml:space="preserve">The use of an ‘safe and adequate intake’ instead of separate AI and CDRR values limits the suitability of NRV recommendations for adaptation or adoption, although the evidence base underpinning NRV values has been collected and analysed in a manner aligned with NHMRC requirements. </w:t>
            </w:r>
          </w:p>
        </w:tc>
        <w:tc>
          <w:tcPr>
            <w:tcW w:w="1700" w:type="dxa"/>
            <w:tcBorders>
              <w:top w:val="single" w:sz="4" w:space="0" w:color="auto"/>
              <w:left w:val="single" w:sz="4" w:space="0" w:color="auto"/>
              <w:bottom w:val="single" w:sz="8" w:space="0" w:color="auto"/>
              <w:right w:val="single" w:sz="8" w:space="0" w:color="auto"/>
            </w:tcBorders>
            <w:vAlign w:val="center"/>
          </w:tcPr>
          <w:p w14:paraId="78EA94F2" w14:textId="77777777" w:rsidR="00213FE6" w:rsidRPr="00585DEE" w:rsidRDefault="00213FE6" w:rsidP="00576EA7">
            <w:pPr>
              <w:rPr>
                <w:sz w:val="20"/>
                <w:szCs w:val="20"/>
              </w:rPr>
            </w:pPr>
          </w:p>
        </w:tc>
      </w:tr>
    </w:tbl>
    <w:p w14:paraId="3185A985" w14:textId="77777777" w:rsidR="0054569B" w:rsidRPr="009E4F6C" w:rsidRDefault="0054569B" w:rsidP="005338A3">
      <w:pPr>
        <w:pStyle w:val="Heading3"/>
        <w:spacing w:before="240"/>
      </w:pPr>
      <w:bookmarkStart w:id="127" w:name="_Toc234960899"/>
      <w:r w:rsidRPr="009E4F6C">
        <w:t>Overall conclusions</w:t>
      </w:r>
      <w:bookmarkEnd w:id="127"/>
    </w:p>
    <w:p w14:paraId="77880A0C" w14:textId="77777777" w:rsidR="0054569B" w:rsidRPr="00391FFC" w:rsidRDefault="0054569B" w:rsidP="00576EA7">
      <w:pPr>
        <w:rPr>
          <w:rFonts w:cstheme="minorHAnsi"/>
        </w:rPr>
      </w:pPr>
      <w:r w:rsidRPr="00391FFC">
        <w:rPr>
          <w:rFonts w:cstheme="minorHAnsi"/>
        </w:rPr>
        <w:t xml:space="preserve">EFSA have undertaken an extensive search of the evidence for areas where there is a recognised association between levels of sodium and health outcomes. They have given justification for the choice of outcomes and endpoints to use. Evidence on the relationship between sodium intake and level of blood pressure and risk of CVD as well as data from balance studies are used as a basis to determine a safe and adequate intake of sodium of 2.0 g/day for the general population of adults. While other health outcomes (bone health) were investigated, there was not enough evidence to base values on. There is awareness that the mean/median intake of sodium in European adult populations exceeds this value and recommend this value be used to set population goals for reduction in sodium intake. </w:t>
      </w:r>
    </w:p>
    <w:p w14:paraId="628EC9F4" w14:textId="77777777" w:rsidR="0054569B" w:rsidRPr="00391FFC" w:rsidRDefault="0054569B" w:rsidP="00576EA7">
      <w:pPr>
        <w:rPr>
          <w:rFonts w:cstheme="minorHAnsi"/>
        </w:rPr>
      </w:pPr>
      <w:r w:rsidRPr="00391FFC">
        <w:rPr>
          <w:rFonts w:cstheme="minorHAnsi"/>
        </w:rPr>
        <w:t>EFSA did consider the NASEM report and its recommendation of 1.5g/day as an AI. The NASEM also established a Chronic Disease Risk Reduction Intake (CDRR) for sodium, defined as the lowest level of intake for which there was sufficient strength of evidence to characterise a chronic disease risk reduction. In the sodium intake range of 2.3–4.1 g/day (100–178 mmol/day), the strength of evidence was considered high that reducing sodium intake reduces chronic disease risk, based on evidence of reduction in cardiovascular disease incidence, reduction in hypertension incidence, and lowering of systolic and diastolic blood pressure.</w:t>
      </w:r>
    </w:p>
    <w:p w14:paraId="4727E3E3" w14:textId="17837F71" w:rsidR="0054569B" w:rsidRDefault="0054569B" w:rsidP="00576EA7">
      <w:r w:rsidRPr="001B7370">
        <w:rPr>
          <w:rFonts w:ascii="Calibri" w:hAnsi="Calibri"/>
          <w:szCs w:val="20"/>
        </w:rPr>
        <w:lastRenderedPageBreak/>
        <w:t>The Panel considers that the available evidence cannot be used to determine the sodium requirement nor its distribution in the population (see Section </w:t>
      </w:r>
      <w:hyperlink r:id="rId216" w:anchor="efs25778-sec-0044" w:history="1">
        <w:r w:rsidRPr="001B7370">
          <w:rPr>
            <w:rStyle w:val="Hyperlink"/>
            <w:rFonts w:ascii="Calibri" w:hAnsi="Calibri"/>
            <w:szCs w:val="20"/>
          </w:rPr>
          <w:t>5</w:t>
        </w:r>
      </w:hyperlink>
      <w:r w:rsidRPr="001B7370">
        <w:rPr>
          <w:rFonts w:ascii="Calibri" w:hAnsi="Calibri"/>
          <w:szCs w:val="20"/>
        </w:rPr>
        <w:t>); so, an AR and population reference intake (PRI) for sodium cannot be established.</w:t>
      </w:r>
    </w:p>
    <w:p w14:paraId="11A97950" w14:textId="4FDEDF95" w:rsidR="0054569B" w:rsidRDefault="00FB05BA" w:rsidP="00576EA7">
      <w:pPr>
        <w:rPr>
          <w:highlight w:val="yellow"/>
        </w:rPr>
      </w:pPr>
      <w:r>
        <w:rPr>
          <w:highlight w:val="yellow"/>
        </w:rPr>
        <w:br w:type="page"/>
      </w:r>
    </w:p>
    <w:p w14:paraId="72BED507" w14:textId="77777777" w:rsidR="0054569B" w:rsidRPr="00CF6834" w:rsidRDefault="0054569B" w:rsidP="00CF6834">
      <w:pPr>
        <w:rPr>
          <w:highlight w:val="yellow"/>
        </w:rPr>
        <w:sectPr w:rsidR="0054569B" w:rsidRPr="00CF6834" w:rsidSect="00C577A7">
          <w:footnotePr>
            <w:pos w:val="beneathText"/>
          </w:footnotePr>
          <w:pgSz w:w="16838" w:h="11906" w:orient="landscape"/>
          <w:pgMar w:top="993" w:right="1080" w:bottom="851" w:left="1080" w:header="708" w:footer="708" w:gutter="0"/>
          <w:cols w:space="708"/>
          <w:docGrid w:linePitch="360"/>
        </w:sectPr>
      </w:pPr>
    </w:p>
    <w:p w14:paraId="27B3CC5B" w14:textId="445EB2C2" w:rsidR="008C597E" w:rsidRPr="005F45FC" w:rsidRDefault="00347857" w:rsidP="003F7543">
      <w:pPr>
        <w:pStyle w:val="Heading1"/>
        <w:spacing w:before="0"/>
        <w:rPr>
          <w:b/>
          <w:bCs/>
        </w:rPr>
      </w:pPr>
      <w:bookmarkStart w:id="128" w:name="_Ref234947446"/>
      <w:bookmarkStart w:id="129" w:name="_Ref234950990"/>
      <w:bookmarkStart w:id="130" w:name="_Ref234951652"/>
      <w:bookmarkStart w:id="131" w:name="_Toc234960900"/>
      <w:r w:rsidRPr="005F45FC">
        <w:rPr>
          <w:b/>
          <w:bCs/>
        </w:rPr>
        <w:lastRenderedPageBreak/>
        <w:t xml:space="preserve">Appendix </w:t>
      </w:r>
      <w:r w:rsidR="003774E3">
        <w:rPr>
          <w:b/>
          <w:bCs/>
        </w:rPr>
        <w:t>B</w:t>
      </w:r>
      <w:r w:rsidRPr="005F45FC">
        <w:rPr>
          <w:b/>
          <w:bCs/>
        </w:rPr>
        <w:t xml:space="preserve"> </w:t>
      </w:r>
      <w:r w:rsidR="00F87620">
        <w:rPr>
          <w:b/>
          <w:bCs/>
        </w:rPr>
        <w:t>–</w:t>
      </w:r>
      <w:r w:rsidRPr="005F45FC">
        <w:rPr>
          <w:b/>
          <w:bCs/>
        </w:rPr>
        <w:t xml:space="preserve"> Methods</w:t>
      </w:r>
      <w:bookmarkEnd w:id="107"/>
      <w:r w:rsidR="00F87620">
        <w:rPr>
          <w:b/>
          <w:bCs/>
        </w:rPr>
        <w:t xml:space="preserve"> for supplementary evidence searches</w:t>
      </w:r>
      <w:bookmarkEnd w:id="128"/>
      <w:bookmarkEnd w:id="129"/>
      <w:bookmarkEnd w:id="130"/>
      <w:bookmarkEnd w:id="131"/>
    </w:p>
    <w:p w14:paraId="427D670F" w14:textId="5E08D437" w:rsidR="00EF0137" w:rsidRDefault="00F87620" w:rsidP="00EF0137">
      <w:pPr>
        <w:pStyle w:val="Heading2"/>
      </w:pPr>
      <w:bookmarkStart w:id="132" w:name="_Toc234960901"/>
      <w:r>
        <w:t>Systematic reviews published since 2018</w:t>
      </w:r>
      <w:bookmarkEnd w:id="132"/>
    </w:p>
    <w:p w14:paraId="3C14E17F" w14:textId="3A2846DC" w:rsidR="007A5365" w:rsidRPr="007A5365" w:rsidRDefault="008D4A9F" w:rsidP="008954EC">
      <w:pPr>
        <w:spacing w:line="276" w:lineRule="auto"/>
      </w:pPr>
      <w:r w:rsidRPr="007A5365">
        <w:t xml:space="preserve">Eligible systematic reviews </w:t>
      </w:r>
      <w:r w:rsidRPr="005F2E62">
        <w:t>were those that were</w:t>
      </w:r>
      <w:r w:rsidR="007A5365" w:rsidRPr="005F2E62">
        <w:t xml:space="preserve"> </w:t>
      </w:r>
      <w:r w:rsidRPr="005F2E62">
        <w:t>published after 1 January 201</w:t>
      </w:r>
      <w:r w:rsidR="007A5365" w:rsidRPr="005F2E62">
        <w:t xml:space="preserve">8, </w:t>
      </w:r>
      <w:r w:rsidRPr="005F2E62">
        <w:t>evaluated the relationship between sodium intake and a health outcome of interest</w:t>
      </w:r>
      <w:r w:rsidR="007A5365" w:rsidRPr="005F2E62">
        <w:t xml:space="preserve">, and aligned with the requirements outlined in </w:t>
      </w:r>
      <w:r w:rsidR="007A5365" w:rsidRPr="005F2E62">
        <w:fldChar w:fldCharType="begin"/>
      </w:r>
      <w:r w:rsidR="007A5365" w:rsidRPr="005F2E62">
        <w:instrText xml:space="preserve"> REF _Ref231316756 \h  \* MERGEFORMAT </w:instrText>
      </w:r>
      <w:r w:rsidR="007A5365" w:rsidRPr="005F2E62">
        <w:fldChar w:fldCharType="separate"/>
      </w:r>
      <w:r w:rsidR="00D1175D">
        <w:t xml:space="preserve">Table </w:t>
      </w:r>
      <w:r w:rsidR="00792C3E">
        <w:t>B1</w:t>
      </w:r>
      <w:r w:rsidR="007A5365" w:rsidRPr="005F2E62">
        <w:fldChar w:fldCharType="end"/>
      </w:r>
      <w:r w:rsidR="007A5365" w:rsidRPr="005F2E62">
        <w:t>. Results from reviews that most closely aligned with the pre-specified review inclusion criteria</w:t>
      </w:r>
      <w:r w:rsidR="007A5365">
        <w:t>, or those at low risk of bias, were prioritised</w:t>
      </w:r>
      <w:r w:rsidR="00AF0DFA">
        <w:t xml:space="preserve"> for extraction and synthesis</w:t>
      </w:r>
      <w:r w:rsidR="007A5365">
        <w:t>.</w:t>
      </w:r>
    </w:p>
    <w:p w14:paraId="6E04F6B7" w14:textId="531291B1" w:rsidR="00855D7F" w:rsidRDefault="00855D7F" w:rsidP="00855D7F">
      <w:pPr>
        <w:pStyle w:val="Caption"/>
        <w:keepNext/>
      </w:pPr>
      <w:bookmarkStart w:id="133" w:name="_Ref231316756"/>
      <w:r>
        <w:t xml:space="preserve">Table </w:t>
      </w:r>
      <w:bookmarkEnd w:id="133"/>
      <w:r w:rsidR="00792C3E">
        <w:t>B1</w:t>
      </w:r>
      <w:r>
        <w:t xml:space="preserve"> - Review inclusion criteria</w:t>
      </w:r>
    </w:p>
    <w:tbl>
      <w:tblPr>
        <w:tblStyle w:val="TableGrid"/>
        <w:tblW w:w="8751"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1555"/>
        <w:gridCol w:w="7196"/>
      </w:tblGrid>
      <w:tr w:rsidR="001370EB" w:rsidRPr="00AF0DFA" w14:paraId="1964C8FC" w14:textId="77777777" w:rsidTr="00AF0DFA">
        <w:tc>
          <w:tcPr>
            <w:tcW w:w="1555" w:type="dxa"/>
            <w:tcBorders>
              <w:top w:val="single" w:sz="4" w:space="0" w:color="156082" w:themeColor="accent1"/>
              <w:left w:val="single" w:sz="4" w:space="0" w:color="156082" w:themeColor="accent1"/>
              <w:bottom w:val="single" w:sz="4" w:space="0" w:color="FFFFFF" w:themeColor="background1"/>
              <w:right w:val="single" w:sz="4" w:space="0" w:color="FFFFFF" w:themeColor="background1"/>
            </w:tcBorders>
            <w:shd w:val="clear" w:color="auto" w:fill="156082" w:themeFill="accent1"/>
          </w:tcPr>
          <w:p w14:paraId="4F7616B9" w14:textId="3A16190B" w:rsidR="001370EB" w:rsidRPr="00AF0DFA" w:rsidRDefault="001370EB" w:rsidP="008954EC">
            <w:pPr>
              <w:spacing w:line="276" w:lineRule="auto"/>
              <w:rPr>
                <w:b/>
                <w:bCs/>
                <w:color w:val="FFFFFF" w:themeColor="background1"/>
                <w:sz w:val="20"/>
                <w:szCs w:val="20"/>
              </w:rPr>
            </w:pPr>
            <w:r w:rsidRPr="00AF0DFA">
              <w:rPr>
                <w:b/>
                <w:bCs/>
                <w:color w:val="FFFFFF" w:themeColor="background1"/>
                <w:kern w:val="2"/>
                <w:sz w:val="20"/>
                <w:szCs w:val="20"/>
                <w14:ligatures w14:val="standardContextual"/>
              </w:rPr>
              <w:t>Study designs</w:t>
            </w:r>
          </w:p>
        </w:tc>
        <w:tc>
          <w:tcPr>
            <w:tcW w:w="7196" w:type="dxa"/>
            <w:tcBorders>
              <w:top w:val="single" w:sz="4" w:space="0" w:color="156082" w:themeColor="accent1"/>
              <w:left w:val="single" w:sz="4" w:space="0" w:color="FFFFFF" w:themeColor="background1"/>
            </w:tcBorders>
          </w:tcPr>
          <w:p w14:paraId="0775E33D" w14:textId="364343F5" w:rsidR="001370EB" w:rsidRPr="00AF0DFA" w:rsidRDefault="001370EB" w:rsidP="008954EC">
            <w:pPr>
              <w:spacing w:line="276" w:lineRule="auto"/>
              <w:rPr>
                <w:sz w:val="20"/>
                <w:szCs w:val="20"/>
              </w:rPr>
            </w:pPr>
            <w:r w:rsidRPr="00AF0DFA">
              <w:rPr>
                <w:sz w:val="20"/>
                <w:szCs w:val="20"/>
              </w:rPr>
              <w:t>Systematic reviews</w:t>
            </w:r>
            <w:r w:rsidR="004736A7" w:rsidRPr="00AF0DFA">
              <w:rPr>
                <w:sz w:val="20"/>
                <w:szCs w:val="20"/>
              </w:rPr>
              <w:t xml:space="preserve"> published since 1 January 2018 reporting findings from </w:t>
            </w:r>
            <w:r w:rsidRPr="00AF0DFA">
              <w:rPr>
                <w:sz w:val="20"/>
                <w:szCs w:val="20"/>
              </w:rPr>
              <w:t>randomised controlled trials and prospectively designed and controlled studies (including quasi-randomised studies and prospective cohort studies).</w:t>
            </w:r>
            <w:r w:rsidR="004736A7" w:rsidRPr="00AF0DFA">
              <w:rPr>
                <w:sz w:val="20"/>
                <w:szCs w:val="20"/>
              </w:rPr>
              <w:t xml:space="preserve"> Reviews including a broader range of studies were eligible for inclusion if findings from eligible study designs were separately synthesised.</w:t>
            </w:r>
          </w:p>
          <w:p w14:paraId="00528D27" w14:textId="43945DC0" w:rsidR="001370EB" w:rsidRPr="00AF0DFA" w:rsidRDefault="001370EB" w:rsidP="008954EC">
            <w:pPr>
              <w:spacing w:line="276" w:lineRule="auto"/>
              <w:rPr>
                <w:sz w:val="20"/>
                <w:szCs w:val="20"/>
              </w:rPr>
            </w:pPr>
            <w:r w:rsidRPr="00AF0DFA">
              <w:rPr>
                <w:sz w:val="20"/>
                <w:szCs w:val="20"/>
              </w:rPr>
              <w:t>For children and adolescents, systematic reviews including cross-sectional studies and case-control studies will also be considered as supportive evidence, where insufficient evidence is identified from other study designs.</w:t>
            </w:r>
          </w:p>
        </w:tc>
      </w:tr>
      <w:tr w:rsidR="001370EB" w:rsidRPr="00AF0DFA" w14:paraId="42A76CD5" w14:textId="77777777" w:rsidTr="00AF0DFA">
        <w:tc>
          <w:tcPr>
            <w:tcW w:w="1555" w:type="dxa"/>
            <w:tcBorders>
              <w:top w:val="single" w:sz="4" w:space="0" w:color="FFFFFF" w:themeColor="background1"/>
              <w:left w:val="single" w:sz="4" w:space="0" w:color="156082" w:themeColor="accent1"/>
              <w:bottom w:val="single" w:sz="4" w:space="0" w:color="FFFFFF" w:themeColor="background1"/>
              <w:right w:val="single" w:sz="4" w:space="0" w:color="FFFFFF" w:themeColor="background1"/>
            </w:tcBorders>
            <w:shd w:val="clear" w:color="auto" w:fill="156082" w:themeFill="accent1"/>
          </w:tcPr>
          <w:p w14:paraId="63D35B0F" w14:textId="3EA5A3D7" w:rsidR="001370EB" w:rsidRPr="00AF0DFA" w:rsidRDefault="001370EB" w:rsidP="008954EC">
            <w:pPr>
              <w:spacing w:line="276" w:lineRule="auto"/>
              <w:rPr>
                <w:b/>
                <w:bCs/>
                <w:color w:val="FFFFFF" w:themeColor="background1"/>
                <w:sz w:val="20"/>
                <w:szCs w:val="20"/>
              </w:rPr>
            </w:pPr>
            <w:r w:rsidRPr="00AF0DFA">
              <w:rPr>
                <w:b/>
                <w:bCs/>
                <w:color w:val="FFFFFF" w:themeColor="background1"/>
                <w:sz w:val="20"/>
                <w:szCs w:val="20"/>
              </w:rPr>
              <w:t>Population</w:t>
            </w:r>
          </w:p>
        </w:tc>
        <w:tc>
          <w:tcPr>
            <w:tcW w:w="7196" w:type="dxa"/>
            <w:tcBorders>
              <w:left w:val="single" w:sz="4" w:space="0" w:color="FFFFFF" w:themeColor="background1"/>
            </w:tcBorders>
          </w:tcPr>
          <w:p w14:paraId="2EFD6496" w14:textId="77777777" w:rsidR="00613377" w:rsidRPr="00AF0DFA" w:rsidRDefault="00613377" w:rsidP="008954EC">
            <w:pPr>
              <w:tabs>
                <w:tab w:val="left" w:pos="1276"/>
              </w:tabs>
              <w:spacing w:line="276" w:lineRule="auto"/>
              <w:rPr>
                <w:rFonts w:eastAsia="Calibri" w:cs="Calibri"/>
                <w:sz w:val="20"/>
                <w:szCs w:val="20"/>
              </w:rPr>
            </w:pPr>
            <w:r w:rsidRPr="00AF0DFA">
              <w:rPr>
                <w:rFonts w:eastAsia="Calibri" w:cs="Calibri"/>
                <w:sz w:val="20"/>
                <w:szCs w:val="20"/>
              </w:rPr>
              <w:t>Studies in adults (aged 18+), pregnant and lactating people, and children and adolescents (aged 1 to under 18 years) are eligible for inclusion. Studies in infants &lt;12 months are excluded.</w:t>
            </w:r>
          </w:p>
          <w:p w14:paraId="44912BB4" w14:textId="77777777" w:rsidR="00613377" w:rsidRPr="00AF0DFA" w:rsidRDefault="00613377" w:rsidP="008954EC">
            <w:pPr>
              <w:tabs>
                <w:tab w:val="left" w:pos="1276"/>
              </w:tabs>
              <w:spacing w:line="276" w:lineRule="auto"/>
              <w:rPr>
                <w:rFonts w:eastAsia="Calibri" w:cs="Calibri"/>
                <w:sz w:val="20"/>
                <w:szCs w:val="20"/>
              </w:rPr>
            </w:pPr>
          </w:p>
          <w:p w14:paraId="3E593E51" w14:textId="765539DC" w:rsidR="001370EB" w:rsidRPr="00AF0DFA" w:rsidRDefault="0085045E" w:rsidP="008954EC">
            <w:pPr>
              <w:spacing w:line="276" w:lineRule="auto"/>
              <w:rPr>
                <w:sz w:val="20"/>
                <w:szCs w:val="20"/>
              </w:rPr>
            </w:pPr>
            <w:r w:rsidRPr="00AF0DFA">
              <w:rPr>
                <w:sz w:val="20"/>
                <w:szCs w:val="20"/>
              </w:rPr>
              <w:t>S</w:t>
            </w:r>
            <w:r w:rsidR="00613377" w:rsidRPr="00AF0DFA">
              <w:rPr>
                <w:sz w:val="20"/>
                <w:szCs w:val="20"/>
              </w:rPr>
              <w:t xml:space="preserve">tudies </w:t>
            </w:r>
            <w:r w:rsidRPr="00AF0DFA">
              <w:rPr>
                <w:sz w:val="20"/>
                <w:szCs w:val="20"/>
              </w:rPr>
              <w:t xml:space="preserve">recruiting samples based on a specific health condition were excluded, </w:t>
            </w:r>
            <w:proofErr w:type="gramStart"/>
            <w:r w:rsidRPr="00AF0DFA">
              <w:rPr>
                <w:sz w:val="20"/>
                <w:szCs w:val="20"/>
              </w:rPr>
              <w:t>with the exception of</w:t>
            </w:r>
            <w:proofErr w:type="gramEnd"/>
            <w:r w:rsidRPr="00AF0DFA">
              <w:rPr>
                <w:sz w:val="20"/>
                <w:szCs w:val="20"/>
              </w:rPr>
              <w:t xml:space="preserve"> hypertensive populations.</w:t>
            </w:r>
          </w:p>
        </w:tc>
      </w:tr>
      <w:tr w:rsidR="001370EB" w:rsidRPr="00AF0DFA" w14:paraId="314A6185" w14:textId="77777777" w:rsidTr="00AF0DFA">
        <w:tc>
          <w:tcPr>
            <w:tcW w:w="1555" w:type="dxa"/>
            <w:tcBorders>
              <w:top w:val="single" w:sz="4" w:space="0" w:color="FFFFFF" w:themeColor="background1"/>
              <w:left w:val="single" w:sz="4" w:space="0" w:color="156082" w:themeColor="accent1"/>
              <w:bottom w:val="single" w:sz="4" w:space="0" w:color="FFFFFF" w:themeColor="background1"/>
              <w:right w:val="single" w:sz="4" w:space="0" w:color="FFFFFF" w:themeColor="background1"/>
            </w:tcBorders>
            <w:shd w:val="clear" w:color="auto" w:fill="156082" w:themeFill="accent1"/>
          </w:tcPr>
          <w:p w14:paraId="4A7F34C0" w14:textId="3714179C" w:rsidR="001370EB" w:rsidRPr="00AF0DFA" w:rsidRDefault="0085045E" w:rsidP="008954EC">
            <w:pPr>
              <w:spacing w:line="276" w:lineRule="auto"/>
              <w:rPr>
                <w:b/>
                <w:bCs/>
                <w:color w:val="FFFFFF" w:themeColor="background1"/>
                <w:sz w:val="20"/>
                <w:szCs w:val="20"/>
              </w:rPr>
            </w:pPr>
            <w:r w:rsidRPr="00AF0DFA">
              <w:rPr>
                <w:b/>
                <w:bCs/>
                <w:color w:val="FFFFFF" w:themeColor="background1"/>
                <w:sz w:val="20"/>
                <w:szCs w:val="20"/>
              </w:rPr>
              <w:t>Intervention / exposure</w:t>
            </w:r>
            <w:r w:rsidR="00153F53" w:rsidRPr="00AF0DFA">
              <w:rPr>
                <w:b/>
                <w:bCs/>
                <w:color w:val="FFFFFF" w:themeColor="background1"/>
                <w:sz w:val="20"/>
                <w:szCs w:val="20"/>
              </w:rPr>
              <w:t xml:space="preserve"> and comparators</w:t>
            </w:r>
          </w:p>
        </w:tc>
        <w:tc>
          <w:tcPr>
            <w:tcW w:w="7196" w:type="dxa"/>
            <w:tcBorders>
              <w:left w:val="single" w:sz="4" w:space="0" w:color="FFFFFF" w:themeColor="background1"/>
            </w:tcBorders>
          </w:tcPr>
          <w:p w14:paraId="7D8DC2E2" w14:textId="0DF417F2" w:rsidR="00073830" w:rsidRPr="00AF0DFA" w:rsidRDefault="00153F53" w:rsidP="008954EC">
            <w:pPr>
              <w:pStyle w:val="Bullet2"/>
              <w:spacing w:line="276" w:lineRule="auto"/>
              <w:ind w:left="0" w:firstLine="0"/>
              <w:rPr>
                <w:sz w:val="20"/>
                <w:szCs w:val="20"/>
              </w:rPr>
            </w:pPr>
            <w:proofErr w:type="gramStart"/>
            <w:r w:rsidRPr="00AF0DFA">
              <w:rPr>
                <w:sz w:val="20"/>
                <w:szCs w:val="20"/>
              </w:rPr>
              <w:t>Comparison of higher vs lower sodium intake,</w:t>
            </w:r>
            <w:proofErr w:type="gramEnd"/>
            <w:r w:rsidRPr="00AF0DFA">
              <w:rPr>
                <w:sz w:val="20"/>
                <w:szCs w:val="20"/>
              </w:rPr>
              <w:t xml:space="preserve"> measured using </w:t>
            </w:r>
            <w:proofErr w:type="gramStart"/>
            <w:r w:rsidRPr="00AF0DFA">
              <w:rPr>
                <w:sz w:val="20"/>
                <w:szCs w:val="20"/>
              </w:rPr>
              <w:t>24 hour</w:t>
            </w:r>
            <w:proofErr w:type="gramEnd"/>
            <w:r w:rsidRPr="00AF0DFA">
              <w:rPr>
                <w:sz w:val="20"/>
                <w:szCs w:val="20"/>
              </w:rPr>
              <w:t xml:space="preserve"> urinary sodium excretion. </w:t>
            </w:r>
            <w:r w:rsidR="004736A7" w:rsidRPr="00AF0DFA">
              <w:rPr>
                <w:sz w:val="20"/>
                <w:szCs w:val="20"/>
              </w:rPr>
              <w:t xml:space="preserve">Reviews including a broader range of sodium exposure measurement methods were eligible for inclusion if findings from studies that used </w:t>
            </w:r>
            <w:proofErr w:type="gramStart"/>
            <w:r w:rsidR="004736A7" w:rsidRPr="00AF0DFA">
              <w:rPr>
                <w:sz w:val="20"/>
                <w:szCs w:val="20"/>
              </w:rPr>
              <w:t>24 hour</w:t>
            </w:r>
            <w:proofErr w:type="gramEnd"/>
            <w:r w:rsidR="004736A7" w:rsidRPr="00AF0DFA">
              <w:rPr>
                <w:sz w:val="20"/>
                <w:szCs w:val="20"/>
              </w:rPr>
              <w:t xml:space="preserve"> urinary measures were separately synthesised.</w:t>
            </w:r>
          </w:p>
          <w:p w14:paraId="0D17955A" w14:textId="4AE5C70B" w:rsidR="001370EB" w:rsidRPr="00AF0DFA" w:rsidRDefault="00153F53" w:rsidP="008954EC">
            <w:pPr>
              <w:pStyle w:val="Bullet2"/>
              <w:spacing w:line="276" w:lineRule="auto"/>
              <w:ind w:left="0" w:firstLine="0"/>
              <w:rPr>
                <w:sz w:val="20"/>
                <w:szCs w:val="20"/>
              </w:rPr>
            </w:pPr>
            <w:r w:rsidRPr="00AF0DFA">
              <w:rPr>
                <w:sz w:val="20"/>
                <w:szCs w:val="20"/>
              </w:rPr>
              <w:t>In children and adolescents, studies measur</w:t>
            </w:r>
            <w:r w:rsidR="00073830" w:rsidRPr="00AF0DFA">
              <w:rPr>
                <w:sz w:val="20"/>
                <w:szCs w:val="20"/>
              </w:rPr>
              <w:t>ing</w:t>
            </w:r>
            <w:r w:rsidRPr="00AF0DFA">
              <w:rPr>
                <w:sz w:val="20"/>
                <w:szCs w:val="20"/>
              </w:rPr>
              <w:t xml:space="preserve"> intake using overnight urine collection or</w:t>
            </w:r>
            <w:r w:rsidR="00073830" w:rsidRPr="00AF0DFA">
              <w:rPr>
                <w:sz w:val="20"/>
                <w:szCs w:val="20"/>
              </w:rPr>
              <w:t xml:space="preserve"> </w:t>
            </w:r>
            <w:r w:rsidRPr="00AF0DFA">
              <w:rPr>
                <w:sz w:val="20"/>
                <w:szCs w:val="20"/>
              </w:rPr>
              <w:t xml:space="preserve">select dietary assessment methods (standardised 24-hour dietary recalls or food records) </w:t>
            </w:r>
            <w:r w:rsidR="00073830" w:rsidRPr="00AF0DFA">
              <w:rPr>
                <w:sz w:val="20"/>
                <w:szCs w:val="20"/>
              </w:rPr>
              <w:t xml:space="preserve">are eligible, </w:t>
            </w:r>
            <w:r w:rsidRPr="00AF0DFA">
              <w:rPr>
                <w:sz w:val="20"/>
                <w:szCs w:val="20"/>
              </w:rPr>
              <w:t xml:space="preserve">if there is insufficient evidence </w:t>
            </w:r>
            <w:r w:rsidR="00073830" w:rsidRPr="00AF0DFA">
              <w:rPr>
                <w:sz w:val="20"/>
                <w:szCs w:val="20"/>
              </w:rPr>
              <w:t xml:space="preserve">from </w:t>
            </w:r>
            <w:r w:rsidRPr="00AF0DFA">
              <w:rPr>
                <w:sz w:val="20"/>
                <w:szCs w:val="20"/>
              </w:rPr>
              <w:t>studies</w:t>
            </w:r>
            <w:r w:rsidR="00073830" w:rsidRPr="00AF0DFA">
              <w:rPr>
                <w:sz w:val="20"/>
                <w:szCs w:val="20"/>
              </w:rPr>
              <w:t xml:space="preserve"> that use </w:t>
            </w:r>
            <w:proofErr w:type="gramStart"/>
            <w:r w:rsidR="00073830" w:rsidRPr="00AF0DFA">
              <w:rPr>
                <w:sz w:val="20"/>
                <w:szCs w:val="20"/>
              </w:rPr>
              <w:t>24 hour</w:t>
            </w:r>
            <w:proofErr w:type="gramEnd"/>
            <w:r w:rsidR="00073830" w:rsidRPr="00AF0DFA">
              <w:rPr>
                <w:sz w:val="20"/>
                <w:szCs w:val="20"/>
              </w:rPr>
              <w:t xml:space="preserve"> urinary excretion. </w:t>
            </w:r>
          </w:p>
        </w:tc>
      </w:tr>
      <w:tr w:rsidR="001370EB" w:rsidRPr="00AF0DFA" w14:paraId="31B27699" w14:textId="77777777" w:rsidTr="00AF0DFA">
        <w:tc>
          <w:tcPr>
            <w:tcW w:w="1555" w:type="dxa"/>
            <w:tcBorders>
              <w:top w:val="single" w:sz="4" w:space="0" w:color="FFFFFF" w:themeColor="background1"/>
              <w:left w:val="single" w:sz="4" w:space="0" w:color="156082" w:themeColor="accent1"/>
              <w:bottom w:val="single" w:sz="4" w:space="0" w:color="FFFFFF" w:themeColor="background1"/>
              <w:right w:val="single" w:sz="4" w:space="0" w:color="FFFFFF" w:themeColor="background1"/>
            </w:tcBorders>
            <w:shd w:val="clear" w:color="auto" w:fill="156082" w:themeFill="accent1"/>
          </w:tcPr>
          <w:p w14:paraId="0D8C059C" w14:textId="74B0342A" w:rsidR="001370EB" w:rsidRPr="00AF0DFA" w:rsidRDefault="00B0760E" w:rsidP="008954EC">
            <w:pPr>
              <w:spacing w:line="276" w:lineRule="auto"/>
              <w:rPr>
                <w:b/>
                <w:bCs/>
                <w:color w:val="FFFFFF" w:themeColor="background1"/>
                <w:sz w:val="20"/>
                <w:szCs w:val="20"/>
              </w:rPr>
            </w:pPr>
            <w:r w:rsidRPr="00AF0DFA">
              <w:rPr>
                <w:b/>
                <w:bCs/>
                <w:color w:val="FFFFFF" w:themeColor="background1"/>
                <w:sz w:val="20"/>
                <w:szCs w:val="20"/>
              </w:rPr>
              <w:t>Primary outcomes</w:t>
            </w:r>
          </w:p>
        </w:tc>
        <w:tc>
          <w:tcPr>
            <w:tcW w:w="7196" w:type="dxa"/>
            <w:tcBorders>
              <w:left w:val="single" w:sz="4" w:space="0" w:color="FFFFFF" w:themeColor="background1"/>
            </w:tcBorders>
          </w:tcPr>
          <w:p w14:paraId="00E69A77" w14:textId="77777777" w:rsidR="001370EB" w:rsidRPr="00AF0DFA" w:rsidRDefault="00B0760E" w:rsidP="008954EC">
            <w:pPr>
              <w:spacing w:line="276" w:lineRule="auto"/>
              <w:rPr>
                <w:sz w:val="20"/>
                <w:szCs w:val="20"/>
              </w:rPr>
            </w:pPr>
            <w:r w:rsidRPr="00AF0DFA">
              <w:rPr>
                <w:sz w:val="20"/>
                <w:szCs w:val="20"/>
              </w:rPr>
              <w:t>Systolic blood pressure (all populations)</w:t>
            </w:r>
          </w:p>
          <w:p w14:paraId="4FBFE06D" w14:textId="288B5EE1" w:rsidR="00B0760E" w:rsidRPr="00AF0DFA" w:rsidRDefault="00B0760E" w:rsidP="008954EC">
            <w:pPr>
              <w:spacing w:line="276" w:lineRule="auto"/>
              <w:rPr>
                <w:sz w:val="20"/>
                <w:szCs w:val="20"/>
              </w:rPr>
            </w:pPr>
            <w:r w:rsidRPr="00AF0DFA">
              <w:rPr>
                <w:sz w:val="20"/>
                <w:szCs w:val="20"/>
              </w:rPr>
              <w:t>Arterial stiffness (children and adolescents)</w:t>
            </w:r>
          </w:p>
        </w:tc>
      </w:tr>
      <w:tr w:rsidR="001370EB" w:rsidRPr="00AF0DFA" w14:paraId="6A61FF39" w14:textId="77777777" w:rsidTr="00AF0DFA">
        <w:tc>
          <w:tcPr>
            <w:tcW w:w="1555" w:type="dxa"/>
            <w:tcBorders>
              <w:top w:val="single" w:sz="4" w:space="0" w:color="FFFFFF" w:themeColor="background1"/>
              <w:left w:val="single" w:sz="4" w:space="0" w:color="156082" w:themeColor="accent1"/>
              <w:bottom w:val="single" w:sz="4" w:space="0" w:color="FFFFFF" w:themeColor="background1"/>
              <w:right w:val="single" w:sz="4" w:space="0" w:color="FFFFFF" w:themeColor="background1"/>
            </w:tcBorders>
            <w:shd w:val="clear" w:color="auto" w:fill="156082" w:themeFill="accent1"/>
          </w:tcPr>
          <w:p w14:paraId="267CA892" w14:textId="0D38912C" w:rsidR="001370EB" w:rsidRPr="00AF0DFA" w:rsidRDefault="00B0760E" w:rsidP="008954EC">
            <w:pPr>
              <w:spacing w:line="276" w:lineRule="auto"/>
              <w:rPr>
                <w:b/>
                <w:bCs/>
                <w:color w:val="FFFFFF" w:themeColor="background1"/>
                <w:sz w:val="20"/>
                <w:szCs w:val="20"/>
              </w:rPr>
            </w:pPr>
            <w:r w:rsidRPr="00AF0DFA">
              <w:rPr>
                <w:b/>
                <w:bCs/>
                <w:color w:val="FFFFFF" w:themeColor="background1"/>
                <w:sz w:val="20"/>
                <w:szCs w:val="20"/>
              </w:rPr>
              <w:t>Secondary outcomes</w:t>
            </w:r>
          </w:p>
        </w:tc>
        <w:tc>
          <w:tcPr>
            <w:tcW w:w="7196" w:type="dxa"/>
            <w:tcBorders>
              <w:left w:val="single" w:sz="4" w:space="0" w:color="FFFFFF" w:themeColor="background1"/>
            </w:tcBorders>
          </w:tcPr>
          <w:p w14:paraId="175BAC7A" w14:textId="441355E5" w:rsidR="001370EB" w:rsidRPr="00AF0DFA" w:rsidRDefault="003A3393" w:rsidP="008954EC">
            <w:pPr>
              <w:spacing w:line="276" w:lineRule="auto"/>
              <w:rPr>
                <w:sz w:val="20"/>
                <w:szCs w:val="20"/>
              </w:rPr>
            </w:pPr>
            <w:r w:rsidRPr="00AF0DFA">
              <w:rPr>
                <w:sz w:val="20"/>
                <w:szCs w:val="20"/>
              </w:rPr>
              <w:t>Diastolic blood pressure, mean arterial pressure, blood lipids, cardiovascular and renal disease end points</w:t>
            </w:r>
          </w:p>
        </w:tc>
      </w:tr>
      <w:tr w:rsidR="001370EB" w:rsidRPr="00AF0DFA" w14:paraId="4BC87209" w14:textId="77777777" w:rsidTr="00AF0DFA">
        <w:tc>
          <w:tcPr>
            <w:tcW w:w="1555" w:type="dxa"/>
            <w:tcBorders>
              <w:top w:val="single" w:sz="4" w:space="0" w:color="FFFFFF" w:themeColor="background1"/>
              <w:left w:val="single" w:sz="4" w:space="0" w:color="156082" w:themeColor="accent1"/>
              <w:bottom w:val="single" w:sz="4" w:space="0" w:color="FFFFFF" w:themeColor="background1"/>
              <w:right w:val="single" w:sz="4" w:space="0" w:color="FFFFFF" w:themeColor="background1"/>
            </w:tcBorders>
            <w:shd w:val="clear" w:color="auto" w:fill="156082" w:themeFill="accent1"/>
          </w:tcPr>
          <w:p w14:paraId="4C89255E" w14:textId="02605A19" w:rsidR="001370EB" w:rsidRPr="00AF0DFA" w:rsidRDefault="00855D7F" w:rsidP="008954EC">
            <w:pPr>
              <w:spacing w:line="276" w:lineRule="auto"/>
              <w:rPr>
                <w:b/>
                <w:bCs/>
                <w:color w:val="FFFFFF" w:themeColor="background1"/>
                <w:sz w:val="20"/>
                <w:szCs w:val="20"/>
              </w:rPr>
            </w:pPr>
            <w:r w:rsidRPr="00AF0DFA">
              <w:rPr>
                <w:b/>
                <w:bCs/>
                <w:color w:val="FFFFFF" w:themeColor="background1"/>
                <w:sz w:val="20"/>
                <w:szCs w:val="20"/>
              </w:rPr>
              <w:t>Timing</w:t>
            </w:r>
          </w:p>
        </w:tc>
        <w:tc>
          <w:tcPr>
            <w:tcW w:w="7196" w:type="dxa"/>
            <w:tcBorders>
              <w:left w:val="single" w:sz="4" w:space="0" w:color="FFFFFF" w:themeColor="background1"/>
            </w:tcBorders>
          </w:tcPr>
          <w:p w14:paraId="446B640F" w14:textId="2CC4723F" w:rsidR="001370EB" w:rsidRPr="00AF0DFA" w:rsidRDefault="00855D7F" w:rsidP="008954EC">
            <w:pPr>
              <w:spacing w:line="276" w:lineRule="auto"/>
              <w:rPr>
                <w:sz w:val="20"/>
                <w:szCs w:val="20"/>
              </w:rPr>
            </w:pPr>
            <w:r w:rsidRPr="00AF0DFA">
              <w:rPr>
                <w:sz w:val="20"/>
                <w:szCs w:val="20"/>
              </w:rPr>
              <w:t>Intervention / follow-up period is at least 4 weeks for blood pressure and blood lipid outcomes, and 6 months for disease end points.</w:t>
            </w:r>
          </w:p>
        </w:tc>
      </w:tr>
    </w:tbl>
    <w:p w14:paraId="10DA5722" w14:textId="36D238A0" w:rsidR="00EF0137" w:rsidRDefault="00EF0137" w:rsidP="00EF0137">
      <w:pPr>
        <w:pStyle w:val="Heading2"/>
      </w:pPr>
      <w:bookmarkStart w:id="134" w:name="_Toc234960902"/>
      <w:r>
        <w:t>Searches and screening</w:t>
      </w:r>
      <w:bookmarkEnd w:id="134"/>
    </w:p>
    <w:p w14:paraId="34A51470" w14:textId="554093DB" w:rsidR="0061248E" w:rsidRDefault="0061248E" w:rsidP="008954EC">
      <w:pPr>
        <w:spacing w:line="276" w:lineRule="auto"/>
      </w:pPr>
      <w:r>
        <w:t xml:space="preserve">Database searches of PubMed, </w:t>
      </w:r>
      <w:proofErr w:type="spellStart"/>
      <w:r>
        <w:t>Epistemonikos</w:t>
      </w:r>
      <w:proofErr w:type="spellEnd"/>
      <w:r w:rsidR="00BA23E3">
        <w:t xml:space="preserve"> and </w:t>
      </w:r>
      <w:r>
        <w:t xml:space="preserve">the Cochrane library </w:t>
      </w:r>
      <w:r w:rsidR="00BA23E3">
        <w:t xml:space="preserve">were undertaken to identify eligible reviews. Reference list searching was also undertaken </w:t>
      </w:r>
    </w:p>
    <w:p w14:paraId="0A0D503F" w14:textId="77777777" w:rsidR="003F7543" w:rsidRDefault="003F7543">
      <w:pPr>
        <w:rPr>
          <w:rFonts w:eastAsiaTheme="majorEastAsia" w:cstheme="majorBidi"/>
          <w:color w:val="0F4761" w:themeColor="accent1" w:themeShade="BF"/>
          <w:sz w:val="24"/>
          <w:szCs w:val="28"/>
        </w:rPr>
      </w:pPr>
      <w:r>
        <w:br w:type="page"/>
      </w:r>
    </w:p>
    <w:p w14:paraId="1C54D9C4" w14:textId="2264A4A7" w:rsidR="00BA23E3" w:rsidRDefault="00BA23E3" w:rsidP="00A13DD0">
      <w:pPr>
        <w:pStyle w:val="Heading3"/>
      </w:pPr>
      <w:bookmarkStart w:id="135" w:name="_Toc234960903"/>
      <w:r>
        <w:lastRenderedPageBreak/>
        <w:t>Search strategies</w:t>
      </w:r>
      <w:bookmarkEnd w:id="135"/>
    </w:p>
    <w:p w14:paraId="531EC486" w14:textId="14059155" w:rsidR="0061248E" w:rsidRDefault="0061248E" w:rsidP="00A13DD0">
      <w:pPr>
        <w:pStyle w:val="Heading4"/>
      </w:pPr>
      <w:r w:rsidRPr="00E53BEA">
        <w:t>PubMed</w:t>
      </w:r>
    </w:p>
    <w:p w14:paraId="5E662451" w14:textId="77777777" w:rsidR="0061248E" w:rsidRPr="00E53BEA" w:rsidRDefault="0061248E" w:rsidP="008954EC">
      <w:pPr>
        <w:spacing w:line="276" w:lineRule="auto"/>
      </w:pPr>
      <w:r>
        <w:t>PubMed was searched on 10 November 2025 using the following search string:</w:t>
      </w:r>
    </w:p>
    <w:p w14:paraId="0F8C16E3" w14:textId="77777777" w:rsidR="0061248E" w:rsidRDefault="0061248E" w:rsidP="00313CF0">
      <w:pPr>
        <w:spacing w:after="80" w:line="276" w:lineRule="auto"/>
      </w:pPr>
      <w:r>
        <w:t>(</w:t>
      </w:r>
      <w:r w:rsidRPr="00891CB6">
        <w:t>"sodium"[Mesh]</w:t>
      </w:r>
      <w:r>
        <w:t xml:space="preserve"> OR s</w:t>
      </w:r>
      <w:r w:rsidRPr="00891CB6">
        <w:t>odium</w:t>
      </w:r>
      <w:r>
        <w:t>[</w:t>
      </w:r>
      <w:proofErr w:type="spellStart"/>
      <w:r>
        <w:t>tiab</w:t>
      </w:r>
      <w:proofErr w:type="spellEnd"/>
      <w:r>
        <w:t>] OR salt[</w:t>
      </w:r>
      <w:proofErr w:type="spellStart"/>
      <w:r>
        <w:t>tiab</w:t>
      </w:r>
      <w:proofErr w:type="spellEnd"/>
      <w:r>
        <w:t>])</w:t>
      </w:r>
    </w:p>
    <w:p w14:paraId="0C56C5AE" w14:textId="77777777" w:rsidR="0061248E" w:rsidRDefault="0061248E" w:rsidP="00313CF0">
      <w:pPr>
        <w:spacing w:after="80" w:line="276" w:lineRule="auto"/>
      </w:pPr>
      <w:r>
        <w:t xml:space="preserve">AND </w:t>
      </w:r>
    </w:p>
    <w:p w14:paraId="77EA5510" w14:textId="77777777" w:rsidR="0061248E" w:rsidRDefault="0061248E" w:rsidP="00313CF0">
      <w:pPr>
        <w:spacing w:after="80" w:line="276" w:lineRule="auto"/>
      </w:pPr>
      <w:r>
        <w:t>(</w:t>
      </w:r>
      <w:r w:rsidRPr="00891CB6">
        <w:t>"blood pressure"[Mesh]</w:t>
      </w:r>
      <w:r>
        <w:t xml:space="preserve"> OR </w:t>
      </w:r>
      <w:r w:rsidRPr="00891CB6">
        <w:t>cardiovascular</w:t>
      </w:r>
      <w:r>
        <w:t>[</w:t>
      </w:r>
      <w:proofErr w:type="spellStart"/>
      <w:r>
        <w:t>tiab</w:t>
      </w:r>
      <w:proofErr w:type="spellEnd"/>
      <w:r>
        <w:t>] OR “blood pressure”[</w:t>
      </w:r>
      <w:proofErr w:type="spellStart"/>
      <w:r>
        <w:t>tiab</w:t>
      </w:r>
      <w:proofErr w:type="spellEnd"/>
      <w:r>
        <w:t>] OR “systolic”[</w:t>
      </w:r>
      <w:proofErr w:type="spellStart"/>
      <w:r>
        <w:t>tiab</w:t>
      </w:r>
      <w:proofErr w:type="spellEnd"/>
      <w:r>
        <w:t>] OR “SBP”[</w:t>
      </w:r>
      <w:proofErr w:type="spellStart"/>
      <w:r>
        <w:t>tiab</w:t>
      </w:r>
      <w:proofErr w:type="spellEnd"/>
      <w:r>
        <w:t>])</w:t>
      </w:r>
    </w:p>
    <w:p w14:paraId="73CE3122" w14:textId="77777777" w:rsidR="0061248E" w:rsidRDefault="0061248E" w:rsidP="00313CF0">
      <w:pPr>
        <w:spacing w:after="80" w:line="276" w:lineRule="auto"/>
      </w:pPr>
      <w:r>
        <w:t>AND</w:t>
      </w:r>
    </w:p>
    <w:p w14:paraId="483FDBF6" w14:textId="77777777" w:rsidR="0061248E" w:rsidRDefault="0061248E" w:rsidP="00313CF0">
      <w:pPr>
        <w:spacing w:after="80" w:line="276" w:lineRule="auto"/>
      </w:pPr>
      <w:r>
        <w:t>(</w:t>
      </w:r>
      <w:r w:rsidRPr="00855445">
        <w:t>"systematic"[filter] OR "meta-analysis"[pt] OR "meta-analysis as topic"[</w:t>
      </w:r>
      <w:proofErr w:type="spellStart"/>
      <w:r w:rsidRPr="00855445">
        <w:t>mh</w:t>
      </w:r>
      <w:proofErr w:type="spellEnd"/>
      <w:r w:rsidRPr="00855445">
        <w:t xml:space="preserve">] OR "meta </w:t>
      </w:r>
      <w:proofErr w:type="spellStart"/>
      <w:r w:rsidRPr="00855445">
        <w:t>analy</w:t>
      </w:r>
      <w:proofErr w:type="spellEnd"/>
      <w:r w:rsidRPr="00855445">
        <w:t>*"[</w:t>
      </w:r>
      <w:proofErr w:type="spellStart"/>
      <w:r w:rsidRPr="00855445">
        <w:t>tw</w:t>
      </w:r>
      <w:proofErr w:type="spellEnd"/>
      <w:r w:rsidRPr="00855445">
        <w:t xml:space="preserve">] OR </w:t>
      </w:r>
      <w:proofErr w:type="spellStart"/>
      <w:r w:rsidRPr="00855445">
        <w:t>metanaly</w:t>
      </w:r>
      <w:proofErr w:type="spellEnd"/>
      <w:r w:rsidRPr="00855445">
        <w:t>*[</w:t>
      </w:r>
      <w:proofErr w:type="spellStart"/>
      <w:r w:rsidRPr="00855445">
        <w:t>tw</w:t>
      </w:r>
      <w:proofErr w:type="spellEnd"/>
      <w:r w:rsidRPr="00855445">
        <w:t xml:space="preserve">] OR </w:t>
      </w:r>
      <w:proofErr w:type="spellStart"/>
      <w:r w:rsidRPr="00855445">
        <w:t>metaanaly</w:t>
      </w:r>
      <w:proofErr w:type="spellEnd"/>
      <w:r w:rsidRPr="00855445">
        <w:t>*[</w:t>
      </w:r>
      <w:proofErr w:type="spellStart"/>
      <w:r w:rsidRPr="00855445">
        <w:t>tw</w:t>
      </w:r>
      <w:proofErr w:type="spellEnd"/>
      <w:r w:rsidRPr="00855445">
        <w:t xml:space="preserve">] OR "met </w:t>
      </w:r>
      <w:proofErr w:type="spellStart"/>
      <w:r w:rsidRPr="00855445">
        <w:t>analy</w:t>
      </w:r>
      <w:proofErr w:type="spellEnd"/>
      <w:r w:rsidRPr="00855445">
        <w:t>*"[</w:t>
      </w:r>
      <w:proofErr w:type="spellStart"/>
      <w:r w:rsidRPr="00855445">
        <w:t>tw</w:t>
      </w:r>
      <w:proofErr w:type="spellEnd"/>
      <w:r w:rsidRPr="00855445">
        <w:t>] OR "integrative research"[</w:t>
      </w:r>
      <w:proofErr w:type="spellStart"/>
      <w:r w:rsidRPr="00855445">
        <w:t>tiab</w:t>
      </w:r>
      <w:proofErr w:type="spellEnd"/>
      <w:r w:rsidRPr="00855445">
        <w:t>] OR "integrative review*"[</w:t>
      </w:r>
      <w:proofErr w:type="spellStart"/>
      <w:r w:rsidRPr="00855445">
        <w:t>tiab</w:t>
      </w:r>
      <w:proofErr w:type="spellEnd"/>
      <w:r w:rsidRPr="00855445">
        <w:t>] OR "integrative overview*"[</w:t>
      </w:r>
      <w:proofErr w:type="spellStart"/>
      <w:r w:rsidRPr="00855445">
        <w:t>tiab</w:t>
      </w:r>
      <w:proofErr w:type="spellEnd"/>
      <w:r w:rsidRPr="00855445">
        <w:t>] OR "research integration*"[</w:t>
      </w:r>
      <w:proofErr w:type="spellStart"/>
      <w:r w:rsidRPr="00855445">
        <w:t>tiab</w:t>
      </w:r>
      <w:proofErr w:type="spellEnd"/>
      <w:r w:rsidRPr="00855445">
        <w:t>] OR "research overview*"[</w:t>
      </w:r>
      <w:proofErr w:type="spellStart"/>
      <w:r w:rsidRPr="00855445">
        <w:t>tiab</w:t>
      </w:r>
      <w:proofErr w:type="spellEnd"/>
      <w:r w:rsidRPr="00855445">
        <w:t>] OR "collaborative review*"[</w:t>
      </w:r>
      <w:proofErr w:type="spellStart"/>
      <w:r w:rsidRPr="00855445">
        <w:t>tiab</w:t>
      </w:r>
      <w:proofErr w:type="spellEnd"/>
      <w:r w:rsidRPr="00855445">
        <w:t>] OR "collaborative overview*"[</w:t>
      </w:r>
      <w:proofErr w:type="spellStart"/>
      <w:r w:rsidRPr="00855445">
        <w:t>tiab</w:t>
      </w:r>
      <w:proofErr w:type="spellEnd"/>
      <w:r w:rsidRPr="00855445">
        <w:t>] OR "systematic review"[pt] OR "systematic reviews as topic"[</w:t>
      </w:r>
      <w:proofErr w:type="spellStart"/>
      <w:r w:rsidRPr="00855445">
        <w:t>mh</w:t>
      </w:r>
      <w:proofErr w:type="spellEnd"/>
      <w:r w:rsidRPr="00855445">
        <w:t>] OR "systematic review*"[</w:t>
      </w:r>
      <w:proofErr w:type="spellStart"/>
      <w:r w:rsidRPr="00855445">
        <w:t>tiab</w:t>
      </w:r>
      <w:proofErr w:type="spellEnd"/>
      <w:r w:rsidRPr="00855445">
        <w:t>] OR "technology assessment*"[</w:t>
      </w:r>
      <w:proofErr w:type="spellStart"/>
      <w:r w:rsidRPr="00855445">
        <w:t>tiab</w:t>
      </w:r>
      <w:proofErr w:type="spellEnd"/>
      <w:r w:rsidRPr="00855445">
        <w:t>] OR "technology overview*"[</w:t>
      </w:r>
      <w:proofErr w:type="spellStart"/>
      <w:r w:rsidRPr="00855445">
        <w:t>tiab</w:t>
      </w:r>
      <w:proofErr w:type="spellEnd"/>
      <w:r w:rsidRPr="00855445">
        <w:t>] OR "technology appraisal*"[</w:t>
      </w:r>
      <w:proofErr w:type="spellStart"/>
      <w:r w:rsidRPr="00855445">
        <w:t>tiab</w:t>
      </w:r>
      <w:proofErr w:type="spellEnd"/>
      <w:r w:rsidRPr="00855445">
        <w:t>] OR "Technology Assessment, Biomedical"[</w:t>
      </w:r>
      <w:proofErr w:type="spellStart"/>
      <w:r w:rsidRPr="00855445">
        <w:t>mh</w:t>
      </w:r>
      <w:proofErr w:type="spellEnd"/>
      <w:r w:rsidRPr="00855445">
        <w:t>] OR HTA[</w:t>
      </w:r>
      <w:proofErr w:type="spellStart"/>
      <w:r w:rsidRPr="00855445">
        <w:t>tiab</w:t>
      </w:r>
      <w:proofErr w:type="spellEnd"/>
      <w:r w:rsidRPr="00855445">
        <w:t>] OR HTAs[</w:t>
      </w:r>
      <w:proofErr w:type="spellStart"/>
      <w:r w:rsidRPr="00855445">
        <w:t>tiab</w:t>
      </w:r>
      <w:proofErr w:type="spellEnd"/>
      <w:r w:rsidRPr="00855445">
        <w:t>] OR "comparative efficacy"[</w:t>
      </w:r>
      <w:proofErr w:type="spellStart"/>
      <w:r w:rsidRPr="00855445">
        <w:t>tiab</w:t>
      </w:r>
      <w:proofErr w:type="spellEnd"/>
      <w:r w:rsidRPr="00855445">
        <w:t>] OR "comparative effectiveness"[</w:t>
      </w:r>
      <w:proofErr w:type="spellStart"/>
      <w:r w:rsidRPr="00855445">
        <w:t>tiab</w:t>
      </w:r>
      <w:proofErr w:type="spellEnd"/>
      <w:r w:rsidRPr="00855445">
        <w:t>] OR "outcomes research"[</w:t>
      </w:r>
      <w:proofErr w:type="spellStart"/>
      <w:r w:rsidRPr="00855445">
        <w:t>tiab</w:t>
      </w:r>
      <w:proofErr w:type="spellEnd"/>
      <w:r w:rsidRPr="00855445">
        <w:t>] OR "indirect comparison*"[</w:t>
      </w:r>
      <w:proofErr w:type="spellStart"/>
      <w:r w:rsidRPr="00855445">
        <w:t>tiab</w:t>
      </w:r>
      <w:proofErr w:type="spellEnd"/>
      <w:r w:rsidRPr="00855445">
        <w:t>] OR "Bayesian comparison"[</w:t>
      </w:r>
      <w:proofErr w:type="spellStart"/>
      <w:r w:rsidRPr="00855445">
        <w:t>tiab</w:t>
      </w:r>
      <w:proofErr w:type="spellEnd"/>
      <w:r w:rsidRPr="00855445">
        <w:t>] OR (("indirect treatment"[</w:t>
      </w:r>
      <w:proofErr w:type="spellStart"/>
      <w:r w:rsidRPr="00855445">
        <w:t>tiab</w:t>
      </w:r>
      <w:proofErr w:type="spellEnd"/>
      <w:r w:rsidRPr="00855445">
        <w:t>] OR "mixed-treatment"[</w:t>
      </w:r>
      <w:proofErr w:type="spellStart"/>
      <w:r w:rsidRPr="00855445">
        <w:t>tiab</w:t>
      </w:r>
      <w:proofErr w:type="spellEnd"/>
      <w:r w:rsidRPr="00855445">
        <w:t>]) AND comparison*[</w:t>
      </w:r>
      <w:proofErr w:type="spellStart"/>
      <w:r w:rsidRPr="00855445">
        <w:t>tiab</w:t>
      </w:r>
      <w:proofErr w:type="spellEnd"/>
      <w:r w:rsidRPr="00855445">
        <w:t>]) OR Embase*[</w:t>
      </w:r>
      <w:proofErr w:type="spellStart"/>
      <w:r w:rsidRPr="00855445">
        <w:t>tiab</w:t>
      </w:r>
      <w:proofErr w:type="spellEnd"/>
      <w:r w:rsidRPr="00855445">
        <w:t xml:space="preserve">] OR </w:t>
      </w:r>
      <w:proofErr w:type="spellStart"/>
      <w:r w:rsidRPr="00855445">
        <w:t>Cinahl</w:t>
      </w:r>
      <w:proofErr w:type="spellEnd"/>
      <w:r w:rsidRPr="00855445">
        <w:t>*[</w:t>
      </w:r>
      <w:proofErr w:type="spellStart"/>
      <w:r w:rsidRPr="00855445">
        <w:t>tiab</w:t>
      </w:r>
      <w:proofErr w:type="spellEnd"/>
      <w:r w:rsidRPr="00855445">
        <w:t>] OR "systematic overview*"[</w:t>
      </w:r>
      <w:proofErr w:type="spellStart"/>
      <w:r w:rsidRPr="00855445">
        <w:t>tiab</w:t>
      </w:r>
      <w:proofErr w:type="spellEnd"/>
      <w:r w:rsidRPr="00855445">
        <w:t>] OR "methodological overview*"[</w:t>
      </w:r>
      <w:proofErr w:type="spellStart"/>
      <w:r w:rsidRPr="00855445">
        <w:t>tiab</w:t>
      </w:r>
      <w:proofErr w:type="spellEnd"/>
      <w:r w:rsidRPr="00855445">
        <w:t>] OR "methodologic overview*"[</w:t>
      </w:r>
      <w:proofErr w:type="spellStart"/>
      <w:r w:rsidRPr="00855445">
        <w:t>tiab</w:t>
      </w:r>
      <w:proofErr w:type="spellEnd"/>
      <w:r w:rsidRPr="00855445">
        <w:t>] OR "methodological review*"[</w:t>
      </w:r>
      <w:proofErr w:type="spellStart"/>
      <w:r w:rsidRPr="00855445">
        <w:t>tiab</w:t>
      </w:r>
      <w:proofErr w:type="spellEnd"/>
      <w:r w:rsidRPr="00855445">
        <w:t>] OR "methodologic review*"[</w:t>
      </w:r>
      <w:proofErr w:type="spellStart"/>
      <w:r w:rsidRPr="00855445">
        <w:t>tiab</w:t>
      </w:r>
      <w:proofErr w:type="spellEnd"/>
      <w:r w:rsidRPr="00855445">
        <w:t>] OR "quantitative review*"[</w:t>
      </w:r>
      <w:proofErr w:type="spellStart"/>
      <w:r w:rsidRPr="00855445">
        <w:t>tiab</w:t>
      </w:r>
      <w:proofErr w:type="spellEnd"/>
      <w:r w:rsidRPr="00855445">
        <w:t>] OR "quantitative overview*"[</w:t>
      </w:r>
      <w:proofErr w:type="spellStart"/>
      <w:r w:rsidRPr="00855445">
        <w:t>tiab</w:t>
      </w:r>
      <w:proofErr w:type="spellEnd"/>
      <w:r w:rsidRPr="00855445">
        <w:t xml:space="preserve">] OR "quantitative </w:t>
      </w:r>
      <w:proofErr w:type="spellStart"/>
      <w:r w:rsidRPr="00855445">
        <w:t>synthes</w:t>
      </w:r>
      <w:proofErr w:type="spellEnd"/>
      <w:r w:rsidRPr="00855445">
        <w:t>*"[</w:t>
      </w:r>
      <w:proofErr w:type="spellStart"/>
      <w:r w:rsidRPr="00855445">
        <w:t>tiab</w:t>
      </w:r>
      <w:proofErr w:type="spellEnd"/>
      <w:r w:rsidRPr="00855445">
        <w:t xml:space="preserve">] OR "pooled </w:t>
      </w:r>
      <w:proofErr w:type="spellStart"/>
      <w:r w:rsidRPr="00855445">
        <w:t>analy</w:t>
      </w:r>
      <w:proofErr w:type="spellEnd"/>
      <w:r w:rsidRPr="00855445">
        <w:t>*"[</w:t>
      </w:r>
      <w:proofErr w:type="spellStart"/>
      <w:r w:rsidRPr="00855445">
        <w:t>tiab</w:t>
      </w:r>
      <w:proofErr w:type="spellEnd"/>
      <w:r w:rsidRPr="00855445">
        <w:t>] OR Cochrane[</w:t>
      </w:r>
      <w:proofErr w:type="spellStart"/>
      <w:r w:rsidRPr="00855445">
        <w:t>tiab</w:t>
      </w:r>
      <w:proofErr w:type="spellEnd"/>
      <w:r w:rsidRPr="00855445">
        <w:t>] OR Medline[</w:t>
      </w:r>
      <w:proofErr w:type="spellStart"/>
      <w:r w:rsidRPr="00855445">
        <w:t>tiab</w:t>
      </w:r>
      <w:proofErr w:type="spellEnd"/>
      <w:r w:rsidRPr="00855445">
        <w:t xml:space="preserve">] OR </w:t>
      </w:r>
      <w:proofErr w:type="spellStart"/>
      <w:r w:rsidRPr="00855445">
        <w:t>Pubmed</w:t>
      </w:r>
      <w:proofErr w:type="spellEnd"/>
      <w:r w:rsidRPr="00855445">
        <w:t>[</w:t>
      </w:r>
      <w:proofErr w:type="spellStart"/>
      <w:r w:rsidRPr="00855445">
        <w:t>tiab</w:t>
      </w:r>
      <w:proofErr w:type="spellEnd"/>
      <w:r w:rsidRPr="00855445">
        <w:t>] OR Medlars[</w:t>
      </w:r>
      <w:proofErr w:type="spellStart"/>
      <w:r w:rsidRPr="00855445">
        <w:t>tiab</w:t>
      </w:r>
      <w:proofErr w:type="spellEnd"/>
      <w:r w:rsidRPr="00855445">
        <w:t xml:space="preserve">] OR </w:t>
      </w:r>
      <w:proofErr w:type="spellStart"/>
      <w:r w:rsidRPr="00855445">
        <w:t>handsearch</w:t>
      </w:r>
      <w:proofErr w:type="spellEnd"/>
      <w:r w:rsidRPr="00855445">
        <w:t>*[</w:t>
      </w:r>
      <w:proofErr w:type="spellStart"/>
      <w:r w:rsidRPr="00855445">
        <w:t>tiab</w:t>
      </w:r>
      <w:proofErr w:type="spellEnd"/>
      <w:r w:rsidRPr="00855445">
        <w:t>] OR "hand search*"[</w:t>
      </w:r>
      <w:proofErr w:type="spellStart"/>
      <w:r w:rsidRPr="00855445">
        <w:t>tiab</w:t>
      </w:r>
      <w:proofErr w:type="spellEnd"/>
      <w:r w:rsidRPr="00855445">
        <w:t>] OR "meta-regression*"[</w:t>
      </w:r>
      <w:proofErr w:type="spellStart"/>
      <w:r w:rsidRPr="00855445">
        <w:t>tiab</w:t>
      </w:r>
      <w:proofErr w:type="spellEnd"/>
      <w:r w:rsidRPr="00855445">
        <w:t xml:space="preserve">] OR </w:t>
      </w:r>
      <w:proofErr w:type="spellStart"/>
      <w:r w:rsidRPr="00855445">
        <w:t>metaregression</w:t>
      </w:r>
      <w:proofErr w:type="spellEnd"/>
      <w:r w:rsidRPr="00855445">
        <w:t>*[</w:t>
      </w:r>
      <w:proofErr w:type="spellStart"/>
      <w:r w:rsidRPr="00855445">
        <w:t>tiab</w:t>
      </w:r>
      <w:proofErr w:type="spellEnd"/>
      <w:r w:rsidRPr="00855445">
        <w:t xml:space="preserve">] OR "data </w:t>
      </w:r>
      <w:proofErr w:type="spellStart"/>
      <w:r w:rsidRPr="00855445">
        <w:t>synthes</w:t>
      </w:r>
      <w:proofErr w:type="spellEnd"/>
      <w:r w:rsidRPr="00855445">
        <w:t>*"[</w:t>
      </w:r>
      <w:proofErr w:type="spellStart"/>
      <w:r w:rsidRPr="00855445">
        <w:t>tiab</w:t>
      </w:r>
      <w:proofErr w:type="spellEnd"/>
      <w:r w:rsidRPr="00855445">
        <w:t>] OR "data extraction"[</w:t>
      </w:r>
      <w:proofErr w:type="spellStart"/>
      <w:r w:rsidRPr="00855445">
        <w:t>tiab</w:t>
      </w:r>
      <w:proofErr w:type="spellEnd"/>
      <w:r w:rsidRPr="00855445">
        <w:t>] OR "data abstraction*"[</w:t>
      </w:r>
      <w:proofErr w:type="spellStart"/>
      <w:r w:rsidRPr="00855445">
        <w:t>tiab</w:t>
      </w:r>
      <w:proofErr w:type="spellEnd"/>
      <w:r w:rsidRPr="00855445">
        <w:t xml:space="preserve">] OR "mantel </w:t>
      </w:r>
      <w:proofErr w:type="spellStart"/>
      <w:r w:rsidRPr="00855445">
        <w:t>haenszel</w:t>
      </w:r>
      <w:proofErr w:type="spellEnd"/>
      <w:r w:rsidRPr="00855445">
        <w:t>"[</w:t>
      </w:r>
      <w:proofErr w:type="spellStart"/>
      <w:r w:rsidRPr="00855445">
        <w:t>tiab</w:t>
      </w:r>
      <w:proofErr w:type="spellEnd"/>
      <w:r w:rsidRPr="00855445">
        <w:t xml:space="preserve">] OR </w:t>
      </w:r>
      <w:proofErr w:type="spellStart"/>
      <w:r w:rsidRPr="00855445">
        <w:t>peto</w:t>
      </w:r>
      <w:proofErr w:type="spellEnd"/>
      <w:r w:rsidRPr="00855445">
        <w:t>[</w:t>
      </w:r>
      <w:proofErr w:type="spellStart"/>
      <w:r w:rsidRPr="00855445">
        <w:t>tiab</w:t>
      </w:r>
      <w:proofErr w:type="spellEnd"/>
      <w:r w:rsidRPr="00855445">
        <w:t>] OR "der-</w:t>
      </w:r>
      <w:proofErr w:type="spellStart"/>
      <w:r w:rsidRPr="00855445">
        <w:t>simonian</w:t>
      </w:r>
      <w:proofErr w:type="spellEnd"/>
      <w:r w:rsidRPr="00855445">
        <w:t>"[</w:t>
      </w:r>
      <w:proofErr w:type="spellStart"/>
      <w:r w:rsidRPr="00855445">
        <w:t>tiab</w:t>
      </w:r>
      <w:proofErr w:type="spellEnd"/>
      <w:r w:rsidRPr="00855445">
        <w:t xml:space="preserve">] OR </w:t>
      </w:r>
      <w:proofErr w:type="spellStart"/>
      <w:r w:rsidRPr="00855445">
        <w:t>dersimonian</w:t>
      </w:r>
      <w:proofErr w:type="spellEnd"/>
      <w:r w:rsidRPr="00855445">
        <w:t>[</w:t>
      </w:r>
      <w:proofErr w:type="spellStart"/>
      <w:r w:rsidRPr="00855445">
        <w:t>tiab</w:t>
      </w:r>
      <w:proofErr w:type="spellEnd"/>
      <w:r w:rsidRPr="00855445">
        <w:t>] OR "fixed effect*"[</w:t>
      </w:r>
      <w:proofErr w:type="spellStart"/>
      <w:r w:rsidRPr="00855445">
        <w:t>tiab</w:t>
      </w:r>
      <w:proofErr w:type="spellEnd"/>
      <w:r w:rsidRPr="00855445">
        <w:t>] OR "multiple treatment comparison"[</w:t>
      </w:r>
      <w:proofErr w:type="spellStart"/>
      <w:r w:rsidRPr="00855445">
        <w:t>tiab</w:t>
      </w:r>
      <w:proofErr w:type="spellEnd"/>
      <w:r w:rsidRPr="00855445">
        <w:t>] OR "mixed treatment meta-</w:t>
      </w:r>
      <w:proofErr w:type="spellStart"/>
      <w:r w:rsidRPr="00855445">
        <w:t>analys</w:t>
      </w:r>
      <w:proofErr w:type="spellEnd"/>
      <w:r w:rsidRPr="00855445">
        <w:t>*"[</w:t>
      </w:r>
      <w:proofErr w:type="spellStart"/>
      <w:r w:rsidRPr="00855445">
        <w:t>tiab</w:t>
      </w:r>
      <w:proofErr w:type="spellEnd"/>
      <w:r w:rsidRPr="00855445">
        <w:t>] OR "umbrella review*"[</w:t>
      </w:r>
      <w:proofErr w:type="spellStart"/>
      <w:r w:rsidRPr="00855445">
        <w:t>tiab</w:t>
      </w:r>
      <w:proofErr w:type="spellEnd"/>
      <w:r w:rsidRPr="00855445">
        <w:t xml:space="preserve">] OR (("multiple </w:t>
      </w:r>
      <w:proofErr w:type="spellStart"/>
      <w:r w:rsidRPr="00855445">
        <w:t>paramet</w:t>
      </w:r>
      <w:proofErr w:type="spellEnd"/>
      <w:r w:rsidRPr="00855445">
        <w:t>*"[</w:t>
      </w:r>
      <w:proofErr w:type="spellStart"/>
      <w:r w:rsidRPr="00855445">
        <w:t>tiab</w:t>
      </w:r>
      <w:proofErr w:type="spellEnd"/>
      <w:r w:rsidRPr="00855445">
        <w:t>]) AND ("evidence synthesis"[</w:t>
      </w:r>
      <w:proofErr w:type="spellStart"/>
      <w:r w:rsidRPr="00855445">
        <w:t>tiab</w:t>
      </w:r>
      <w:proofErr w:type="spellEnd"/>
      <w:r w:rsidRPr="00855445">
        <w:t>])) OR (("multi-</w:t>
      </w:r>
      <w:proofErr w:type="spellStart"/>
      <w:r w:rsidRPr="00855445">
        <w:t>paramet</w:t>
      </w:r>
      <w:proofErr w:type="spellEnd"/>
      <w:r w:rsidRPr="00855445">
        <w:t>*"[</w:t>
      </w:r>
      <w:proofErr w:type="spellStart"/>
      <w:r w:rsidRPr="00855445">
        <w:t>tiab</w:t>
      </w:r>
      <w:proofErr w:type="spellEnd"/>
      <w:r w:rsidRPr="00855445">
        <w:t>]) AND ("evidence synthesis"[</w:t>
      </w:r>
      <w:proofErr w:type="spellStart"/>
      <w:r w:rsidRPr="00855445">
        <w:t>tiab</w:t>
      </w:r>
      <w:proofErr w:type="spellEnd"/>
      <w:r w:rsidRPr="00855445">
        <w:t>])) OR ((multiparameter*[</w:t>
      </w:r>
      <w:proofErr w:type="spellStart"/>
      <w:r w:rsidRPr="00855445">
        <w:t>tiab</w:t>
      </w:r>
      <w:proofErr w:type="spellEnd"/>
      <w:r w:rsidRPr="00855445">
        <w:t>]) AND ("evidence synthesis"[</w:t>
      </w:r>
      <w:proofErr w:type="spellStart"/>
      <w:r w:rsidRPr="00855445">
        <w:t>tiab</w:t>
      </w:r>
      <w:proofErr w:type="spellEnd"/>
      <w:r w:rsidRPr="00855445">
        <w:t xml:space="preserve">])) OR "Cochrane Database Syst Rev"[Journal] OR "health technology assessment </w:t>
      </w:r>
      <w:proofErr w:type="spellStart"/>
      <w:r w:rsidRPr="00855445">
        <w:t>winchester</w:t>
      </w:r>
      <w:proofErr w:type="spellEnd"/>
      <w:r w:rsidRPr="00855445">
        <w:t xml:space="preserve">, </w:t>
      </w:r>
      <w:proofErr w:type="spellStart"/>
      <w:r w:rsidRPr="00855445">
        <w:t>england</w:t>
      </w:r>
      <w:proofErr w:type="spellEnd"/>
      <w:r w:rsidRPr="00855445">
        <w:t>"[Journal] OR "Evid Rep Technol Assess (Full Rep)"[Journal] OR "Evid Rep Technol Assess (Summ)"[Journal] OR "Int J Technol Assess Health Care"[Journal] OR "GMS Health Technol Assess"[Journal] OR "Health Technol Assess (</w:t>
      </w:r>
      <w:proofErr w:type="spellStart"/>
      <w:r w:rsidRPr="00855445">
        <w:t>Rockv</w:t>
      </w:r>
      <w:proofErr w:type="spellEnd"/>
      <w:r w:rsidRPr="00855445">
        <w:t>)"[Journal] OR "Health Technol Assess Rep"[Journal]</w:t>
      </w:r>
      <w:r>
        <w:t>)</w:t>
      </w:r>
    </w:p>
    <w:p w14:paraId="54E65AE3" w14:textId="77777777" w:rsidR="0061248E" w:rsidRDefault="0061248E" w:rsidP="00313CF0">
      <w:pPr>
        <w:spacing w:after="80" w:line="276" w:lineRule="auto"/>
      </w:pPr>
      <w:r>
        <w:t>AND</w:t>
      </w:r>
    </w:p>
    <w:p w14:paraId="24398D3C" w14:textId="77777777" w:rsidR="0061248E" w:rsidRDefault="0061248E" w:rsidP="00313CF0">
      <w:pPr>
        <w:spacing w:after="80" w:line="276" w:lineRule="auto"/>
      </w:pPr>
      <w:r w:rsidRPr="00855445">
        <w:t>("2018/01/01"[Date - Publication] : "3000"[Date - Publication])</w:t>
      </w:r>
    </w:p>
    <w:p w14:paraId="4EEBF74F" w14:textId="23349095" w:rsidR="0061248E" w:rsidRDefault="0061248E" w:rsidP="00313CF0">
      <w:pPr>
        <w:pStyle w:val="Heading4"/>
        <w:spacing w:before="200"/>
        <w:rPr>
          <w:b/>
          <w:bCs/>
        </w:rPr>
      </w:pPr>
      <w:proofErr w:type="spellStart"/>
      <w:r w:rsidRPr="00A13DD0">
        <w:t>Epistemonikos</w:t>
      </w:r>
      <w:proofErr w:type="spellEnd"/>
    </w:p>
    <w:p w14:paraId="4D7B7A99" w14:textId="77777777" w:rsidR="0061248E" w:rsidRDefault="0061248E" w:rsidP="008954EC">
      <w:pPr>
        <w:spacing w:line="276" w:lineRule="auto"/>
      </w:pPr>
      <w:r w:rsidRPr="00237DB6">
        <w:t xml:space="preserve">(title:((title:(sodium) OR abstract:(sodium)) OR (title:(salt) OR abstract:(salt)) AND (title:(blood pressure) OR abstract:(blood pressure)) OR (title:(systolic BP) OR abstract:(systolic BP)) OR (title:(SBP) OR abstract:(SBP))) </w:t>
      </w:r>
    </w:p>
    <w:p w14:paraId="151B24D0" w14:textId="77777777" w:rsidR="0061248E" w:rsidRDefault="0061248E" w:rsidP="008954EC">
      <w:pPr>
        <w:spacing w:line="276" w:lineRule="auto"/>
      </w:pPr>
      <w:r>
        <w:t>Filters:</w:t>
      </w:r>
    </w:p>
    <w:p w14:paraId="4D600240" w14:textId="77777777" w:rsidR="0061248E" w:rsidRDefault="0061248E" w:rsidP="008954EC">
      <w:pPr>
        <w:spacing w:line="276" w:lineRule="auto"/>
      </w:pPr>
      <w:r>
        <w:t>Year from 2018 – 2025</w:t>
      </w:r>
    </w:p>
    <w:p w14:paraId="77431E0C" w14:textId="77777777" w:rsidR="0061248E" w:rsidRDefault="0061248E" w:rsidP="008954EC">
      <w:pPr>
        <w:spacing w:line="276" w:lineRule="auto"/>
      </w:pPr>
      <w:r>
        <w:t>Publication type: Systematic Review</w:t>
      </w:r>
    </w:p>
    <w:p w14:paraId="64E4B987" w14:textId="77777777" w:rsidR="0061248E" w:rsidRDefault="0061248E" w:rsidP="008954EC">
      <w:pPr>
        <w:spacing w:line="276" w:lineRule="auto"/>
      </w:pPr>
      <w:r>
        <w:t>Date of search: 25 Nov 2025</w:t>
      </w:r>
    </w:p>
    <w:p w14:paraId="198E5B46" w14:textId="53520F5E" w:rsidR="0061248E" w:rsidRPr="00A13DD0" w:rsidRDefault="0061248E" w:rsidP="00A13DD0">
      <w:pPr>
        <w:pStyle w:val="Heading4"/>
      </w:pPr>
      <w:r w:rsidRPr="00A13DD0">
        <w:lastRenderedPageBreak/>
        <w:t>Cochrane library</w:t>
      </w:r>
    </w:p>
    <w:p w14:paraId="055043A8" w14:textId="77777777" w:rsidR="0061248E" w:rsidRDefault="0061248E" w:rsidP="008954EC">
      <w:pPr>
        <w:spacing w:line="276" w:lineRule="auto"/>
      </w:pPr>
      <w:r w:rsidRPr="008C05C0">
        <w:t>([</w:t>
      </w:r>
      <w:proofErr w:type="spellStart"/>
      <w:r w:rsidRPr="008C05C0">
        <w:t>mh</w:t>
      </w:r>
      <w:proofErr w:type="spellEnd"/>
      <w:r w:rsidRPr="008C05C0">
        <w:t xml:space="preserve"> sodium] OR </w:t>
      </w:r>
      <w:proofErr w:type="spellStart"/>
      <w:r w:rsidRPr="008C05C0">
        <w:t>sodium:ti,ab</w:t>
      </w:r>
      <w:proofErr w:type="spellEnd"/>
      <w:r w:rsidRPr="008C05C0">
        <w:t xml:space="preserve"> OR </w:t>
      </w:r>
      <w:proofErr w:type="spellStart"/>
      <w:r w:rsidRPr="008C05C0">
        <w:t>salt:ti,ab</w:t>
      </w:r>
      <w:proofErr w:type="spellEnd"/>
      <w:r w:rsidRPr="008C05C0">
        <w:t>) AND ([</w:t>
      </w:r>
      <w:proofErr w:type="spellStart"/>
      <w:r w:rsidRPr="008C05C0">
        <w:t>mh</w:t>
      </w:r>
      <w:proofErr w:type="spellEnd"/>
      <w:r w:rsidRPr="008C05C0">
        <w:t xml:space="preserve"> "blood pressure"] OR </w:t>
      </w:r>
      <w:proofErr w:type="spellStart"/>
      <w:r w:rsidRPr="008C05C0">
        <w:t>cardiovascular:ti,ab</w:t>
      </w:r>
      <w:proofErr w:type="spellEnd"/>
      <w:r w:rsidRPr="008C05C0">
        <w:t xml:space="preserve"> OR "blood pressure":</w:t>
      </w:r>
      <w:proofErr w:type="spellStart"/>
      <w:r w:rsidRPr="008C05C0">
        <w:t>ti,ab</w:t>
      </w:r>
      <w:proofErr w:type="spellEnd"/>
      <w:r w:rsidRPr="008C05C0">
        <w:t xml:space="preserve"> OR </w:t>
      </w:r>
      <w:proofErr w:type="spellStart"/>
      <w:r w:rsidRPr="008C05C0">
        <w:t>systolic:ti,ab</w:t>
      </w:r>
      <w:proofErr w:type="spellEnd"/>
      <w:r w:rsidRPr="008C05C0">
        <w:t xml:space="preserve"> OR </w:t>
      </w:r>
      <w:proofErr w:type="spellStart"/>
      <w:r w:rsidRPr="008C05C0">
        <w:t>SBP:ti,ab</w:t>
      </w:r>
      <w:proofErr w:type="spellEnd"/>
      <w:r w:rsidRPr="008C05C0">
        <w:t>)</w:t>
      </w:r>
    </w:p>
    <w:p w14:paraId="7340327C" w14:textId="77777777" w:rsidR="0061248E" w:rsidRPr="008C05C0" w:rsidRDefault="0061248E" w:rsidP="008954EC">
      <w:pPr>
        <w:spacing w:line="276" w:lineRule="auto"/>
      </w:pPr>
      <w:r>
        <w:t>Filter: published from 01/01/2018 – 25//11/2025</w:t>
      </w:r>
    </w:p>
    <w:p w14:paraId="12C67A84" w14:textId="30488B26" w:rsidR="00EF0137" w:rsidRDefault="00A30299" w:rsidP="00A30299">
      <w:pPr>
        <w:pStyle w:val="Heading3"/>
      </w:pPr>
      <w:bookmarkStart w:id="136" w:name="_Toc234960904"/>
      <w:r>
        <w:t>Screening and study selection</w:t>
      </w:r>
      <w:bookmarkEnd w:id="136"/>
    </w:p>
    <w:p w14:paraId="5FD7C62D" w14:textId="3674D9B1" w:rsidR="00AA103F" w:rsidRPr="0040775A" w:rsidRDefault="009C6BAF" w:rsidP="008954EC">
      <w:pPr>
        <w:spacing w:after="0" w:line="276" w:lineRule="auto"/>
        <w:rPr>
          <w:b/>
          <w:bCs/>
          <w:i/>
          <w:iCs/>
        </w:rPr>
      </w:pPr>
      <w:r>
        <w:t xml:space="preserve">The results of searches and screening are presented as a PRISMA flow diagram in </w:t>
      </w:r>
      <w:r w:rsidR="0040775A" w:rsidRPr="0040775A">
        <w:fldChar w:fldCharType="begin"/>
      </w:r>
      <w:r w:rsidR="0040775A" w:rsidRPr="0040775A">
        <w:instrText xml:space="preserve"> REF _Ref232674588 \h  \* MERGEFORMAT </w:instrText>
      </w:r>
      <w:r w:rsidR="0040775A" w:rsidRPr="0040775A">
        <w:fldChar w:fldCharType="separate"/>
      </w:r>
      <w:r w:rsidR="00D1175D" w:rsidRPr="00D1175D">
        <w:t xml:space="preserve">Figure </w:t>
      </w:r>
      <w:r w:rsidR="00792C3E">
        <w:t>B1</w:t>
      </w:r>
      <w:r w:rsidR="0040775A" w:rsidRPr="0040775A">
        <w:fldChar w:fldCharType="end"/>
      </w:r>
      <w:r w:rsidR="0040775A" w:rsidRPr="0040775A">
        <w:t>.</w:t>
      </w:r>
    </w:p>
    <w:p w14:paraId="58762695" w14:textId="77777777" w:rsidR="00D514A7" w:rsidRDefault="00D514A7" w:rsidP="00AA103F">
      <w:pPr>
        <w:spacing w:after="0" w:line="240" w:lineRule="auto"/>
      </w:pPr>
    </w:p>
    <w:p w14:paraId="73DA9D1D" w14:textId="77777777" w:rsidR="00AA103F" w:rsidRDefault="00AA103F" w:rsidP="00AA103F">
      <w:pPr>
        <w:spacing w:after="0" w:line="240" w:lineRule="auto"/>
      </w:pPr>
      <w:r>
        <w:rPr>
          <w:noProof/>
        </w:rPr>
        <mc:AlternateContent>
          <mc:Choice Requires="wps">
            <w:drawing>
              <wp:anchor distT="0" distB="0" distL="114300" distR="114300" simplePos="0" relativeHeight="251658251" behindDoc="0" locked="0" layoutInCell="1" allowOverlap="1" wp14:anchorId="0D85540C" wp14:editId="7E4C6DBE">
                <wp:simplePos x="0" y="0"/>
                <wp:positionH relativeFrom="column">
                  <wp:posOffset>565150</wp:posOffset>
                </wp:positionH>
                <wp:positionV relativeFrom="paragraph">
                  <wp:posOffset>73660</wp:posOffset>
                </wp:positionV>
                <wp:extent cx="5556250" cy="262966"/>
                <wp:effectExtent l="0" t="0" r="25400" b="22860"/>
                <wp:wrapNone/>
                <wp:docPr id="29" name="Flowchart: Alternate Process 29"/>
                <wp:cNvGraphicFramePr/>
                <a:graphic xmlns:a="http://schemas.openxmlformats.org/drawingml/2006/main">
                  <a:graphicData uri="http://schemas.microsoft.com/office/word/2010/wordprocessingShape">
                    <wps:wsp>
                      <wps:cNvSpPr/>
                      <wps:spPr>
                        <a:xfrm>
                          <a:off x="0" y="0"/>
                          <a:ext cx="5556250"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6F36931F" w14:textId="025D74D7" w:rsidR="00AA103F" w:rsidRPr="001502CF" w:rsidRDefault="00AA103F" w:rsidP="00AA103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w:t>
                            </w:r>
                            <w:r w:rsidR="00715E38">
                              <w:rPr>
                                <w:rFonts w:ascii="Arial" w:hAnsi="Arial" w:cs="Arial"/>
                                <w:b/>
                                <w:color w:val="000000" w:themeColor="text1"/>
                                <w:sz w:val="18"/>
                                <w:szCs w:val="18"/>
                              </w:rPr>
                              <w:t>and reference list screening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85540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30" type="#_x0000_t176" style="position:absolute;margin-left:44.5pt;margin-top:5.8pt;width:437.5pt;height:20.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" fillcolor="#0f9ed5 [3207]" strokecolor="#074e69 [1607]" strokeweight="1pt">
                <v:textbox>
                  <w:txbxContent>
                    <w:p w14:paraId="6F36931F" w14:textId="025D74D7" w:rsidR="00AA103F" w:rsidRPr="001502CF" w:rsidRDefault="00AA103F" w:rsidP="00AA103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w:t>
                      </w:r>
                      <w:r w:rsidR="00715E38">
                        <w:rPr>
                          <w:rFonts w:ascii="Arial" w:hAnsi="Arial" w:cs="Arial"/>
                          <w:b/>
                          <w:color w:val="000000" w:themeColor="text1"/>
                          <w:sz w:val="18"/>
                          <w:szCs w:val="18"/>
                        </w:rPr>
                        <w:t>and reference list screening</w:t>
                      </w:r>
                    </w:p>
                  </w:txbxContent>
                </v:textbox>
              </v:shape>
            </w:pict>
          </mc:Fallback>
        </mc:AlternateContent>
      </w:r>
    </w:p>
    <w:p w14:paraId="24CA498A" w14:textId="77777777" w:rsidR="00AA103F" w:rsidRDefault="00AA103F" w:rsidP="00AA103F">
      <w:pPr>
        <w:spacing w:after="0" w:line="240" w:lineRule="auto"/>
      </w:pPr>
    </w:p>
    <w:p w14:paraId="7F73EB1A" w14:textId="77AB544D" w:rsidR="00AA103F" w:rsidRDefault="008954EC" w:rsidP="00AA103F">
      <w:pPr>
        <w:spacing w:after="0" w:line="240" w:lineRule="auto"/>
      </w:pPr>
      <w:r>
        <w:rPr>
          <w:noProof/>
        </w:rPr>
        <mc:AlternateContent>
          <mc:Choice Requires="wps">
            <w:drawing>
              <wp:anchor distT="0" distB="0" distL="114300" distR="114300" simplePos="0" relativeHeight="251658242" behindDoc="0" locked="0" layoutInCell="1" allowOverlap="1" wp14:anchorId="4E09A568" wp14:editId="64255F8C">
                <wp:simplePos x="0" y="0"/>
                <wp:positionH relativeFrom="column">
                  <wp:posOffset>3524250</wp:posOffset>
                </wp:positionH>
                <wp:positionV relativeFrom="paragraph">
                  <wp:posOffset>74931</wp:posOffset>
                </wp:positionV>
                <wp:extent cx="2597150" cy="895350"/>
                <wp:effectExtent l="0" t="0" r="12700" b="19050"/>
                <wp:wrapNone/>
                <wp:docPr id="2" name="Rectangle 2"/>
                <wp:cNvGraphicFramePr/>
                <a:graphic xmlns:a="http://schemas.openxmlformats.org/drawingml/2006/main">
                  <a:graphicData uri="http://schemas.microsoft.com/office/word/2010/wordprocessingShape">
                    <wps:wsp>
                      <wps:cNvSpPr/>
                      <wps:spPr>
                        <a:xfrm>
                          <a:off x="0" y="0"/>
                          <a:ext cx="2597150" cy="895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15DD9E" w14:textId="77777777" w:rsidR="00AA103F" w:rsidRDefault="00AA103F" w:rsidP="00AA103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07085F0B" w14:textId="49D18E4F" w:rsidR="00AA103F" w:rsidRPr="00560609" w:rsidRDefault="00AA103F" w:rsidP="00E55C87">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 xml:space="preserve">Duplicate records removed  (n = </w:t>
                            </w:r>
                            <w:r w:rsidR="00E55C87">
                              <w:rPr>
                                <w:rFonts w:ascii="Arial" w:hAnsi="Arial" w:cs="Arial"/>
                                <w:color w:val="000000" w:themeColor="text1"/>
                                <w:sz w:val="18"/>
                                <w:szCs w:val="20"/>
                              </w:rPr>
                              <w:t>137</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9A568" id="Rectangle 2" o:spid="_x0000_s1031" style="position:absolute;margin-left:277.5pt;margin-top:5.9pt;width:204.5pt;height:7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" filled="f" strokecolor="black [3213]" strokeweight="1pt">
                <v:textbox>
                  <w:txbxContent>
                    <w:p w14:paraId="5615DD9E" w14:textId="77777777" w:rsidR="00AA103F" w:rsidRDefault="00AA103F" w:rsidP="00AA103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07085F0B" w14:textId="49D18E4F" w:rsidR="00AA103F" w:rsidRPr="00560609" w:rsidRDefault="00AA103F" w:rsidP="00E55C87">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 xml:space="preserve">Duplicate records removed  (n = </w:t>
                      </w:r>
                      <w:r w:rsidR="00E55C87">
                        <w:rPr>
                          <w:rFonts w:ascii="Arial" w:hAnsi="Arial" w:cs="Arial"/>
                          <w:color w:val="000000" w:themeColor="text1"/>
                          <w:sz w:val="18"/>
                          <w:szCs w:val="20"/>
                        </w:rPr>
                        <w:t>137</w:t>
                      </w:r>
                      <w:r>
                        <w:rPr>
                          <w:rFonts w:ascii="Arial" w:hAnsi="Arial" w:cs="Arial"/>
                          <w:color w:val="000000" w:themeColor="text1"/>
                          <w:sz w:val="18"/>
                          <w:szCs w:val="20"/>
                        </w:rPr>
                        <w:t>)</w:t>
                      </w:r>
                    </w:p>
                  </w:txbxContent>
                </v:textbox>
              </v:rect>
            </w:pict>
          </mc:Fallback>
        </mc:AlternateContent>
      </w:r>
      <w:r>
        <w:rPr>
          <w:noProof/>
        </w:rPr>
        <mc:AlternateContent>
          <mc:Choice Requires="wps">
            <w:drawing>
              <wp:anchor distT="0" distB="0" distL="114300" distR="114300" simplePos="0" relativeHeight="251658241" behindDoc="0" locked="0" layoutInCell="1" allowOverlap="1" wp14:anchorId="2D05DD8C" wp14:editId="6064A163">
                <wp:simplePos x="0" y="0"/>
                <wp:positionH relativeFrom="column">
                  <wp:posOffset>561975</wp:posOffset>
                </wp:positionH>
                <wp:positionV relativeFrom="paragraph">
                  <wp:posOffset>74931</wp:posOffset>
                </wp:positionV>
                <wp:extent cx="2381250" cy="8953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2381250" cy="895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FD236A" w14:textId="77777777" w:rsidR="00AC7033" w:rsidRDefault="00AA103F" w:rsidP="00AA103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r w:rsidR="00715E38">
                              <w:rPr>
                                <w:rFonts w:ascii="Arial" w:hAnsi="Arial" w:cs="Arial"/>
                                <w:color w:val="000000" w:themeColor="text1"/>
                                <w:sz w:val="18"/>
                                <w:szCs w:val="20"/>
                              </w:rPr>
                              <w:t xml:space="preserve"> databases </w:t>
                            </w:r>
                          </w:p>
                          <w:p w14:paraId="265A92F5" w14:textId="32D8D8AD" w:rsidR="00AA103F" w:rsidRDefault="00715E38" w:rsidP="00AA103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w:t>
                            </w:r>
                            <w:r w:rsidR="00E55C87">
                              <w:rPr>
                                <w:rFonts w:ascii="Arial" w:hAnsi="Arial" w:cs="Arial"/>
                                <w:color w:val="000000" w:themeColor="text1"/>
                                <w:sz w:val="18"/>
                                <w:szCs w:val="20"/>
                              </w:rPr>
                              <w:t>2,143) comprising:</w:t>
                            </w:r>
                          </w:p>
                          <w:p w14:paraId="60A8248B" w14:textId="4425ADDE" w:rsidR="00715E38" w:rsidRPr="00AC7033" w:rsidRDefault="00715E38" w:rsidP="00AA103F">
                            <w:pPr>
                              <w:spacing w:after="0" w:line="240" w:lineRule="auto"/>
                              <w:ind w:left="284"/>
                              <w:rPr>
                                <w:rFonts w:ascii="Arial" w:hAnsi="Arial" w:cs="Arial"/>
                                <w:i/>
                                <w:iCs/>
                                <w:color w:val="000000" w:themeColor="text1"/>
                                <w:sz w:val="18"/>
                                <w:szCs w:val="20"/>
                              </w:rPr>
                            </w:pPr>
                            <w:r w:rsidRPr="00AC7033">
                              <w:rPr>
                                <w:rFonts w:ascii="Arial" w:hAnsi="Arial" w:cs="Arial"/>
                                <w:i/>
                                <w:iCs/>
                                <w:color w:val="000000" w:themeColor="text1"/>
                                <w:sz w:val="18"/>
                                <w:szCs w:val="20"/>
                              </w:rPr>
                              <w:t>PubMed</w:t>
                            </w:r>
                            <w:r w:rsidR="00E55C87" w:rsidRPr="00AC7033">
                              <w:rPr>
                                <w:rFonts w:ascii="Arial" w:hAnsi="Arial" w:cs="Arial"/>
                                <w:i/>
                                <w:iCs/>
                                <w:color w:val="000000" w:themeColor="text1"/>
                                <w:sz w:val="18"/>
                                <w:szCs w:val="20"/>
                              </w:rPr>
                              <w:t xml:space="preserve"> (n=1,591)</w:t>
                            </w:r>
                          </w:p>
                          <w:p w14:paraId="7ABD7738" w14:textId="50317539" w:rsidR="00715E38" w:rsidRPr="00AC7033" w:rsidRDefault="00715E38" w:rsidP="00AA103F">
                            <w:pPr>
                              <w:spacing w:after="0" w:line="240" w:lineRule="auto"/>
                              <w:ind w:left="284"/>
                              <w:rPr>
                                <w:rFonts w:ascii="Arial" w:hAnsi="Arial" w:cs="Arial"/>
                                <w:i/>
                                <w:iCs/>
                                <w:color w:val="000000" w:themeColor="text1"/>
                                <w:sz w:val="18"/>
                                <w:szCs w:val="20"/>
                              </w:rPr>
                            </w:pPr>
                            <w:proofErr w:type="spellStart"/>
                            <w:r w:rsidRPr="00AC7033">
                              <w:rPr>
                                <w:rFonts w:ascii="Arial" w:hAnsi="Arial" w:cs="Arial"/>
                                <w:i/>
                                <w:iCs/>
                                <w:color w:val="000000" w:themeColor="text1"/>
                                <w:sz w:val="18"/>
                                <w:szCs w:val="20"/>
                              </w:rPr>
                              <w:t>Epistemonikos</w:t>
                            </w:r>
                            <w:proofErr w:type="spellEnd"/>
                            <w:r w:rsidR="00E55C87" w:rsidRPr="00AC7033">
                              <w:rPr>
                                <w:rFonts w:ascii="Arial" w:hAnsi="Arial" w:cs="Arial"/>
                                <w:i/>
                                <w:iCs/>
                                <w:color w:val="000000" w:themeColor="text1"/>
                                <w:sz w:val="18"/>
                                <w:szCs w:val="20"/>
                              </w:rPr>
                              <w:t xml:space="preserve"> (n=524)</w:t>
                            </w:r>
                          </w:p>
                          <w:p w14:paraId="3D5BC5D6" w14:textId="7A68EAFF" w:rsidR="00AA103F" w:rsidRPr="00AC7033" w:rsidRDefault="00715E38" w:rsidP="00E55C87">
                            <w:pPr>
                              <w:spacing w:after="0" w:line="240" w:lineRule="auto"/>
                              <w:ind w:left="284"/>
                              <w:rPr>
                                <w:rFonts w:ascii="Arial" w:hAnsi="Arial" w:cs="Arial"/>
                                <w:i/>
                                <w:iCs/>
                                <w:color w:val="000000" w:themeColor="text1"/>
                                <w:sz w:val="18"/>
                                <w:szCs w:val="20"/>
                              </w:rPr>
                            </w:pPr>
                            <w:r w:rsidRPr="00AC7033">
                              <w:rPr>
                                <w:rFonts w:ascii="Arial" w:hAnsi="Arial" w:cs="Arial"/>
                                <w:i/>
                                <w:iCs/>
                                <w:color w:val="000000" w:themeColor="text1"/>
                                <w:sz w:val="18"/>
                                <w:szCs w:val="20"/>
                              </w:rPr>
                              <w:t>Cochrane library</w:t>
                            </w:r>
                            <w:r w:rsidR="00E55C87" w:rsidRPr="00AC7033">
                              <w:rPr>
                                <w:rFonts w:ascii="Arial" w:hAnsi="Arial" w:cs="Arial"/>
                                <w:i/>
                                <w:iCs/>
                                <w:color w:val="000000" w:themeColor="text1"/>
                                <w:sz w:val="18"/>
                                <w:szCs w:val="20"/>
                              </w:rPr>
                              <w:t xml:space="preserve"> (n=28)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5DD8C" id="Rectangle 1" o:spid="_x0000_s1032" style="position:absolute;margin-left:44.25pt;margin-top:5.9pt;width:187.5pt;height:7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" filled="f" strokecolor="black [3213]" strokeweight="1pt">
                <v:textbox>
                  <w:txbxContent>
                    <w:p w14:paraId="43FD236A" w14:textId="77777777" w:rsidR="00AC7033" w:rsidRDefault="00AA103F" w:rsidP="00AA103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r w:rsidR="00715E38">
                        <w:rPr>
                          <w:rFonts w:ascii="Arial" w:hAnsi="Arial" w:cs="Arial"/>
                          <w:color w:val="000000" w:themeColor="text1"/>
                          <w:sz w:val="18"/>
                          <w:szCs w:val="20"/>
                        </w:rPr>
                        <w:t xml:space="preserve"> databases </w:t>
                      </w:r>
                    </w:p>
                    <w:p w14:paraId="265A92F5" w14:textId="32D8D8AD" w:rsidR="00AA103F" w:rsidRDefault="00715E38" w:rsidP="00AA103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w:t>
                      </w:r>
                      <w:r w:rsidR="00E55C87">
                        <w:rPr>
                          <w:rFonts w:ascii="Arial" w:hAnsi="Arial" w:cs="Arial"/>
                          <w:color w:val="000000" w:themeColor="text1"/>
                          <w:sz w:val="18"/>
                          <w:szCs w:val="20"/>
                        </w:rPr>
                        <w:t>2,143) comprising:</w:t>
                      </w:r>
                    </w:p>
                    <w:p w14:paraId="60A8248B" w14:textId="4425ADDE" w:rsidR="00715E38" w:rsidRPr="00AC7033" w:rsidRDefault="00715E38" w:rsidP="00AA103F">
                      <w:pPr>
                        <w:spacing w:after="0" w:line="240" w:lineRule="auto"/>
                        <w:ind w:left="284"/>
                        <w:rPr>
                          <w:rFonts w:ascii="Arial" w:hAnsi="Arial" w:cs="Arial"/>
                          <w:i/>
                          <w:iCs/>
                          <w:color w:val="000000" w:themeColor="text1"/>
                          <w:sz w:val="18"/>
                          <w:szCs w:val="20"/>
                        </w:rPr>
                      </w:pPr>
                      <w:r w:rsidRPr="00AC7033">
                        <w:rPr>
                          <w:rFonts w:ascii="Arial" w:hAnsi="Arial" w:cs="Arial"/>
                          <w:i/>
                          <w:iCs/>
                          <w:color w:val="000000" w:themeColor="text1"/>
                          <w:sz w:val="18"/>
                          <w:szCs w:val="20"/>
                        </w:rPr>
                        <w:t>PubMed</w:t>
                      </w:r>
                      <w:r w:rsidR="00E55C87" w:rsidRPr="00AC7033">
                        <w:rPr>
                          <w:rFonts w:ascii="Arial" w:hAnsi="Arial" w:cs="Arial"/>
                          <w:i/>
                          <w:iCs/>
                          <w:color w:val="000000" w:themeColor="text1"/>
                          <w:sz w:val="18"/>
                          <w:szCs w:val="20"/>
                        </w:rPr>
                        <w:t xml:space="preserve"> (n=1,591)</w:t>
                      </w:r>
                    </w:p>
                    <w:p w14:paraId="7ABD7738" w14:textId="50317539" w:rsidR="00715E38" w:rsidRPr="00AC7033" w:rsidRDefault="00715E38" w:rsidP="00AA103F">
                      <w:pPr>
                        <w:spacing w:after="0" w:line="240" w:lineRule="auto"/>
                        <w:ind w:left="284"/>
                        <w:rPr>
                          <w:rFonts w:ascii="Arial" w:hAnsi="Arial" w:cs="Arial"/>
                          <w:i/>
                          <w:iCs/>
                          <w:color w:val="000000" w:themeColor="text1"/>
                          <w:sz w:val="18"/>
                          <w:szCs w:val="20"/>
                        </w:rPr>
                      </w:pPr>
                      <w:proofErr w:type="spellStart"/>
                      <w:r w:rsidRPr="00AC7033">
                        <w:rPr>
                          <w:rFonts w:ascii="Arial" w:hAnsi="Arial" w:cs="Arial"/>
                          <w:i/>
                          <w:iCs/>
                          <w:color w:val="000000" w:themeColor="text1"/>
                          <w:sz w:val="18"/>
                          <w:szCs w:val="20"/>
                        </w:rPr>
                        <w:t>Epistemonikos</w:t>
                      </w:r>
                      <w:proofErr w:type="spellEnd"/>
                      <w:r w:rsidR="00E55C87" w:rsidRPr="00AC7033">
                        <w:rPr>
                          <w:rFonts w:ascii="Arial" w:hAnsi="Arial" w:cs="Arial"/>
                          <w:i/>
                          <w:iCs/>
                          <w:color w:val="000000" w:themeColor="text1"/>
                          <w:sz w:val="18"/>
                          <w:szCs w:val="20"/>
                        </w:rPr>
                        <w:t xml:space="preserve"> (n=524)</w:t>
                      </w:r>
                    </w:p>
                    <w:p w14:paraId="3D5BC5D6" w14:textId="7A68EAFF" w:rsidR="00AA103F" w:rsidRPr="00AC7033" w:rsidRDefault="00715E38" w:rsidP="00E55C87">
                      <w:pPr>
                        <w:spacing w:after="0" w:line="240" w:lineRule="auto"/>
                        <w:ind w:left="284"/>
                        <w:rPr>
                          <w:rFonts w:ascii="Arial" w:hAnsi="Arial" w:cs="Arial"/>
                          <w:i/>
                          <w:iCs/>
                          <w:color w:val="000000" w:themeColor="text1"/>
                          <w:sz w:val="18"/>
                          <w:szCs w:val="20"/>
                        </w:rPr>
                      </w:pPr>
                      <w:r w:rsidRPr="00AC7033">
                        <w:rPr>
                          <w:rFonts w:ascii="Arial" w:hAnsi="Arial" w:cs="Arial"/>
                          <w:i/>
                          <w:iCs/>
                          <w:color w:val="000000" w:themeColor="text1"/>
                          <w:sz w:val="18"/>
                          <w:szCs w:val="20"/>
                        </w:rPr>
                        <w:t>Cochrane library</w:t>
                      </w:r>
                      <w:r w:rsidR="00E55C87" w:rsidRPr="00AC7033">
                        <w:rPr>
                          <w:rFonts w:ascii="Arial" w:hAnsi="Arial" w:cs="Arial"/>
                          <w:i/>
                          <w:iCs/>
                          <w:color w:val="000000" w:themeColor="text1"/>
                          <w:sz w:val="18"/>
                          <w:szCs w:val="20"/>
                        </w:rPr>
                        <w:t xml:space="preserve"> (n=28)</w:t>
                      </w:r>
                    </w:p>
                  </w:txbxContent>
                </v:textbox>
              </v:rect>
            </w:pict>
          </mc:Fallback>
        </mc:AlternateContent>
      </w:r>
    </w:p>
    <w:p w14:paraId="1D0F3896" w14:textId="23E32AAB" w:rsidR="00AA103F" w:rsidRDefault="00AA103F" w:rsidP="00AA103F">
      <w:pPr>
        <w:spacing w:after="0" w:line="240" w:lineRule="auto"/>
      </w:pPr>
    </w:p>
    <w:p w14:paraId="6BFA9AF2" w14:textId="5CE8A8C7" w:rsidR="00AA103F" w:rsidRDefault="008954EC" w:rsidP="00AA103F">
      <w:pPr>
        <w:spacing w:after="0" w:line="240" w:lineRule="auto"/>
      </w:pPr>
      <w:r>
        <w:rPr>
          <w:noProof/>
        </w:rPr>
        <mc:AlternateContent>
          <mc:Choice Requires="wps">
            <w:drawing>
              <wp:anchor distT="0" distB="0" distL="114300" distR="114300" simplePos="0" relativeHeight="251658252" behindDoc="0" locked="0" layoutInCell="1" allowOverlap="1" wp14:anchorId="096E7314" wp14:editId="7ECC9A2F">
                <wp:simplePos x="0" y="0"/>
                <wp:positionH relativeFrom="column">
                  <wp:posOffset>-246380</wp:posOffset>
                </wp:positionH>
                <wp:positionV relativeFrom="paragraph">
                  <wp:posOffset>93345</wp:posOffset>
                </wp:positionV>
                <wp:extent cx="980440" cy="262890"/>
                <wp:effectExtent l="0" t="3175" r="26035" b="26035"/>
                <wp:wrapNone/>
                <wp:docPr id="31" name="Flowchart: Alternate Process 31"/>
                <wp:cNvGraphicFramePr/>
                <a:graphic xmlns:a="http://schemas.openxmlformats.org/drawingml/2006/main">
                  <a:graphicData uri="http://schemas.microsoft.com/office/word/2010/wordprocessingShape">
                    <wps:wsp>
                      <wps:cNvSpPr/>
                      <wps:spPr>
                        <a:xfrm rot="16200000">
                          <a:off x="0" y="0"/>
                          <a:ext cx="980440"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0BC4499A" w14:textId="77777777" w:rsidR="00AA103F" w:rsidRPr="001502CF" w:rsidRDefault="00AA103F" w:rsidP="00AA103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E7314" id="Flowchart: Alternate Process 31" o:spid="_x0000_s1033" type="#_x0000_t176" style="position:absolute;margin-left:-19.4pt;margin-top:7.35pt;width:77.2pt;height:20.7pt;rotation:-90;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" fillcolor="#d86dcb [1944]" strokecolor="black [3213]" strokeweight="1pt">
                <v:textbox>
                  <w:txbxContent>
                    <w:p w14:paraId="0BC4499A" w14:textId="77777777" w:rsidR="00AA103F" w:rsidRPr="001502CF" w:rsidRDefault="00AA103F" w:rsidP="00AA103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r>
        <w:rPr>
          <w:noProof/>
        </w:rPr>
        <mc:AlternateContent>
          <mc:Choice Requires="wps">
            <w:drawing>
              <wp:anchor distT="0" distB="0" distL="114300" distR="114300" simplePos="0" relativeHeight="251658248" behindDoc="0" locked="0" layoutInCell="1" allowOverlap="1" wp14:anchorId="04191D80" wp14:editId="47093EC2">
                <wp:simplePos x="0" y="0"/>
                <wp:positionH relativeFrom="column">
                  <wp:posOffset>2961640</wp:posOffset>
                </wp:positionH>
                <wp:positionV relativeFrom="paragraph">
                  <wp:posOffset>131445</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3909102E">
              <v:shapetype id="_x0000_t32" coordsize="21600,21600" o:oned="t" filled="f" o:spt="32" path="m,l21600,21600e" w14:anchorId="3F27618E">
                <v:path fillok="f" arrowok="t" o:connecttype="none"/>
                <o:lock v:ext="edit" shapetype="t"/>
              </v:shapetype>
              <v:shape id="Straight Arrow Connector 14" style="position:absolute;margin-left:233.2pt;margin-top:10.35pt;width:44.35pt;height:0;z-index:25165825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">
                <v:stroke joinstyle="miter" endarrow="block"/>
              </v:shape>
            </w:pict>
          </mc:Fallback>
        </mc:AlternateContent>
      </w:r>
    </w:p>
    <w:p w14:paraId="0817288F" w14:textId="73A05C2F" w:rsidR="00AA103F" w:rsidRDefault="00AA103F" w:rsidP="00AA103F">
      <w:pPr>
        <w:spacing w:after="0" w:line="240" w:lineRule="auto"/>
      </w:pPr>
    </w:p>
    <w:p w14:paraId="7B7BA620" w14:textId="17873221" w:rsidR="00AA103F" w:rsidRDefault="00AA103F" w:rsidP="00AA103F">
      <w:pPr>
        <w:spacing w:after="0" w:line="240" w:lineRule="auto"/>
      </w:pPr>
    </w:p>
    <w:p w14:paraId="51A111F6" w14:textId="2FF6FBCB" w:rsidR="00AA103F" w:rsidRDefault="008954EC" w:rsidP="00AA103F">
      <w:pPr>
        <w:spacing w:after="0" w:line="240" w:lineRule="auto"/>
      </w:pPr>
      <w:r>
        <w:rPr>
          <w:noProof/>
        </w:rPr>
        <mc:AlternateContent>
          <mc:Choice Requires="wps">
            <w:drawing>
              <wp:anchor distT="0" distB="0" distL="114300" distR="114300" simplePos="0" relativeHeight="251658255" behindDoc="0" locked="0" layoutInCell="1" allowOverlap="1" wp14:anchorId="173F3FA2" wp14:editId="0EED6FBE">
                <wp:simplePos x="0" y="0"/>
                <wp:positionH relativeFrom="column">
                  <wp:posOffset>1590675</wp:posOffset>
                </wp:positionH>
                <wp:positionV relativeFrom="paragraph">
                  <wp:posOffset>136525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27D00C2">
              <v:shape id="Straight Arrow Connector 27" style="position:absolute;margin-left:125.25pt;margin-top:10.75pt;width:0;height:22.15pt;z-index:251658257;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" w14:anchorId="76AD9872">
                <v:stroke joinstyle="miter" endarrow="block"/>
              </v:shape>
            </w:pict>
          </mc:Fallback>
        </mc:AlternateContent>
      </w:r>
    </w:p>
    <w:p w14:paraId="2B3AD96B" w14:textId="2DA34D1C" w:rsidR="00AA103F" w:rsidRDefault="00AA103F" w:rsidP="00AA103F">
      <w:pPr>
        <w:spacing w:after="0" w:line="240" w:lineRule="auto"/>
      </w:pPr>
    </w:p>
    <w:p w14:paraId="0BB3A98D" w14:textId="2B8C43A0" w:rsidR="00AA103F" w:rsidRDefault="008954EC" w:rsidP="00AA103F">
      <w:pPr>
        <w:spacing w:after="0" w:line="240" w:lineRule="auto"/>
      </w:pPr>
      <w:r>
        <w:rPr>
          <w:noProof/>
        </w:rPr>
        <mc:AlternateContent>
          <mc:Choice Requires="wps">
            <w:drawing>
              <wp:anchor distT="0" distB="0" distL="114300" distR="114300" simplePos="0" relativeHeight="251658244" behindDoc="0" locked="0" layoutInCell="1" allowOverlap="1" wp14:anchorId="6BB1D774" wp14:editId="096BB809">
                <wp:simplePos x="0" y="0"/>
                <wp:positionH relativeFrom="column">
                  <wp:posOffset>3512820</wp:posOffset>
                </wp:positionH>
                <wp:positionV relativeFrom="paragraph">
                  <wp:posOffset>83185</wp:posOffset>
                </wp:positionV>
                <wp:extent cx="2590800" cy="526415"/>
                <wp:effectExtent l="0" t="0" r="19050" b="26035"/>
                <wp:wrapNone/>
                <wp:docPr id="4" name="Rectangle 4"/>
                <wp:cNvGraphicFramePr/>
                <a:graphic xmlns:a="http://schemas.openxmlformats.org/drawingml/2006/main">
                  <a:graphicData uri="http://schemas.microsoft.com/office/word/2010/wordprocessingShape">
                    <wps:wsp>
                      <wps:cNvSpPr/>
                      <wps:spPr>
                        <a:xfrm>
                          <a:off x="0" y="0"/>
                          <a:ext cx="25908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702686" w14:textId="77777777" w:rsidR="00AA103F" w:rsidRDefault="00AA103F" w:rsidP="00AA103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2782D685" w14:textId="369CAFE4" w:rsidR="00AA103F" w:rsidRPr="00560609" w:rsidRDefault="00AA103F" w:rsidP="00AA103F">
                            <w:pPr>
                              <w:spacing w:after="0" w:line="240" w:lineRule="auto"/>
                              <w:rPr>
                                <w:rFonts w:ascii="Arial" w:hAnsi="Arial" w:cs="Arial"/>
                                <w:color w:val="000000" w:themeColor="text1"/>
                                <w:sz w:val="18"/>
                                <w:szCs w:val="20"/>
                              </w:rPr>
                            </w:pPr>
                            <w:r>
                              <w:rPr>
                                <w:rFonts w:ascii="Arial" w:hAnsi="Arial" w:cs="Arial"/>
                                <w:color w:val="000000" w:themeColor="text1"/>
                                <w:sz w:val="18"/>
                                <w:szCs w:val="20"/>
                              </w:rPr>
                              <w:t>(n =</w:t>
                            </w:r>
                            <w:r w:rsidR="00D514A7">
                              <w:rPr>
                                <w:rFonts w:ascii="Arial" w:hAnsi="Arial" w:cs="Arial"/>
                                <w:color w:val="000000" w:themeColor="text1"/>
                                <w:sz w:val="18"/>
                                <w:szCs w:val="20"/>
                              </w:rPr>
                              <w:t>1,942</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1D774" id="Rectangle 4" o:spid="_x0000_s1034" style="position:absolute;margin-left:276.6pt;margin-top:6.55pt;width:204pt;height:41.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" filled="f" strokecolor="black [3213]" strokeweight="1pt">
                <v:textbox>
                  <w:txbxContent>
                    <w:p w14:paraId="56702686" w14:textId="77777777" w:rsidR="00AA103F" w:rsidRDefault="00AA103F" w:rsidP="00AA103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2782D685" w14:textId="369CAFE4" w:rsidR="00AA103F" w:rsidRPr="00560609" w:rsidRDefault="00AA103F" w:rsidP="00AA103F">
                      <w:pPr>
                        <w:spacing w:after="0" w:line="240" w:lineRule="auto"/>
                        <w:rPr>
                          <w:rFonts w:ascii="Arial" w:hAnsi="Arial" w:cs="Arial"/>
                          <w:color w:val="000000" w:themeColor="text1"/>
                          <w:sz w:val="18"/>
                          <w:szCs w:val="20"/>
                        </w:rPr>
                      </w:pPr>
                      <w:r>
                        <w:rPr>
                          <w:rFonts w:ascii="Arial" w:hAnsi="Arial" w:cs="Arial"/>
                          <w:color w:val="000000" w:themeColor="text1"/>
                          <w:sz w:val="18"/>
                          <w:szCs w:val="20"/>
                        </w:rPr>
                        <w:t>(n =</w:t>
                      </w:r>
                      <w:r w:rsidR="00D514A7">
                        <w:rPr>
                          <w:rFonts w:ascii="Arial" w:hAnsi="Arial" w:cs="Arial"/>
                          <w:color w:val="000000" w:themeColor="text1"/>
                          <w:sz w:val="18"/>
                          <w:szCs w:val="20"/>
                        </w:rPr>
                        <w:t>1,942</w:t>
                      </w:r>
                      <w:r>
                        <w:rPr>
                          <w:rFonts w:ascii="Arial" w:hAnsi="Arial" w:cs="Arial"/>
                          <w:color w:val="000000" w:themeColor="text1"/>
                          <w:sz w:val="18"/>
                          <w:szCs w:val="20"/>
                        </w:rPr>
                        <w:t>)</w:t>
                      </w:r>
                    </w:p>
                  </w:txbxContent>
                </v:textbox>
              </v:rect>
            </w:pict>
          </mc:Fallback>
        </mc:AlternateContent>
      </w:r>
      <w:r>
        <w:rPr>
          <w:noProof/>
        </w:rPr>
        <mc:AlternateContent>
          <mc:Choice Requires="wps">
            <w:drawing>
              <wp:anchor distT="0" distB="0" distL="114300" distR="114300" simplePos="0" relativeHeight="251658243" behindDoc="0" locked="0" layoutInCell="1" allowOverlap="1" wp14:anchorId="16518A98" wp14:editId="62511C11">
                <wp:simplePos x="0" y="0"/>
                <wp:positionH relativeFrom="column">
                  <wp:posOffset>568325</wp:posOffset>
                </wp:positionH>
                <wp:positionV relativeFrom="paragraph">
                  <wp:posOffset>81280</wp:posOffset>
                </wp:positionV>
                <wp:extent cx="2381250" cy="526415"/>
                <wp:effectExtent l="0" t="0" r="19050" b="26035"/>
                <wp:wrapNone/>
                <wp:docPr id="3" name="Rectangle 3"/>
                <wp:cNvGraphicFramePr/>
                <a:graphic xmlns:a="http://schemas.openxmlformats.org/drawingml/2006/main">
                  <a:graphicData uri="http://schemas.microsoft.com/office/word/2010/wordprocessingShape">
                    <wps:wsp>
                      <wps:cNvSpPr/>
                      <wps:spPr>
                        <a:xfrm>
                          <a:off x="0" y="0"/>
                          <a:ext cx="238125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3E6D33" w14:textId="77777777" w:rsidR="00AA103F" w:rsidRDefault="00AA103F" w:rsidP="00AA103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6CF02B72" w14:textId="1F9E0E5D" w:rsidR="00AA103F" w:rsidRPr="00560609" w:rsidRDefault="00AA103F" w:rsidP="00AA103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 </w:t>
                            </w:r>
                            <w:r w:rsidR="00E55C87">
                              <w:rPr>
                                <w:rFonts w:ascii="Arial" w:hAnsi="Arial" w:cs="Arial"/>
                                <w:color w:val="000000" w:themeColor="text1"/>
                                <w:sz w:val="18"/>
                                <w:szCs w:val="20"/>
                              </w:rPr>
                              <w:t>2006</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18A98" id="Rectangle 3" o:spid="_x0000_s1035" style="position:absolute;margin-left:44.75pt;margin-top:6.4pt;width:187.5pt;height:41.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" filled="f" strokecolor="black [3213]" strokeweight="1pt">
                <v:textbox>
                  <w:txbxContent>
                    <w:p w14:paraId="633E6D33" w14:textId="77777777" w:rsidR="00AA103F" w:rsidRDefault="00AA103F" w:rsidP="00AA103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6CF02B72" w14:textId="1F9E0E5D" w:rsidR="00AA103F" w:rsidRPr="00560609" w:rsidRDefault="00AA103F" w:rsidP="00AA103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 </w:t>
                      </w:r>
                      <w:r w:rsidR="00E55C87">
                        <w:rPr>
                          <w:rFonts w:ascii="Arial" w:hAnsi="Arial" w:cs="Arial"/>
                          <w:color w:val="000000" w:themeColor="text1"/>
                          <w:sz w:val="18"/>
                          <w:szCs w:val="20"/>
                        </w:rPr>
                        <w:t>2006</w:t>
                      </w:r>
                      <w:r>
                        <w:rPr>
                          <w:rFonts w:ascii="Arial" w:hAnsi="Arial" w:cs="Arial"/>
                          <w:color w:val="000000" w:themeColor="text1"/>
                          <w:sz w:val="18"/>
                          <w:szCs w:val="20"/>
                        </w:rPr>
                        <w:t>)</w:t>
                      </w:r>
                    </w:p>
                  </w:txbxContent>
                </v:textbox>
              </v:rect>
            </w:pict>
          </mc:Fallback>
        </mc:AlternateContent>
      </w:r>
    </w:p>
    <w:p w14:paraId="067C4B3C" w14:textId="6D9E91ED" w:rsidR="00AA103F" w:rsidRDefault="00AA103F" w:rsidP="00AA103F">
      <w:pPr>
        <w:spacing w:after="0" w:line="240" w:lineRule="auto"/>
      </w:pPr>
    </w:p>
    <w:p w14:paraId="695EFB6F" w14:textId="0A062604" w:rsidR="00AA103F" w:rsidRDefault="008954EC" w:rsidP="00AA103F">
      <w:pPr>
        <w:spacing w:after="0" w:line="240" w:lineRule="auto"/>
      </w:pPr>
      <w:r>
        <w:rPr>
          <w:noProof/>
        </w:rPr>
        <mc:AlternateContent>
          <mc:Choice Requires="wps">
            <w:drawing>
              <wp:anchor distT="0" distB="0" distL="114300" distR="114300" simplePos="0" relativeHeight="251658249" behindDoc="0" locked="0" layoutInCell="1" allowOverlap="1" wp14:anchorId="679BF383" wp14:editId="18EEA325">
                <wp:simplePos x="0" y="0"/>
                <wp:positionH relativeFrom="column">
                  <wp:posOffset>2948940</wp:posOffset>
                </wp:positionH>
                <wp:positionV relativeFrom="paragraph">
                  <wp:posOffset>13970</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09BD299">
              <v:shape id="Straight Arrow Connector 15" style="position:absolute;margin-left:232.2pt;margin-top:1.1pt;width:44.35pt;height:0;z-index:25165825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" w14:anchorId="78F4B4D3">
                <v:stroke joinstyle="miter" endarrow="block"/>
              </v:shape>
            </w:pict>
          </mc:Fallback>
        </mc:AlternateContent>
      </w:r>
    </w:p>
    <w:p w14:paraId="7BE0CBD4" w14:textId="28ED147D" w:rsidR="00AA103F" w:rsidRDefault="008954EC" w:rsidP="00AA103F">
      <w:pPr>
        <w:spacing w:after="0" w:line="240" w:lineRule="auto"/>
      </w:pPr>
      <w:r>
        <w:rPr>
          <w:noProof/>
        </w:rPr>
        <mc:AlternateContent>
          <mc:Choice Requires="wps">
            <w:drawing>
              <wp:anchor distT="0" distB="0" distL="114300" distR="114300" simplePos="0" relativeHeight="251658253" behindDoc="0" locked="0" layoutInCell="1" allowOverlap="1" wp14:anchorId="6B27A566" wp14:editId="66B3DD91">
                <wp:simplePos x="0" y="0"/>
                <wp:positionH relativeFrom="column">
                  <wp:posOffset>-440055</wp:posOffset>
                </wp:positionH>
                <wp:positionV relativeFrom="paragraph">
                  <wp:posOffset>120650</wp:posOffset>
                </wp:positionV>
                <wp:extent cx="1360170" cy="262890"/>
                <wp:effectExtent l="0" t="3810" r="26670" b="26670"/>
                <wp:wrapNone/>
                <wp:docPr id="32" name="Flowchart: Alternate Process 32"/>
                <wp:cNvGraphicFramePr/>
                <a:graphic xmlns:a="http://schemas.openxmlformats.org/drawingml/2006/main">
                  <a:graphicData uri="http://schemas.microsoft.com/office/word/2010/wordprocessingShape">
                    <wps:wsp>
                      <wps:cNvSpPr/>
                      <wps:spPr>
                        <a:xfrm rot="16200000">
                          <a:off x="0" y="0"/>
                          <a:ext cx="1360170"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17C07EB" w14:textId="77777777" w:rsidR="00AA103F" w:rsidRDefault="00AA103F" w:rsidP="00AA103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4E489996" w14:textId="77777777" w:rsidR="00AA103F" w:rsidRPr="001502CF" w:rsidRDefault="00AA103F" w:rsidP="00AA103F">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7A566" id="Flowchart: Alternate Process 32" o:spid="_x0000_s1036" type="#_x0000_t176" style="position:absolute;margin-left:-34.65pt;margin-top:9.5pt;width:107.1pt;height:20.7pt;rotation:-90;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" fillcolor="#d86dcb [1944]" strokecolor="black [3213]" strokeweight="1pt">
                <v:textbox>
                  <w:txbxContent>
                    <w:p w14:paraId="417C07EB" w14:textId="77777777" w:rsidR="00AA103F" w:rsidRDefault="00AA103F" w:rsidP="00AA103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4E489996" w14:textId="77777777" w:rsidR="00AA103F" w:rsidRPr="001502CF" w:rsidRDefault="00AA103F" w:rsidP="00AA103F">
                      <w:pPr>
                        <w:spacing w:after="0" w:line="240" w:lineRule="auto"/>
                        <w:rPr>
                          <w:rFonts w:ascii="Arial" w:hAnsi="Arial" w:cs="Arial"/>
                          <w:b/>
                          <w:color w:val="000000" w:themeColor="text1"/>
                          <w:sz w:val="18"/>
                          <w:szCs w:val="18"/>
                        </w:rPr>
                      </w:pPr>
                    </w:p>
                  </w:txbxContent>
                </v:textbox>
              </v:shape>
            </w:pict>
          </mc:Fallback>
        </mc:AlternateContent>
      </w:r>
      <w:r>
        <w:rPr>
          <w:noProof/>
        </w:rPr>
        <mc:AlternateContent>
          <mc:Choice Requires="wps">
            <w:drawing>
              <wp:anchor distT="0" distB="0" distL="114300" distR="114300" simplePos="0" relativeHeight="251658256" behindDoc="0" locked="0" layoutInCell="1" allowOverlap="1" wp14:anchorId="370D18C2" wp14:editId="0B199687">
                <wp:simplePos x="0" y="0"/>
                <wp:positionH relativeFrom="column">
                  <wp:posOffset>1609725</wp:posOffset>
                </wp:positionH>
                <wp:positionV relativeFrom="paragraph">
                  <wp:posOffset>100330</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B04C8F5">
              <v:shape id="Straight Arrow Connector 35" style="position:absolute;margin-left:126.75pt;margin-top:7.9pt;width:0;height:22.15pt;z-index:25165825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" w14:anchorId="1D000743">
                <v:stroke joinstyle="miter" endarrow="block"/>
              </v:shape>
            </w:pict>
          </mc:Fallback>
        </mc:AlternateContent>
      </w:r>
    </w:p>
    <w:p w14:paraId="79F8838A" w14:textId="606147E0" w:rsidR="00AA103F" w:rsidRDefault="00AA103F" w:rsidP="00AA103F">
      <w:pPr>
        <w:spacing w:after="0" w:line="240" w:lineRule="auto"/>
      </w:pPr>
    </w:p>
    <w:p w14:paraId="4DDB4B54" w14:textId="18B695DD" w:rsidR="00AA103F" w:rsidRDefault="008954EC" w:rsidP="00AA103F">
      <w:pPr>
        <w:spacing w:after="0" w:line="240" w:lineRule="auto"/>
      </w:pPr>
      <w:r w:rsidRPr="00560609">
        <w:rPr>
          <w:noProof/>
        </w:rPr>
        <mc:AlternateContent>
          <mc:Choice Requires="wps">
            <w:drawing>
              <wp:anchor distT="0" distB="0" distL="114300" distR="114300" simplePos="0" relativeHeight="251658246" behindDoc="0" locked="0" layoutInCell="1" allowOverlap="1" wp14:anchorId="21CCD37C" wp14:editId="2477D204">
                <wp:simplePos x="0" y="0"/>
                <wp:positionH relativeFrom="column">
                  <wp:posOffset>3543300</wp:posOffset>
                </wp:positionH>
                <wp:positionV relativeFrom="paragraph">
                  <wp:posOffset>17145</wp:posOffset>
                </wp:positionV>
                <wp:extent cx="2578100" cy="1479550"/>
                <wp:effectExtent l="0" t="0" r="12700" b="25400"/>
                <wp:wrapNone/>
                <wp:docPr id="9" name="Rectangle 9"/>
                <wp:cNvGraphicFramePr/>
                <a:graphic xmlns:a="http://schemas.openxmlformats.org/drawingml/2006/main">
                  <a:graphicData uri="http://schemas.microsoft.com/office/word/2010/wordprocessingShape">
                    <wps:wsp>
                      <wps:cNvSpPr/>
                      <wps:spPr>
                        <a:xfrm>
                          <a:off x="0" y="0"/>
                          <a:ext cx="2578100" cy="147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07F538" w14:textId="12FD9AC0" w:rsidR="00AA103F" w:rsidRPr="00862B85" w:rsidRDefault="00AA103F" w:rsidP="00AA103F">
                            <w:pPr>
                              <w:spacing w:after="0" w:line="240" w:lineRule="auto"/>
                              <w:rPr>
                                <w:rFonts w:ascii="Arial" w:hAnsi="Arial" w:cs="Arial"/>
                                <w:color w:val="000000" w:themeColor="text1"/>
                                <w:sz w:val="18"/>
                                <w:szCs w:val="20"/>
                              </w:rPr>
                            </w:pPr>
                            <w:r w:rsidRPr="00862B85">
                              <w:rPr>
                                <w:rFonts w:ascii="Arial" w:hAnsi="Arial" w:cs="Arial"/>
                                <w:color w:val="000000" w:themeColor="text1"/>
                                <w:sz w:val="18"/>
                                <w:szCs w:val="20"/>
                              </w:rPr>
                              <w:t>Reports excluded:</w:t>
                            </w:r>
                            <w:r w:rsidR="00C24D32" w:rsidRPr="00862B85">
                              <w:rPr>
                                <w:rFonts w:ascii="Arial" w:hAnsi="Arial" w:cs="Arial"/>
                                <w:color w:val="000000" w:themeColor="text1"/>
                                <w:sz w:val="18"/>
                                <w:szCs w:val="20"/>
                              </w:rPr>
                              <w:t xml:space="preserve"> </w:t>
                            </w:r>
                            <w:r w:rsidR="004F78F5" w:rsidRPr="00862B85">
                              <w:rPr>
                                <w:rFonts w:ascii="Arial" w:hAnsi="Arial" w:cs="Arial"/>
                                <w:color w:val="000000" w:themeColor="text1"/>
                                <w:sz w:val="18"/>
                                <w:szCs w:val="20"/>
                              </w:rPr>
                              <w:t>5</w:t>
                            </w:r>
                            <w:r w:rsidR="00867B3C">
                              <w:rPr>
                                <w:rFonts w:ascii="Arial" w:hAnsi="Arial" w:cs="Arial"/>
                                <w:color w:val="000000" w:themeColor="text1"/>
                                <w:sz w:val="18"/>
                                <w:szCs w:val="20"/>
                              </w:rPr>
                              <w:t>4</w:t>
                            </w:r>
                          </w:p>
                          <w:p w14:paraId="1A572DE1" w14:textId="2C3C3D74" w:rsidR="00AA103F" w:rsidRPr="00862B85" w:rsidRDefault="004F78F5" w:rsidP="00AA103F">
                            <w:pPr>
                              <w:spacing w:after="0" w:line="240" w:lineRule="auto"/>
                              <w:ind w:left="284"/>
                              <w:rPr>
                                <w:rFonts w:ascii="Arial" w:hAnsi="Arial" w:cs="Arial"/>
                                <w:i/>
                                <w:iCs/>
                                <w:color w:val="000000" w:themeColor="text1"/>
                                <w:sz w:val="18"/>
                                <w:szCs w:val="20"/>
                              </w:rPr>
                            </w:pPr>
                            <w:r w:rsidRPr="00862B85">
                              <w:rPr>
                                <w:rFonts w:ascii="Arial" w:hAnsi="Arial" w:cs="Arial"/>
                                <w:i/>
                                <w:iCs/>
                                <w:color w:val="000000" w:themeColor="text1"/>
                                <w:sz w:val="18"/>
                                <w:szCs w:val="20"/>
                              </w:rPr>
                              <w:t>Ineligible outcomes</w:t>
                            </w:r>
                            <w:r w:rsidR="00AA103F" w:rsidRPr="00862B85">
                              <w:rPr>
                                <w:rFonts w:ascii="Arial" w:hAnsi="Arial" w:cs="Arial"/>
                                <w:i/>
                                <w:iCs/>
                                <w:color w:val="000000" w:themeColor="text1"/>
                                <w:sz w:val="18"/>
                                <w:szCs w:val="20"/>
                              </w:rPr>
                              <w:t xml:space="preserve"> (n = </w:t>
                            </w:r>
                            <w:r w:rsidRPr="00862B85">
                              <w:rPr>
                                <w:rFonts w:ascii="Arial" w:hAnsi="Arial" w:cs="Arial"/>
                                <w:i/>
                                <w:iCs/>
                                <w:color w:val="000000" w:themeColor="text1"/>
                                <w:sz w:val="18"/>
                                <w:szCs w:val="20"/>
                              </w:rPr>
                              <w:t>1</w:t>
                            </w:r>
                            <w:r w:rsidR="00F90CA8">
                              <w:rPr>
                                <w:rFonts w:ascii="Arial" w:hAnsi="Arial" w:cs="Arial"/>
                                <w:i/>
                                <w:iCs/>
                                <w:color w:val="000000" w:themeColor="text1"/>
                                <w:sz w:val="18"/>
                                <w:szCs w:val="20"/>
                              </w:rPr>
                              <w:t>6</w:t>
                            </w:r>
                            <w:r w:rsidR="00AA103F" w:rsidRPr="00862B85">
                              <w:rPr>
                                <w:rFonts w:ascii="Arial" w:hAnsi="Arial" w:cs="Arial"/>
                                <w:i/>
                                <w:iCs/>
                                <w:color w:val="000000" w:themeColor="text1"/>
                                <w:sz w:val="18"/>
                                <w:szCs w:val="20"/>
                              </w:rPr>
                              <w:t>)</w:t>
                            </w:r>
                          </w:p>
                          <w:p w14:paraId="1D87BD9F" w14:textId="453D0903" w:rsidR="00AA103F" w:rsidRPr="00862B85" w:rsidRDefault="004F78F5" w:rsidP="00AA103F">
                            <w:pPr>
                              <w:spacing w:after="0" w:line="240" w:lineRule="auto"/>
                              <w:ind w:left="284"/>
                              <w:rPr>
                                <w:rFonts w:ascii="Arial" w:hAnsi="Arial" w:cs="Arial"/>
                                <w:i/>
                                <w:iCs/>
                                <w:color w:val="000000" w:themeColor="text1"/>
                                <w:sz w:val="18"/>
                                <w:szCs w:val="20"/>
                              </w:rPr>
                            </w:pPr>
                            <w:r w:rsidRPr="00862B85">
                              <w:rPr>
                                <w:rFonts w:ascii="Arial" w:hAnsi="Arial" w:cs="Arial"/>
                                <w:i/>
                                <w:iCs/>
                                <w:color w:val="000000" w:themeColor="text1"/>
                                <w:sz w:val="18"/>
                                <w:szCs w:val="20"/>
                              </w:rPr>
                              <w:t>Ineligible intervention / exposure</w:t>
                            </w:r>
                            <w:r w:rsidR="00AA103F" w:rsidRPr="00862B85">
                              <w:rPr>
                                <w:rFonts w:ascii="Arial" w:hAnsi="Arial" w:cs="Arial"/>
                                <w:i/>
                                <w:iCs/>
                                <w:color w:val="000000" w:themeColor="text1"/>
                                <w:sz w:val="18"/>
                                <w:szCs w:val="20"/>
                              </w:rPr>
                              <w:t xml:space="preserve"> (n = </w:t>
                            </w:r>
                            <w:r w:rsidRPr="00862B85">
                              <w:rPr>
                                <w:rFonts w:ascii="Arial" w:hAnsi="Arial" w:cs="Arial"/>
                                <w:i/>
                                <w:iCs/>
                                <w:color w:val="000000" w:themeColor="text1"/>
                                <w:sz w:val="18"/>
                                <w:szCs w:val="20"/>
                              </w:rPr>
                              <w:t>15</w:t>
                            </w:r>
                            <w:r w:rsidR="00AA103F" w:rsidRPr="00862B85">
                              <w:rPr>
                                <w:rFonts w:ascii="Arial" w:hAnsi="Arial" w:cs="Arial"/>
                                <w:i/>
                                <w:iCs/>
                                <w:color w:val="000000" w:themeColor="text1"/>
                                <w:sz w:val="18"/>
                                <w:szCs w:val="20"/>
                              </w:rPr>
                              <w:t>)</w:t>
                            </w:r>
                          </w:p>
                          <w:p w14:paraId="7B824F08" w14:textId="139F1718" w:rsidR="00AA103F" w:rsidRPr="00862B85" w:rsidRDefault="004F78F5" w:rsidP="00AA103F">
                            <w:pPr>
                              <w:spacing w:after="0" w:line="240" w:lineRule="auto"/>
                              <w:ind w:left="284"/>
                              <w:rPr>
                                <w:rFonts w:ascii="Arial" w:hAnsi="Arial" w:cs="Arial"/>
                                <w:i/>
                                <w:iCs/>
                                <w:color w:val="000000" w:themeColor="text1"/>
                                <w:sz w:val="18"/>
                                <w:szCs w:val="20"/>
                              </w:rPr>
                            </w:pPr>
                            <w:r w:rsidRPr="00862B85">
                              <w:rPr>
                                <w:rFonts w:ascii="Arial" w:hAnsi="Arial" w:cs="Arial"/>
                                <w:i/>
                                <w:iCs/>
                                <w:color w:val="000000" w:themeColor="text1"/>
                                <w:sz w:val="18"/>
                                <w:szCs w:val="20"/>
                              </w:rPr>
                              <w:t>Ineligible study design</w:t>
                            </w:r>
                            <w:r w:rsidR="00AA103F" w:rsidRPr="00862B85">
                              <w:rPr>
                                <w:rFonts w:ascii="Arial" w:hAnsi="Arial" w:cs="Arial"/>
                                <w:i/>
                                <w:iCs/>
                                <w:color w:val="000000" w:themeColor="text1"/>
                                <w:sz w:val="18"/>
                                <w:szCs w:val="20"/>
                              </w:rPr>
                              <w:t xml:space="preserve"> (n = </w:t>
                            </w:r>
                            <w:r w:rsidRPr="00862B85">
                              <w:rPr>
                                <w:rFonts w:ascii="Arial" w:hAnsi="Arial" w:cs="Arial"/>
                                <w:i/>
                                <w:iCs/>
                                <w:color w:val="000000" w:themeColor="text1"/>
                                <w:sz w:val="18"/>
                                <w:szCs w:val="20"/>
                              </w:rPr>
                              <w:t>14</w:t>
                            </w:r>
                            <w:r w:rsidR="00AA103F" w:rsidRPr="00862B85">
                              <w:rPr>
                                <w:rFonts w:ascii="Arial" w:hAnsi="Arial" w:cs="Arial"/>
                                <w:i/>
                                <w:iCs/>
                                <w:color w:val="000000" w:themeColor="text1"/>
                                <w:sz w:val="18"/>
                                <w:szCs w:val="20"/>
                              </w:rPr>
                              <w:t>)</w:t>
                            </w:r>
                          </w:p>
                          <w:p w14:paraId="14A6A8B5" w14:textId="35BD1B9B" w:rsidR="004F78F5" w:rsidRPr="00862B85" w:rsidRDefault="004F78F5" w:rsidP="00AA103F">
                            <w:pPr>
                              <w:spacing w:after="0" w:line="240" w:lineRule="auto"/>
                              <w:ind w:left="284"/>
                              <w:rPr>
                                <w:rFonts w:ascii="Arial" w:hAnsi="Arial" w:cs="Arial"/>
                                <w:i/>
                                <w:iCs/>
                                <w:color w:val="000000" w:themeColor="text1"/>
                                <w:sz w:val="18"/>
                                <w:szCs w:val="20"/>
                              </w:rPr>
                            </w:pPr>
                            <w:r w:rsidRPr="00862B85">
                              <w:rPr>
                                <w:rFonts w:ascii="Arial" w:hAnsi="Arial" w:cs="Arial"/>
                                <w:i/>
                                <w:iCs/>
                                <w:color w:val="000000" w:themeColor="text1"/>
                                <w:sz w:val="18"/>
                                <w:szCs w:val="20"/>
                              </w:rPr>
                              <w:t>Ineligible sodium exposure measurement (n=</w:t>
                            </w:r>
                            <w:r w:rsidR="00862B85" w:rsidRPr="00862B85">
                              <w:rPr>
                                <w:rFonts w:ascii="Arial" w:hAnsi="Arial" w:cs="Arial"/>
                                <w:i/>
                                <w:iCs/>
                                <w:color w:val="000000" w:themeColor="text1"/>
                                <w:sz w:val="18"/>
                                <w:szCs w:val="20"/>
                              </w:rPr>
                              <w:t>8</w:t>
                            </w:r>
                            <w:r w:rsidRPr="00862B85">
                              <w:rPr>
                                <w:rFonts w:ascii="Arial" w:hAnsi="Arial" w:cs="Arial"/>
                                <w:i/>
                                <w:iCs/>
                                <w:color w:val="000000" w:themeColor="text1"/>
                                <w:sz w:val="18"/>
                                <w:szCs w:val="20"/>
                              </w:rPr>
                              <w:t>)</w:t>
                            </w:r>
                          </w:p>
                          <w:p w14:paraId="4A019C6C" w14:textId="600C4C98" w:rsidR="004F78F5" w:rsidRDefault="004F78F5" w:rsidP="00AA103F">
                            <w:pPr>
                              <w:spacing w:after="0" w:line="240" w:lineRule="auto"/>
                              <w:ind w:left="284"/>
                              <w:rPr>
                                <w:rFonts w:ascii="Arial" w:hAnsi="Arial" w:cs="Arial"/>
                                <w:i/>
                                <w:iCs/>
                                <w:color w:val="000000" w:themeColor="text1"/>
                                <w:sz w:val="18"/>
                                <w:szCs w:val="20"/>
                              </w:rPr>
                            </w:pPr>
                            <w:r w:rsidRPr="00862B85">
                              <w:rPr>
                                <w:rFonts w:ascii="Arial" w:hAnsi="Arial" w:cs="Arial"/>
                                <w:i/>
                                <w:iCs/>
                                <w:color w:val="000000" w:themeColor="text1"/>
                                <w:sz w:val="18"/>
                                <w:szCs w:val="20"/>
                              </w:rPr>
                              <w:t>Ineligible population (n=1)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CD37C" id="Rectangle 9" o:spid="_x0000_s1037" style="position:absolute;margin-left:279pt;margin-top:1.35pt;width:203pt;height:11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" filled="f" strokecolor="black [3213]" strokeweight="1pt">
                <v:textbox>
                  <w:txbxContent>
                    <w:p w14:paraId="2607F538" w14:textId="12FD9AC0" w:rsidR="00AA103F" w:rsidRPr="00862B85" w:rsidRDefault="00AA103F" w:rsidP="00AA103F">
                      <w:pPr>
                        <w:spacing w:after="0" w:line="240" w:lineRule="auto"/>
                        <w:rPr>
                          <w:rFonts w:ascii="Arial" w:hAnsi="Arial" w:cs="Arial"/>
                          <w:color w:val="000000" w:themeColor="text1"/>
                          <w:sz w:val="18"/>
                          <w:szCs w:val="20"/>
                        </w:rPr>
                      </w:pPr>
                      <w:r w:rsidRPr="00862B85">
                        <w:rPr>
                          <w:rFonts w:ascii="Arial" w:hAnsi="Arial" w:cs="Arial"/>
                          <w:color w:val="000000" w:themeColor="text1"/>
                          <w:sz w:val="18"/>
                          <w:szCs w:val="20"/>
                        </w:rPr>
                        <w:t>Reports excluded:</w:t>
                      </w:r>
                      <w:r w:rsidR="00C24D32" w:rsidRPr="00862B85">
                        <w:rPr>
                          <w:rFonts w:ascii="Arial" w:hAnsi="Arial" w:cs="Arial"/>
                          <w:color w:val="000000" w:themeColor="text1"/>
                          <w:sz w:val="18"/>
                          <w:szCs w:val="20"/>
                        </w:rPr>
                        <w:t xml:space="preserve"> </w:t>
                      </w:r>
                      <w:r w:rsidR="004F78F5" w:rsidRPr="00862B85">
                        <w:rPr>
                          <w:rFonts w:ascii="Arial" w:hAnsi="Arial" w:cs="Arial"/>
                          <w:color w:val="000000" w:themeColor="text1"/>
                          <w:sz w:val="18"/>
                          <w:szCs w:val="20"/>
                        </w:rPr>
                        <w:t>5</w:t>
                      </w:r>
                      <w:r w:rsidR="00867B3C">
                        <w:rPr>
                          <w:rFonts w:ascii="Arial" w:hAnsi="Arial" w:cs="Arial"/>
                          <w:color w:val="000000" w:themeColor="text1"/>
                          <w:sz w:val="18"/>
                          <w:szCs w:val="20"/>
                        </w:rPr>
                        <w:t>4</w:t>
                      </w:r>
                    </w:p>
                    <w:p w14:paraId="1A572DE1" w14:textId="2C3C3D74" w:rsidR="00AA103F" w:rsidRPr="00862B85" w:rsidRDefault="004F78F5" w:rsidP="00AA103F">
                      <w:pPr>
                        <w:spacing w:after="0" w:line="240" w:lineRule="auto"/>
                        <w:ind w:left="284"/>
                        <w:rPr>
                          <w:rFonts w:ascii="Arial" w:hAnsi="Arial" w:cs="Arial"/>
                          <w:i/>
                          <w:iCs/>
                          <w:color w:val="000000" w:themeColor="text1"/>
                          <w:sz w:val="18"/>
                          <w:szCs w:val="20"/>
                        </w:rPr>
                      </w:pPr>
                      <w:r w:rsidRPr="00862B85">
                        <w:rPr>
                          <w:rFonts w:ascii="Arial" w:hAnsi="Arial" w:cs="Arial"/>
                          <w:i/>
                          <w:iCs/>
                          <w:color w:val="000000" w:themeColor="text1"/>
                          <w:sz w:val="18"/>
                          <w:szCs w:val="20"/>
                        </w:rPr>
                        <w:t>Ineligible outcomes</w:t>
                      </w:r>
                      <w:r w:rsidR="00AA103F" w:rsidRPr="00862B85">
                        <w:rPr>
                          <w:rFonts w:ascii="Arial" w:hAnsi="Arial" w:cs="Arial"/>
                          <w:i/>
                          <w:iCs/>
                          <w:color w:val="000000" w:themeColor="text1"/>
                          <w:sz w:val="18"/>
                          <w:szCs w:val="20"/>
                        </w:rPr>
                        <w:t xml:space="preserve"> (n = </w:t>
                      </w:r>
                      <w:r w:rsidRPr="00862B85">
                        <w:rPr>
                          <w:rFonts w:ascii="Arial" w:hAnsi="Arial" w:cs="Arial"/>
                          <w:i/>
                          <w:iCs/>
                          <w:color w:val="000000" w:themeColor="text1"/>
                          <w:sz w:val="18"/>
                          <w:szCs w:val="20"/>
                        </w:rPr>
                        <w:t>1</w:t>
                      </w:r>
                      <w:r w:rsidR="00F90CA8">
                        <w:rPr>
                          <w:rFonts w:ascii="Arial" w:hAnsi="Arial" w:cs="Arial"/>
                          <w:i/>
                          <w:iCs/>
                          <w:color w:val="000000" w:themeColor="text1"/>
                          <w:sz w:val="18"/>
                          <w:szCs w:val="20"/>
                        </w:rPr>
                        <w:t>6</w:t>
                      </w:r>
                      <w:r w:rsidR="00AA103F" w:rsidRPr="00862B85">
                        <w:rPr>
                          <w:rFonts w:ascii="Arial" w:hAnsi="Arial" w:cs="Arial"/>
                          <w:i/>
                          <w:iCs/>
                          <w:color w:val="000000" w:themeColor="text1"/>
                          <w:sz w:val="18"/>
                          <w:szCs w:val="20"/>
                        </w:rPr>
                        <w:t>)</w:t>
                      </w:r>
                    </w:p>
                    <w:p w14:paraId="1D87BD9F" w14:textId="453D0903" w:rsidR="00AA103F" w:rsidRPr="00862B85" w:rsidRDefault="004F78F5" w:rsidP="00AA103F">
                      <w:pPr>
                        <w:spacing w:after="0" w:line="240" w:lineRule="auto"/>
                        <w:ind w:left="284"/>
                        <w:rPr>
                          <w:rFonts w:ascii="Arial" w:hAnsi="Arial" w:cs="Arial"/>
                          <w:i/>
                          <w:iCs/>
                          <w:color w:val="000000" w:themeColor="text1"/>
                          <w:sz w:val="18"/>
                          <w:szCs w:val="20"/>
                        </w:rPr>
                      </w:pPr>
                      <w:r w:rsidRPr="00862B85">
                        <w:rPr>
                          <w:rFonts w:ascii="Arial" w:hAnsi="Arial" w:cs="Arial"/>
                          <w:i/>
                          <w:iCs/>
                          <w:color w:val="000000" w:themeColor="text1"/>
                          <w:sz w:val="18"/>
                          <w:szCs w:val="20"/>
                        </w:rPr>
                        <w:t>Ineligible intervention / exposure</w:t>
                      </w:r>
                      <w:r w:rsidR="00AA103F" w:rsidRPr="00862B85">
                        <w:rPr>
                          <w:rFonts w:ascii="Arial" w:hAnsi="Arial" w:cs="Arial"/>
                          <w:i/>
                          <w:iCs/>
                          <w:color w:val="000000" w:themeColor="text1"/>
                          <w:sz w:val="18"/>
                          <w:szCs w:val="20"/>
                        </w:rPr>
                        <w:t xml:space="preserve"> (n = </w:t>
                      </w:r>
                      <w:r w:rsidRPr="00862B85">
                        <w:rPr>
                          <w:rFonts w:ascii="Arial" w:hAnsi="Arial" w:cs="Arial"/>
                          <w:i/>
                          <w:iCs/>
                          <w:color w:val="000000" w:themeColor="text1"/>
                          <w:sz w:val="18"/>
                          <w:szCs w:val="20"/>
                        </w:rPr>
                        <w:t>15</w:t>
                      </w:r>
                      <w:r w:rsidR="00AA103F" w:rsidRPr="00862B85">
                        <w:rPr>
                          <w:rFonts w:ascii="Arial" w:hAnsi="Arial" w:cs="Arial"/>
                          <w:i/>
                          <w:iCs/>
                          <w:color w:val="000000" w:themeColor="text1"/>
                          <w:sz w:val="18"/>
                          <w:szCs w:val="20"/>
                        </w:rPr>
                        <w:t>)</w:t>
                      </w:r>
                    </w:p>
                    <w:p w14:paraId="7B824F08" w14:textId="139F1718" w:rsidR="00AA103F" w:rsidRPr="00862B85" w:rsidRDefault="004F78F5" w:rsidP="00AA103F">
                      <w:pPr>
                        <w:spacing w:after="0" w:line="240" w:lineRule="auto"/>
                        <w:ind w:left="284"/>
                        <w:rPr>
                          <w:rFonts w:ascii="Arial" w:hAnsi="Arial" w:cs="Arial"/>
                          <w:i/>
                          <w:iCs/>
                          <w:color w:val="000000" w:themeColor="text1"/>
                          <w:sz w:val="18"/>
                          <w:szCs w:val="20"/>
                        </w:rPr>
                      </w:pPr>
                      <w:r w:rsidRPr="00862B85">
                        <w:rPr>
                          <w:rFonts w:ascii="Arial" w:hAnsi="Arial" w:cs="Arial"/>
                          <w:i/>
                          <w:iCs/>
                          <w:color w:val="000000" w:themeColor="text1"/>
                          <w:sz w:val="18"/>
                          <w:szCs w:val="20"/>
                        </w:rPr>
                        <w:t>Ineligible study design</w:t>
                      </w:r>
                      <w:r w:rsidR="00AA103F" w:rsidRPr="00862B85">
                        <w:rPr>
                          <w:rFonts w:ascii="Arial" w:hAnsi="Arial" w:cs="Arial"/>
                          <w:i/>
                          <w:iCs/>
                          <w:color w:val="000000" w:themeColor="text1"/>
                          <w:sz w:val="18"/>
                          <w:szCs w:val="20"/>
                        </w:rPr>
                        <w:t xml:space="preserve"> (n = </w:t>
                      </w:r>
                      <w:r w:rsidRPr="00862B85">
                        <w:rPr>
                          <w:rFonts w:ascii="Arial" w:hAnsi="Arial" w:cs="Arial"/>
                          <w:i/>
                          <w:iCs/>
                          <w:color w:val="000000" w:themeColor="text1"/>
                          <w:sz w:val="18"/>
                          <w:szCs w:val="20"/>
                        </w:rPr>
                        <w:t>14</w:t>
                      </w:r>
                      <w:r w:rsidR="00AA103F" w:rsidRPr="00862B85">
                        <w:rPr>
                          <w:rFonts w:ascii="Arial" w:hAnsi="Arial" w:cs="Arial"/>
                          <w:i/>
                          <w:iCs/>
                          <w:color w:val="000000" w:themeColor="text1"/>
                          <w:sz w:val="18"/>
                          <w:szCs w:val="20"/>
                        </w:rPr>
                        <w:t>)</w:t>
                      </w:r>
                    </w:p>
                    <w:p w14:paraId="14A6A8B5" w14:textId="35BD1B9B" w:rsidR="004F78F5" w:rsidRPr="00862B85" w:rsidRDefault="004F78F5" w:rsidP="00AA103F">
                      <w:pPr>
                        <w:spacing w:after="0" w:line="240" w:lineRule="auto"/>
                        <w:ind w:left="284"/>
                        <w:rPr>
                          <w:rFonts w:ascii="Arial" w:hAnsi="Arial" w:cs="Arial"/>
                          <w:i/>
                          <w:iCs/>
                          <w:color w:val="000000" w:themeColor="text1"/>
                          <w:sz w:val="18"/>
                          <w:szCs w:val="20"/>
                        </w:rPr>
                      </w:pPr>
                      <w:r w:rsidRPr="00862B85">
                        <w:rPr>
                          <w:rFonts w:ascii="Arial" w:hAnsi="Arial" w:cs="Arial"/>
                          <w:i/>
                          <w:iCs/>
                          <w:color w:val="000000" w:themeColor="text1"/>
                          <w:sz w:val="18"/>
                          <w:szCs w:val="20"/>
                        </w:rPr>
                        <w:t>Ineligible sodium exposure measurement (n=</w:t>
                      </w:r>
                      <w:r w:rsidR="00862B85" w:rsidRPr="00862B85">
                        <w:rPr>
                          <w:rFonts w:ascii="Arial" w:hAnsi="Arial" w:cs="Arial"/>
                          <w:i/>
                          <w:iCs/>
                          <w:color w:val="000000" w:themeColor="text1"/>
                          <w:sz w:val="18"/>
                          <w:szCs w:val="20"/>
                        </w:rPr>
                        <w:t>8</w:t>
                      </w:r>
                      <w:r w:rsidRPr="00862B85">
                        <w:rPr>
                          <w:rFonts w:ascii="Arial" w:hAnsi="Arial" w:cs="Arial"/>
                          <w:i/>
                          <w:iCs/>
                          <w:color w:val="000000" w:themeColor="text1"/>
                          <w:sz w:val="18"/>
                          <w:szCs w:val="20"/>
                        </w:rPr>
                        <w:t>)</w:t>
                      </w:r>
                    </w:p>
                    <w:p w14:paraId="4A019C6C" w14:textId="600C4C98" w:rsidR="004F78F5" w:rsidRDefault="004F78F5" w:rsidP="00AA103F">
                      <w:pPr>
                        <w:spacing w:after="0" w:line="240" w:lineRule="auto"/>
                        <w:ind w:left="284"/>
                        <w:rPr>
                          <w:rFonts w:ascii="Arial" w:hAnsi="Arial" w:cs="Arial"/>
                          <w:i/>
                          <w:iCs/>
                          <w:color w:val="000000" w:themeColor="text1"/>
                          <w:sz w:val="18"/>
                          <w:szCs w:val="20"/>
                        </w:rPr>
                      </w:pPr>
                      <w:r w:rsidRPr="00862B85">
                        <w:rPr>
                          <w:rFonts w:ascii="Arial" w:hAnsi="Arial" w:cs="Arial"/>
                          <w:i/>
                          <w:iCs/>
                          <w:color w:val="000000" w:themeColor="text1"/>
                          <w:sz w:val="18"/>
                          <w:szCs w:val="20"/>
                        </w:rPr>
                        <w:t>Ineligible population (n=1)</w:t>
                      </w:r>
                    </w:p>
                  </w:txbxContent>
                </v:textbox>
              </v:rect>
            </w:pict>
          </mc:Fallback>
        </mc:AlternateContent>
      </w:r>
      <w:r w:rsidRPr="00560609">
        <w:rPr>
          <w:noProof/>
        </w:rPr>
        <mc:AlternateContent>
          <mc:Choice Requires="wps">
            <w:drawing>
              <wp:anchor distT="0" distB="0" distL="114300" distR="114300" simplePos="0" relativeHeight="251658245" behindDoc="0" locked="0" layoutInCell="1" allowOverlap="1" wp14:anchorId="6AE69078" wp14:editId="2599C705">
                <wp:simplePos x="0" y="0"/>
                <wp:positionH relativeFrom="column">
                  <wp:posOffset>574675</wp:posOffset>
                </wp:positionH>
                <wp:positionV relativeFrom="paragraph">
                  <wp:posOffset>47625</wp:posOffset>
                </wp:positionV>
                <wp:extent cx="2374900" cy="526415"/>
                <wp:effectExtent l="0" t="0" r="25400" b="26035"/>
                <wp:wrapNone/>
                <wp:docPr id="8" name="Rectangle 8"/>
                <wp:cNvGraphicFramePr/>
                <a:graphic xmlns:a="http://schemas.openxmlformats.org/drawingml/2006/main">
                  <a:graphicData uri="http://schemas.microsoft.com/office/word/2010/wordprocessingShape">
                    <wps:wsp>
                      <wps:cNvSpPr/>
                      <wps:spPr>
                        <a:xfrm>
                          <a:off x="0" y="0"/>
                          <a:ext cx="23749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9719" w14:textId="77777777" w:rsidR="00AA103F" w:rsidRDefault="00AA103F" w:rsidP="00AA103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6CB5818E" w14:textId="16F27321" w:rsidR="00AA103F" w:rsidRPr="00560609" w:rsidRDefault="00AA103F" w:rsidP="00AA103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 </w:t>
                            </w:r>
                            <w:r w:rsidR="009465DF">
                              <w:rPr>
                                <w:rFonts w:ascii="Arial" w:hAnsi="Arial" w:cs="Arial"/>
                                <w:color w:val="000000" w:themeColor="text1"/>
                                <w:sz w:val="18"/>
                                <w:szCs w:val="20"/>
                              </w:rPr>
                              <w:t>64</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69078" id="Rectangle 8" o:spid="_x0000_s1038" style="position:absolute;margin-left:45.25pt;margin-top:3.75pt;width:187pt;height:41.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" filled="f" strokecolor="black [3213]" strokeweight="1pt">
                <v:textbox>
                  <w:txbxContent>
                    <w:p w14:paraId="6ED49719" w14:textId="77777777" w:rsidR="00AA103F" w:rsidRDefault="00AA103F" w:rsidP="00AA103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6CB5818E" w14:textId="16F27321" w:rsidR="00AA103F" w:rsidRPr="00560609" w:rsidRDefault="00AA103F" w:rsidP="00AA103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 </w:t>
                      </w:r>
                      <w:r w:rsidR="009465DF">
                        <w:rPr>
                          <w:rFonts w:ascii="Arial" w:hAnsi="Arial" w:cs="Arial"/>
                          <w:color w:val="000000" w:themeColor="text1"/>
                          <w:sz w:val="18"/>
                          <w:szCs w:val="20"/>
                        </w:rPr>
                        <w:t>64</w:t>
                      </w:r>
                      <w:r>
                        <w:rPr>
                          <w:rFonts w:ascii="Arial" w:hAnsi="Arial" w:cs="Arial"/>
                          <w:color w:val="000000" w:themeColor="text1"/>
                          <w:sz w:val="18"/>
                          <w:szCs w:val="20"/>
                        </w:rPr>
                        <w:t>)</w:t>
                      </w:r>
                    </w:p>
                  </w:txbxContent>
                </v:textbox>
              </v:rect>
            </w:pict>
          </mc:Fallback>
        </mc:AlternateContent>
      </w:r>
    </w:p>
    <w:p w14:paraId="70E5BBA4" w14:textId="65CFF599" w:rsidR="00AA103F" w:rsidRDefault="008954EC" w:rsidP="00AA103F">
      <w:pPr>
        <w:spacing w:after="0" w:line="240" w:lineRule="auto"/>
      </w:pPr>
      <w:r>
        <w:rPr>
          <w:noProof/>
        </w:rPr>
        <mc:AlternateContent>
          <mc:Choice Requires="wps">
            <w:drawing>
              <wp:anchor distT="0" distB="0" distL="114300" distR="114300" simplePos="0" relativeHeight="251658250" behindDoc="0" locked="0" layoutInCell="1" allowOverlap="1" wp14:anchorId="4F6DA03E" wp14:editId="669D6ECA">
                <wp:simplePos x="0" y="0"/>
                <wp:positionH relativeFrom="column">
                  <wp:posOffset>2957830</wp:posOffset>
                </wp:positionH>
                <wp:positionV relativeFrom="paragraph">
                  <wp:posOffset>132080</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FA681D6">
              <v:shape id="Straight Arrow Connector 17" style="position:absolute;margin-left:232.9pt;margin-top:10.4pt;width:44.35pt;height:0;z-index:2516582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" w14:anchorId="3989DCBC">
                <v:stroke joinstyle="miter" endarrow="block"/>
              </v:shape>
            </w:pict>
          </mc:Fallback>
        </mc:AlternateContent>
      </w:r>
    </w:p>
    <w:p w14:paraId="385C7286" w14:textId="693725B8" w:rsidR="00AA103F" w:rsidRDefault="00AA103F" w:rsidP="00AA103F">
      <w:pPr>
        <w:spacing w:after="0" w:line="240" w:lineRule="auto"/>
      </w:pPr>
    </w:p>
    <w:p w14:paraId="4DA2408B" w14:textId="18DD1C7F" w:rsidR="00AA103F" w:rsidRDefault="008954EC" w:rsidP="00AA103F">
      <w:pPr>
        <w:spacing w:after="0" w:line="240" w:lineRule="auto"/>
      </w:pPr>
      <w:r>
        <w:rPr>
          <w:noProof/>
        </w:rPr>
        <mc:AlternateContent>
          <mc:Choice Requires="wps">
            <w:drawing>
              <wp:anchor distT="0" distB="0" distL="114300" distR="114300" simplePos="0" relativeHeight="251658257" behindDoc="0" locked="0" layoutInCell="1" allowOverlap="1" wp14:anchorId="4BFFB43C" wp14:editId="16784D4B">
                <wp:simplePos x="0" y="0"/>
                <wp:positionH relativeFrom="column">
                  <wp:posOffset>1600200</wp:posOffset>
                </wp:positionH>
                <wp:positionV relativeFrom="paragraph">
                  <wp:posOffset>74930</wp:posOffset>
                </wp:positionV>
                <wp:extent cx="0" cy="333375"/>
                <wp:effectExtent l="76200" t="0" r="76200" b="47625"/>
                <wp:wrapNone/>
                <wp:docPr id="19" name="Straight Arrow Connector 19"/>
                <wp:cNvGraphicFramePr/>
                <a:graphic xmlns:a="http://schemas.openxmlformats.org/drawingml/2006/main">
                  <a:graphicData uri="http://schemas.microsoft.com/office/word/2010/wordprocessingShape">
                    <wps:wsp>
                      <wps:cNvCnPr/>
                      <wps:spPr>
                        <a:xfrm flipH="1">
                          <a:off x="0" y="0"/>
                          <a:ext cx="0" cy="3333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32C74C3">
              <v:shape id="Straight Arrow Connector 19" style="position:absolute;margin-left:126pt;margin-top:5.9pt;width:0;height:26.25pt;flip:x;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" w14:anchorId="5DCF180D">
                <v:stroke joinstyle="miter" endarrow="block"/>
              </v:shape>
            </w:pict>
          </mc:Fallback>
        </mc:AlternateContent>
      </w:r>
    </w:p>
    <w:p w14:paraId="6492E15F" w14:textId="1E7F7F1A" w:rsidR="00AA103F" w:rsidRDefault="00AA103F" w:rsidP="00AA103F">
      <w:pPr>
        <w:spacing w:after="0" w:line="240" w:lineRule="auto"/>
      </w:pPr>
    </w:p>
    <w:p w14:paraId="71DCE149" w14:textId="1EC98F55" w:rsidR="00AA103F" w:rsidRDefault="008954EC" w:rsidP="00AA103F">
      <w:pPr>
        <w:spacing w:after="0" w:line="240" w:lineRule="auto"/>
      </w:pPr>
      <w:r w:rsidRPr="00560609">
        <w:rPr>
          <w:noProof/>
        </w:rPr>
        <mc:AlternateContent>
          <mc:Choice Requires="wps">
            <w:drawing>
              <wp:anchor distT="0" distB="0" distL="114300" distR="114300" simplePos="0" relativeHeight="251658247" behindDoc="0" locked="0" layoutInCell="1" allowOverlap="1" wp14:anchorId="708F8369" wp14:editId="75ED76D4">
                <wp:simplePos x="0" y="0"/>
                <wp:positionH relativeFrom="column">
                  <wp:posOffset>539750</wp:posOffset>
                </wp:positionH>
                <wp:positionV relativeFrom="paragraph">
                  <wp:posOffset>72390</wp:posOffset>
                </wp:positionV>
                <wp:extent cx="2368550" cy="831850"/>
                <wp:effectExtent l="0" t="0" r="12700" b="25400"/>
                <wp:wrapNone/>
                <wp:docPr id="13" name="Rectangle 13"/>
                <wp:cNvGraphicFramePr/>
                <a:graphic xmlns:a="http://schemas.openxmlformats.org/drawingml/2006/main">
                  <a:graphicData uri="http://schemas.microsoft.com/office/word/2010/wordprocessingShape">
                    <wps:wsp>
                      <wps:cNvSpPr/>
                      <wps:spPr>
                        <a:xfrm>
                          <a:off x="0" y="0"/>
                          <a:ext cx="2368550" cy="831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3677FF" w14:textId="789147A4" w:rsidR="00AA103F" w:rsidRDefault="00D514A7" w:rsidP="00AA103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Included systematic reviews </w:t>
                            </w:r>
                          </w:p>
                          <w:p w14:paraId="47A66A0C" w14:textId="515AD1F8" w:rsidR="00AA103F" w:rsidRPr="007833EE" w:rsidRDefault="00AA103F" w:rsidP="00AA103F">
                            <w:pPr>
                              <w:spacing w:after="0" w:line="240" w:lineRule="auto"/>
                              <w:rPr>
                                <w:rFonts w:ascii="Arial" w:hAnsi="Arial" w:cs="Arial"/>
                                <w:color w:val="000000" w:themeColor="text1"/>
                                <w:sz w:val="18"/>
                                <w:szCs w:val="20"/>
                              </w:rPr>
                            </w:pPr>
                            <w:r w:rsidRPr="007833EE">
                              <w:rPr>
                                <w:rFonts w:ascii="Arial" w:hAnsi="Arial" w:cs="Arial"/>
                                <w:color w:val="000000" w:themeColor="text1"/>
                                <w:sz w:val="18"/>
                                <w:szCs w:val="20"/>
                              </w:rPr>
                              <w:t xml:space="preserve">(n = </w:t>
                            </w:r>
                            <w:r w:rsidR="007833EE" w:rsidRPr="007833EE">
                              <w:rPr>
                                <w:rFonts w:ascii="Arial" w:hAnsi="Arial" w:cs="Arial"/>
                                <w:color w:val="000000" w:themeColor="text1"/>
                                <w:sz w:val="18"/>
                                <w:szCs w:val="20"/>
                              </w:rPr>
                              <w:t>1</w:t>
                            </w:r>
                            <w:r w:rsidR="00867B3C">
                              <w:rPr>
                                <w:rFonts w:ascii="Arial" w:hAnsi="Arial" w:cs="Arial"/>
                                <w:color w:val="000000" w:themeColor="text1"/>
                                <w:sz w:val="18"/>
                                <w:szCs w:val="20"/>
                              </w:rPr>
                              <w:t>0</w:t>
                            </w:r>
                            <w:r w:rsidRPr="007833EE">
                              <w:rPr>
                                <w:rFonts w:ascii="Arial" w:hAnsi="Arial" w:cs="Arial"/>
                                <w:color w:val="000000" w:themeColor="text1"/>
                                <w:sz w:val="18"/>
                                <w:szCs w:val="20"/>
                              </w:rPr>
                              <w:t>)</w:t>
                            </w:r>
                          </w:p>
                          <w:p w14:paraId="1C911AED" w14:textId="7185819D" w:rsidR="007B5457" w:rsidRPr="007833EE" w:rsidRDefault="007B5457" w:rsidP="00AA103F">
                            <w:pPr>
                              <w:spacing w:after="0" w:line="240" w:lineRule="auto"/>
                              <w:rPr>
                                <w:rFonts w:ascii="Arial" w:hAnsi="Arial" w:cs="Arial"/>
                                <w:color w:val="000000" w:themeColor="text1"/>
                                <w:sz w:val="18"/>
                                <w:szCs w:val="20"/>
                              </w:rPr>
                            </w:pPr>
                            <w:r w:rsidRPr="007833EE">
                              <w:rPr>
                                <w:rFonts w:ascii="Arial" w:hAnsi="Arial" w:cs="Arial"/>
                                <w:color w:val="000000" w:themeColor="text1"/>
                                <w:sz w:val="18"/>
                                <w:szCs w:val="20"/>
                              </w:rPr>
                              <w:t>Comprising:</w:t>
                            </w:r>
                          </w:p>
                          <w:p w14:paraId="53325864" w14:textId="4E583B82" w:rsidR="007B5457" w:rsidRPr="007833EE" w:rsidRDefault="00813F7B" w:rsidP="00AA103F">
                            <w:pPr>
                              <w:spacing w:after="0" w:line="240" w:lineRule="auto"/>
                              <w:rPr>
                                <w:rFonts w:ascii="Arial" w:hAnsi="Arial" w:cs="Arial"/>
                                <w:color w:val="000000" w:themeColor="text1"/>
                                <w:sz w:val="18"/>
                                <w:szCs w:val="20"/>
                              </w:rPr>
                            </w:pPr>
                            <w:r>
                              <w:rPr>
                                <w:rFonts w:ascii="Arial" w:hAnsi="Arial" w:cs="Arial"/>
                                <w:color w:val="000000" w:themeColor="text1"/>
                                <w:sz w:val="18"/>
                                <w:szCs w:val="20"/>
                              </w:rPr>
                              <w:t>Review of i</w:t>
                            </w:r>
                            <w:r w:rsidR="007B5457" w:rsidRPr="007833EE">
                              <w:rPr>
                                <w:rFonts w:ascii="Arial" w:hAnsi="Arial" w:cs="Arial"/>
                                <w:color w:val="000000" w:themeColor="text1"/>
                                <w:sz w:val="18"/>
                                <w:szCs w:val="20"/>
                              </w:rPr>
                              <w:t xml:space="preserve">ntake-health outcomes (n= </w:t>
                            </w:r>
                            <w:r w:rsidR="007833EE" w:rsidRPr="007833EE">
                              <w:rPr>
                                <w:rFonts w:ascii="Arial" w:hAnsi="Arial" w:cs="Arial"/>
                                <w:color w:val="000000" w:themeColor="text1"/>
                                <w:sz w:val="18"/>
                                <w:szCs w:val="20"/>
                              </w:rPr>
                              <w:t>9</w:t>
                            </w:r>
                            <w:r w:rsidR="007B5457" w:rsidRPr="007833EE">
                              <w:rPr>
                                <w:rFonts w:ascii="Arial" w:hAnsi="Arial" w:cs="Arial"/>
                                <w:color w:val="000000" w:themeColor="text1"/>
                                <w:sz w:val="18"/>
                                <w:szCs w:val="20"/>
                              </w:rPr>
                              <w:t>)</w:t>
                            </w:r>
                          </w:p>
                          <w:p w14:paraId="2F3A0BA0" w14:textId="5DFB2B30" w:rsidR="007B5457" w:rsidRDefault="00813F7B">
                            <w:r>
                              <w:rPr>
                                <w:rFonts w:ascii="Arial" w:hAnsi="Arial" w:cs="Arial"/>
                                <w:color w:val="000000" w:themeColor="text1"/>
                                <w:sz w:val="18"/>
                                <w:szCs w:val="20"/>
                              </w:rPr>
                              <w:t>AHRQ (2018) systematic review (n=1)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F8369" id="Rectangle 13" o:spid="_x0000_s1039" style="position:absolute;margin-left:42.5pt;margin-top:5.7pt;width:186.5pt;height:6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" filled="f" strokecolor="black [3213]" strokeweight="1pt">
                <v:textbox>
                  <w:txbxContent>
                    <w:p w14:paraId="5F3677FF" w14:textId="789147A4" w:rsidR="00AA103F" w:rsidRDefault="00D514A7" w:rsidP="00AA103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Included systematic reviews </w:t>
                      </w:r>
                    </w:p>
                    <w:p w14:paraId="47A66A0C" w14:textId="515AD1F8" w:rsidR="00AA103F" w:rsidRPr="007833EE" w:rsidRDefault="00AA103F" w:rsidP="00AA103F">
                      <w:pPr>
                        <w:spacing w:after="0" w:line="240" w:lineRule="auto"/>
                        <w:rPr>
                          <w:rFonts w:ascii="Arial" w:hAnsi="Arial" w:cs="Arial"/>
                          <w:color w:val="000000" w:themeColor="text1"/>
                          <w:sz w:val="18"/>
                          <w:szCs w:val="20"/>
                        </w:rPr>
                      </w:pPr>
                      <w:r w:rsidRPr="007833EE">
                        <w:rPr>
                          <w:rFonts w:ascii="Arial" w:hAnsi="Arial" w:cs="Arial"/>
                          <w:color w:val="000000" w:themeColor="text1"/>
                          <w:sz w:val="18"/>
                          <w:szCs w:val="20"/>
                        </w:rPr>
                        <w:t xml:space="preserve">(n = </w:t>
                      </w:r>
                      <w:r w:rsidR="007833EE" w:rsidRPr="007833EE">
                        <w:rPr>
                          <w:rFonts w:ascii="Arial" w:hAnsi="Arial" w:cs="Arial"/>
                          <w:color w:val="000000" w:themeColor="text1"/>
                          <w:sz w:val="18"/>
                          <w:szCs w:val="20"/>
                        </w:rPr>
                        <w:t>1</w:t>
                      </w:r>
                      <w:r w:rsidR="00867B3C">
                        <w:rPr>
                          <w:rFonts w:ascii="Arial" w:hAnsi="Arial" w:cs="Arial"/>
                          <w:color w:val="000000" w:themeColor="text1"/>
                          <w:sz w:val="18"/>
                          <w:szCs w:val="20"/>
                        </w:rPr>
                        <w:t>0</w:t>
                      </w:r>
                      <w:r w:rsidRPr="007833EE">
                        <w:rPr>
                          <w:rFonts w:ascii="Arial" w:hAnsi="Arial" w:cs="Arial"/>
                          <w:color w:val="000000" w:themeColor="text1"/>
                          <w:sz w:val="18"/>
                          <w:szCs w:val="20"/>
                        </w:rPr>
                        <w:t>)</w:t>
                      </w:r>
                    </w:p>
                    <w:p w14:paraId="1C911AED" w14:textId="7185819D" w:rsidR="007B5457" w:rsidRPr="007833EE" w:rsidRDefault="007B5457" w:rsidP="00AA103F">
                      <w:pPr>
                        <w:spacing w:after="0" w:line="240" w:lineRule="auto"/>
                        <w:rPr>
                          <w:rFonts w:ascii="Arial" w:hAnsi="Arial" w:cs="Arial"/>
                          <w:color w:val="000000" w:themeColor="text1"/>
                          <w:sz w:val="18"/>
                          <w:szCs w:val="20"/>
                        </w:rPr>
                      </w:pPr>
                      <w:r w:rsidRPr="007833EE">
                        <w:rPr>
                          <w:rFonts w:ascii="Arial" w:hAnsi="Arial" w:cs="Arial"/>
                          <w:color w:val="000000" w:themeColor="text1"/>
                          <w:sz w:val="18"/>
                          <w:szCs w:val="20"/>
                        </w:rPr>
                        <w:t>Comprising:</w:t>
                      </w:r>
                    </w:p>
                    <w:p w14:paraId="53325864" w14:textId="4E583B82" w:rsidR="007B5457" w:rsidRPr="007833EE" w:rsidRDefault="00813F7B" w:rsidP="00AA103F">
                      <w:pPr>
                        <w:spacing w:after="0" w:line="240" w:lineRule="auto"/>
                        <w:rPr>
                          <w:rFonts w:ascii="Arial" w:hAnsi="Arial" w:cs="Arial"/>
                          <w:color w:val="000000" w:themeColor="text1"/>
                          <w:sz w:val="18"/>
                          <w:szCs w:val="20"/>
                        </w:rPr>
                      </w:pPr>
                      <w:r>
                        <w:rPr>
                          <w:rFonts w:ascii="Arial" w:hAnsi="Arial" w:cs="Arial"/>
                          <w:color w:val="000000" w:themeColor="text1"/>
                          <w:sz w:val="18"/>
                          <w:szCs w:val="20"/>
                        </w:rPr>
                        <w:t>Review of i</w:t>
                      </w:r>
                      <w:r w:rsidR="007B5457" w:rsidRPr="007833EE">
                        <w:rPr>
                          <w:rFonts w:ascii="Arial" w:hAnsi="Arial" w:cs="Arial"/>
                          <w:color w:val="000000" w:themeColor="text1"/>
                          <w:sz w:val="18"/>
                          <w:szCs w:val="20"/>
                        </w:rPr>
                        <w:t xml:space="preserve">ntake-health outcomes (n= </w:t>
                      </w:r>
                      <w:r w:rsidR="007833EE" w:rsidRPr="007833EE">
                        <w:rPr>
                          <w:rFonts w:ascii="Arial" w:hAnsi="Arial" w:cs="Arial"/>
                          <w:color w:val="000000" w:themeColor="text1"/>
                          <w:sz w:val="18"/>
                          <w:szCs w:val="20"/>
                        </w:rPr>
                        <w:t>9</w:t>
                      </w:r>
                      <w:r w:rsidR="007B5457" w:rsidRPr="007833EE">
                        <w:rPr>
                          <w:rFonts w:ascii="Arial" w:hAnsi="Arial" w:cs="Arial"/>
                          <w:color w:val="000000" w:themeColor="text1"/>
                          <w:sz w:val="18"/>
                          <w:szCs w:val="20"/>
                        </w:rPr>
                        <w:t>)</w:t>
                      </w:r>
                    </w:p>
                    <w:p w14:paraId="2F3A0BA0" w14:textId="5DFB2B30" w:rsidR="007B5457" w:rsidRDefault="00813F7B">
                      <w:r>
                        <w:rPr>
                          <w:rFonts w:ascii="Arial" w:hAnsi="Arial" w:cs="Arial"/>
                          <w:color w:val="000000" w:themeColor="text1"/>
                          <w:sz w:val="18"/>
                          <w:szCs w:val="20"/>
                        </w:rPr>
                        <w:t>AHRQ (2018) systematic review (n=1)</w:t>
                      </w:r>
                    </w:p>
                  </w:txbxContent>
                </v:textbox>
              </v:rect>
            </w:pict>
          </mc:Fallback>
        </mc:AlternateContent>
      </w:r>
    </w:p>
    <w:p w14:paraId="41BB9D50" w14:textId="20001619" w:rsidR="00AA103F" w:rsidRDefault="008954EC" w:rsidP="00AA103F">
      <w:pPr>
        <w:spacing w:after="0" w:line="240" w:lineRule="auto"/>
      </w:pPr>
      <w:r>
        <w:rPr>
          <w:noProof/>
        </w:rPr>
        <mc:AlternateContent>
          <mc:Choice Requires="wps">
            <w:drawing>
              <wp:anchor distT="0" distB="0" distL="114300" distR="114300" simplePos="0" relativeHeight="251658254" behindDoc="0" locked="0" layoutInCell="1" allowOverlap="1" wp14:anchorId="45BE1E5C" wp14:editId="73242860">
                <wp:simplePos x="0" y="0"/>
                <wp:positionH relativeFrom="column">
                  <wp:posOffset>-171450</wp:posOffset>
                </wp:positionH>
                <wp:positionV relativeFrom="paragraph">
                  <wp:posOffset>188595</wp:posOffset>
                </wp:positionV>
                <wp:extent cx="833755" cy="262890"/>
                <wp:effectExtent l="0" t="317" r="23177" b="23178"/>
                <wp:wrapNone/>
                <wp:docPr id="33" name="Flowchart: Alternate Process 33"/>
                <wp:cNvGraphicFramePr/>
                <a:graphic xmlns:a="http://schemas.openxmlformats.org/drawingml/2006/main">
                  <a:graphicData uri="http://schemas.microsoft.com/office/word/2010/wordprocessingShape">
                    <wps:wsp>
                      <wps:cNvSpPr/>
                      <wps:spPr>
                        <a:xfrm rot="16200000">
                          <a:off x="0" y="0"/>
                          <a:ext cx="83375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40D41DA" w14:textId="77777777" w:rsidR="00AA103F" w:rsidRPr="001502CF" w:rsidRDefault="00AA103F" w:rsidP="00AA103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E1E5C" id="Flowchart: Alternate Process 33" o:spid="_x0000_s1040" type="#_x0000_t176" style="position:absolute;margin-left:-13.5pt;margin-top:14.85pt;width:65.65pt;height:20.7pt;rotation:-90;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" fillcolor="#d86dcb [1944]" strokecolor="black [3213]" strokeweight="1pt">
                <v:textbox>
                  <w:txbxContent>
                    <w:p w14:paraId="340D41DA" w14:textId="77777777" w:rsidR="00AA103F" w:rsidRPr="001502CF" w:rsidRDefault="00AA103F" w:rsidP="00AA103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558EE033" w14:textId="551FBCA9" w:rsidR="00AA103F" w:rsidRDefault="00AA103F" w:rsidP="00AA103F">
      <w:pPr>
        <w:spacing w:after="0" w:line="240" w:lineRule="auto"/>
      </w:pPr>
    </w:p>
    <w:p w14:paraId="653BF212" w14:textId="683DA56C" w:rsidR="00AA103F" w:rsidRDefault="00AA103F" w:rsidP="00AA103F">
      <w:pPr>
        <w:spacing w:after="0" w:line="240" w:lineRule="auto"/>
      </w:pPr>
    </w:p>
    <w:p w14:paraId="47C28BCF" w14:textId="5451732A" w:rsidR="00AA103F" w:rsidRDefault="00AA103F" w:rsidP="00AA103F">
      <w:pPr>
        <w:spacing w:after="0" w:line="240" w:lineRule="auto"/>
      </w:pPr>
    </w:p>
    <w:p w14:paraId="0D7A53ED" w14:textId="66731FDE" w:rsidR="00AA103F" w:rsidRDefault="00AA103F" w:rsidP="00AA103F">
      <w:pPr>
        <w:spacing w:after="0" w:line="240" w:lineRule="auto"/>
      </w:pPr>
    </w:p>
    <w:p w14:paraId="37038D89" w14:textId="1F13FAD1" w:rsidR="00F941ED" w:rsidRDefault="00F941ED" w:rsidP="00F941ED">
      <w:pPr>
        <w:pStyle w:val="Caption"/>
      </w:pPr>
      <w:bookmarkStart w:id="137" w:name="_Ref232674588"/>
      <w:r w:rsidRPr="0040775A">
        <w:rPr>
          <w:b/>
          <w:bCs/>
          <w:i w:val="0"/>
          <w:iCs w:val="0"/>
        </w:rPr>
        <w:t xml:space="preserve">Figure </w:t>
      </w:r>
      <w:bookmarkEnd w:id="137"/>
      <w:r w:rsidR="00792C3E">
        <w:rPr>
          <w:b/>
          <w:bCs/>
          <w:i w:val="0"/>
          <w:iCs w:val="0"/>
        </w:rPr>
        <w:t>B1</w:t>
      </w:r>
      <w:r w:rsidRPr="0040775A">
        <w:rPr>
          <w:b/>
          <w:bCs/>
          <w:i w:val="0"/>
          <w:iCs w:val="0"/>
        </w:rPr>
        <w:t xml:space="preserve"> - PRISMA flow diagram showing results of searches, screening and final number of included studies</w:t>
      </w:r>
      <w:r w:rsidR="0040775A" w:rsidRPr="0040775A">
        <w:rPr>
          <w:b/>
          <w:bCs/>
          <w:i w:val="0"/>
          <w:iCs w:val="0"/>
        </w:rPr>
        <w:t xml:space="preserve">. </w:t>
      </w:r>
      <w:r w:rsidR="0040775A">
        <w:t xml:space="preserve">Format source: </w:t>
      </w:r>
      <w:r w:rsidR="0040775A" w:rsidRPr="00715E38">
        <w:t xml:space="preserve">Page MJ, et al. BMJ 2021;372:n71. </w:t>
      </w:r>
      <w:proofErr w:type="spellStart"/>
      <w:r w:rsidR="0040775A" w:rsidRPr="00715E38">
        <w:t>doi</w:t>
      </w:r>
      <w:proofErr w:type="spellEnd"/>
      <w:r w:rsidR="0040775A" w:rsidRPr="00715E38">
        <w:t>: 10.1136/bmj.n71</w:t>
      </w:r>
    </w:p>
    <w:p w14:paraId="7CCFDB3F" w14:textId="2B78CF8E" w:rsidR="00F87620" w:rsidRDefault="0079416F" w:rsidP="0079416F">
      <w:pPr>
        <w:pStyle w:val="Heading2"/>
        <w:spacing w:before="320"/>
      </w:pPr>
      <w:bookmarkStart w:id="138" w:name="_Toc234960905"/>
      <w:r>
        <w:t>Data extraction and r</w:t>
      </w:r>
      <w:r w:rsidR="00F87620">
        <w:t>isk of bias assessment</w:t>
      </w:r>
      <w:bookmarkEnd w:id="138"/>
    </w:p>
    <w:p w14:paraId="74097D76" w14:textId="67D81FB9" w:rsidR="008D4A9F" w:rsidRDefault="0079416F" w:rsidP="008954EC">
      <w:pPr>
        <w:spacing w:line="276" w:lineRule="auto"/>
        <w:rPr>
          <w:highlight w:val="yellow"/>
        </w:rPr>
        <w:sectPr w:rsidR="008D4A9F" w:rsidSect="003F7543">
          <w:footnotePr>
            <w:pos w:val="beneathText"/>
          </w:footnotePr>
          <w:pgSz w:w="11906" w:h="16838"/>
          <w:pgMar w:top="993" w:right="1080" w:bottom="1134" w:left="1080" w:header="708" w:footer="708" w:gutter="0"/>
          <w:cols w:space="708"/>
          <w:docGrid w:linePitch="360"/>
        </w:sectPr>
      </w:pPr>
      <w:r>
        <w:t>Data extraction and r</w:t>
      </w:r>
      <w:r w:rsidR="005F2E62">
        <w:t xml:space="preserve">isk of bias assessment was undertaken by KSR Evidence applying the Cochrane Risk of Bias in Systematic Reviews (ROBIS) tool. </w:t>
      </w:r>
      <w:r>
        <w:t xml:space="preserve"> </w:t>
      </w:r>
      <w:r w:rsidR="0035755A">
        <w:t>Extracted data and risk of bias a</w:t>
      </w:r>
      <w:r>
        <w:t xml:space="preserve">ssessments are reported at </w:t>
      </w:r>
      <w:r w:rsidR="0035755A">
        <w:t xml:space="preserve"> </w:t>
      </w:r>
      <w:r w:rsidR="0035755A">
        <w:fldChar w:fldCharType="begin"/>
      </w:r>
      <w:r w:rsidR="0035755A">
        <w:instrText xml:space="preserve"> REF _Ref232519223 \h </w:instrText>
      </w:r>
      <w:r w:rsidR="0035755A">
        <w:fldChar w:fldCharType="separate"/>
      </w:r>
      <w:r w:rsidR="00D1175D" w:rsidRPr="005F45FC">
        <w:rPr>
          <w:b/>
          <w:bCs/>
        </w:rPr>
        <w:t xml:space="preserve">Appendix </w:t>
      </w:r>
      <w:r w:rsidR="00D1175D">
        <w:rPr>
          <w:b/>
          <w:bCs/>
        </w:rPr>
        <w:t>C</w:t>
      </w:r>
      <w:r w:rsidR="00D1175D" w:rsidRPr="005F45FC">
        <w:rPr>
          <w:b/>
          <w:bCs/>
        </w:rPr>
        <w:t xml:space="preserve"> </w:t>
      </w:r>
      <w:r w:rsidR="00D1175D">
        <w:rPr>
          <w:b/>
          <w:bCs/>
        </w:rPr>
        <w:t>–</w:t>
      </w:r>
      <w:r w:rsidR="00D1175D" w:rsidRPr="005F45FC">
        <w:rPr>
          <w:b/>
          <w:bCs/>
        </w:rPr>
        <w:t xml:space="preserve"> </w:t>
      </w:r>
      <w:r w:rsidR="00D1175D">
        <w:rPr>
          <w:b/>
          <w:bCs/>
        </w:rPr>
        <w:t>Characteristics of supplementary systematic reviews</w:t>
      </w:r>
      <w:r w:rsidR="0035755A">
        <w:fldChar w:fldCharType="end"/>
      </w:r>
      <w:r w:rsidR="0035755A">
        <w:t>.</w:t>
      </w:r>
    </w:p>
    <w:p w14:paraId="14D5AAEF" w14:textId="135F833E" w:rsidR="005F2E62" w:rsidRDefault="005F2E62" w:rsidP="005F2E62">
      <w:pPr>
        <w:pStyle w:val="Heading1"/>
        <w:spacing w:before="0"/>
        <w:rPr>
          <w:b/>
          <w:bCs/>
        </w:rPr>
      </w:pPr>
      <w:bookmarkStart w:id="139" w:name="_Ref232519223"/>
      <w:bookmarkStart w:id="140" w:name="_Ref232520409"/>
      <w:bookmarkStart w:id="141" w:name="_Toc234960906"/>
      <w:r w:rsidRPr="005F45FC">
        <w:rPr>
          <w:b/>
          <w:bCs/>
        </w:rPr>
        <w:lastRenderedPageBreak/>
        <w:t xml:space="preserve">Appendix </w:t>
      </w:r>
      <w:r w:rsidR="003774E3">
        <w:rPr>
          <w:b/>
          <w:bCs/>
        </w:rPr>
        <w:t>C</w:t>
      </w:r>
      <w:r w:rsidRPr="005F45FC">
        <w:rPr>
          <w:b/>
          <w:bCs/>
        </w:rPr>
        <w:t xml:space="preserve"> </w:t>
      </w:r>
      <w:r>
        <w:rPr>
          <w:b/>
          <w:bCs/>
        </w:rPr>
        <w:t>–</w:t>
      </w:r>
      <w:r w:rsidRPr="005F45FC">
        <w:rPr>
          <w:b/>
          <w:bCs/>
        </w:rPr>
        <w:t xml:space="preserve"> </w:t>
      </w:r>
      <w:r w:rsidR="001337F6">
        <w:rPr>
          <w:b/>
          <w:bCs/>
        </w:rPr>
        <w:t>Characteristics of s</w:t>
      </w:r>
      <w:r w:rsidR="004705D2">
        <w:rPr>
          <w:b/>
          <w:bCs/>
        </w:rPr>
        <w:t>upplementary</w:t>
      </w:r>
      <w:r>
        <w:rPr>
          <w:b/>
          <w:bCs/>
        </w:rPr>
        <w:t xml:space="preserve"> systematic reviews</w:t>
      </w:r>
      <w:bookmarkEnd w:id="139"/>
      <w:bookmarkEnd w:id="140"/>
      <w:bookmarkEnd w:id="141"/>
    </w:p>
    <w:p w14:paraId="131A1104" w14:textId="2545845D" w:rsidR="005F2E62" w:rsidRPr="005F2E62" w:rsidRDefault="007B042F" w:rsidP="005F2E62">
      <w:pPr>
        <w:pStyle w:val="Heading2"/>
      </w:pPr>
      <w:bookmarkStart w:id="142" w:name="_Toc234960907"/>
      <w:r>
        <w:t xml:space="preserve">Review </w:t>
      </w:r>
      <w:r w:rsidR="005F2E62">
        <w:t>Characteristics</w:t>
      </w:r>
      <w:bookmarkEnd w:id="142"/>
    </w:p>
    <w:tbl>
      <w:tblPr>
        <w:tblStyle w:val="ListTable3-Accent1"/>
        <w:tblW w:w="14158" w:type="dxa"/>
        <w:tblLayout w:type="fixed"/>
        <w:tblLook w:val="04A0" w:firstRow="1" w:lastRow="0" w:firstColumn="1" w:lastColumn="0" w:noHBand="0" w:noVBand="1"/>
      </w:tblPr>
      <w:tblGrid>
        <w:gridCol w:w="1271"/>
        <w:gridCol w:w="1979"/>
        <w:gridCol w:w="1417"/>
        <w:gridCol w:w="5806"/>
        <w:gridCol w:w="1984"/>
        <w:gridCol w:w="1701"/>
      </w:tblGrid>
      <w:tr w:rsidR="000B7C18" w:rsidRPr="001D5149" w14:paraId="4ABABE58" w14:textId="77777777" w:rsidTr="006C01F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1" w:type="dxa"/>
            <w:hideMark/>
          </w:tcPr>
          <w:p w14:paraId="368512D2" w14:textId="77777777" w:rsidR="000B7C18" w:rsidRPr="001D5149" w:rsidRDefault="000B7C18">
            <w:pPr>
              <w:jc w:val="center"/>
              <w:rPr>
                <w:rFonts w:eastAsia="Times New Roman" w:cs="Times New Roman"/>
                <w:kern w:val="0"/>
                <w:sz w:val="20"/>
                <w:szCs w:val="20"/>
                <w:lang w:eastAsia="en-AU"/>
                <w14:ligatures w14:val="none"/>
              </w:rPr>
            </w:pPr>
            <w:r w:rsidRPr="001D5149">
              <w:rPr>
                <w:rFonts w:eastAsia="Times New Roman" w:cs="Times New Roman"/>
                <w:kern w:val="0"/>
                <w:sz w:val="20"/>
                <w:szCs w:val="20"/>
                <w:lang w:eastAsia="en-AU"/>
                <w14:ligatures w14:val="none"/>
              </w:rPr>
              <w:t>Reference</w:t>
            </w:r>
          </w:p>
        </w:tc>
        <w:tc>
          <w:tcPr>
            <w:tcW w:w="1979" w:type="dxa"/>
          </w:tcPr>
          <w:p w14:paraId="2A2FDF80" w14:textId="77777777" w:rsidR="000B7C18" w:rsidRPr="001D5149" w:rsidRDefault="000B7C18">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0"/>
                <w:szCs w:val="20"/>
                <w:lang w:eastAsia="en-AU"/>
                <w14:ligatures w14:val="none"/>
              </w:rPr>
            </w:pPr>
            <w:r w:rsidRPr="001D5149">
              <w:rPr>
                <w:rFonts w:eastAsia="Times New Roman" w:cs="Times New Roman"/>
                <w:kern w:val="0"/>
                <w:sz w:val="20"/>
                <w:szCs w:val="20"/>
                <w:lang w:eastAsia="en-AU"/>
                <w14:ligatures w14:val="none"/>
              </w:rPr>
              <w:t>Review objectives</w:t>
            </w:r>
          </w:p>
        </w:tc>
        <w:tc>
          <w:tcPr>
            <w:tcW w:w="1417" w:type="dxa"/>
          </w:tcPr>
          <w:p w14:paraId="099E09D8" w14:textId="77777777" w:rsidR="000B7C18" w:rsidRPr="001D5149" w:rsidRDefault="000B7C18">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0"/>
                <w:szCs w:val="20"/>
                <w:lang w:eastAsia="en-AU"/>
                <w14:ligatures w14:val="none"/>
              </w:rPr>
            </w:pPr>
            <w:r w:rsidRPr="001D5149">
              <w:rPr>
                <w:rFonts w:eastAsia="Times New Roman" w:cs="Times New Roman"/>
                <w:kern w:val="0"/>
                <w:sz w:val="20"/>
                <w:szCs w:val="20"/>
                <w:lang w:eastAsia="en-AU"/>
                <w14:ligatures w14:val="none"/>
              </w:rPr>
              <w:t>Search date</w:t>
            </w:r>
          </w:p>
        </w:tc>
        <w:tc>
          <w:tcPr>
            <w:tcW w:w="5806" w:type="dxa"/>
            <w:hideMark/>
          </w:tcPr>
          <w:p w14:paraId="0EEC5CDE" w14:textId="77777777" w:rsidR="000B7C18" w:rsidRPr="001D5149" w:rsidRDefault="000B7C18">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0"/>
                <w:szCs w:val="20"/>
                <w:lang w:eastAsia="en-AU"/>
                <w14:ligatures w14:val="none"/>
              </w:rPr>
            </w:pPr>
            <w:r w:rsidRPr="001D5149">
              <w:rPr>
                <w:rFonts w:eastAsia="Times New Roman" w:cs="Times New Roman"/>
                <w:kern w:val="0"/>
                <w:sz w:val="20"/>
                <w:szCs w:val="20"/>
                <w:lang w:eastAsia="en-AU"/>
                <w14:ligatures w14:val="none"/>
              </w:rPr>
              <w:t>Populations (P), Interventions/Exposures (I/E), Comparators (C), Outcomes (O) and Types of Studies (TS)</w:t>
            </w:r>
          </w:p>
        </w:tc>
        <w:tc>
          <w:tcPr>
            <w:tcW w:w="1984" w:type="dxa"/>
          </w:tcPr>
          <w:p w14:paraId="1CB3695F" w14:textId="77777777" w:rsidR="000B7C18" w:rsidRPr="001D5149" w:rsidRDefault="000B7C18">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0"/>
                <w:szCs w:val="20"/>
                <w:lang w:eastAsia="en-AU"/>
                <w14:ligatures w14:val="none"/>
              </w:rPr>
            </w:pPr>
            <w:r w:rsidRPr="001D5149">
              <w:rPr>
                <w:rFonts w:eastAsia="Times New Roman" w:cs="Times New Roman"/>
                <w:kern w:val="0"/>
                <w:sz w:val="20"/>
                <w:szCs w:val="20"/>
                <w:lang w:eastAsia="en-AU"/>
                <w14:ligatures w14:val="none"/>
              </w:rPr>
              <w:t>Included studies, participants</w:t>
            </w:r>
          </w:p>
        </w:tc>
        <w:tc>
          <w:tcPr>
            <w:tcW w:w="1701" w:type="dxa"/>
            <w:hideMark/>
          </w:tcPr>
          <w:p w14:paraId="29DE283F" w14:textId="77777777" w:rsidR="000B7C18" w:rsidRPr="001D5149" w:rsidRDefault="000B7C18">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0"/>
                <w:szCs w:val="20"/>
                <w:lang w:eastAsia="en-AU"/>
                <w14:ligatures w14:val="none"/>
              </w:rPr>
            </w:pPr>
            <w:r w:rsidRPr="001D5149">
              <w:rPr>
                <w:rFonts w:eastAsia="Times New Roman" w:cs="Times New Roman"/>
                <w:kern w:val="0"/>
                <w:sz w:val="20"/>
                <w:szCs w:val="20"/>
                <w:lang w:eastAsia="en-AU"/>
                <w14:ligatures w14:val="none"/>
              </w:rPr>
              <w:t>Risk of Bias</w:t>
            </w:r>
          </w:p>
        </w:tc>
      </w:tr>
      <w:tr w:rsidR="000B7C18" w:rsidRPr="001D5149" w14:paraId="200CD0A8" w14:textId="77777777" w:rsidTr="006C01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8" w:type="dxa"/>
            <w:gridSpan w:val="6"/>
            <w:shd w:val="clear" w:color="auto" w:fill="C1E4F5" w:themeFill="accent1" w:themeFillTint="33"/>
          </w:tcPr>
          <w:p w14:paraId="79251E6A" w14:textId="77777777" w:rsidR="000B7C18" w:rsidRPr="001D5149" w:rsidRDefault="000B7C18">
            <w:pPr>
              <w:rPr>
                <w:rFonts w:eastAsia="Times New Roman" w:cs="Times New Roman"/>
                <w:kern w:val="0"/>
                <w:sz w:val="20"/>
                <w:szCs w:val="20"/>
                <w:lang w:eastAsia="en-AU"/>
                <w14:ligatures w14:val="none"/>
              </w:rPr>
            </w:pPr>
            <w:r w:rsidRPr="00E22F5C">
              <w:rPr>
                <w:rFonts w:eastAsia="Times New Roman" w:cs="Times New Roman"/>
                <w:color w:val="000000" w:themeColor="text1"/>
                <w:kern w:val="0"/>
                <w:sz w:val="20"/>
                <w:szCs w:val="20"/>
                <w:lang w:eastAsia="en-AU"/>
                <w14:ligatures w14:val="none"/>
              </w:rPr>
              <w:t>Blood pressure in adults</w:t>
            </w:r>
          </w:p>
        </w:tc>
      </w:tr>
      <w:tr w:rsidR="000B7C18" w:rsidRPr="001D5149" w14:paraId="3029A16A" w14:textId="77777777" w:rsidTr="006C01F5">
        <w:trPr>
          <w:trHeight w:val="2624"/>
        </w:trPr>
        <w:tc>
          <w:tcPr>
            <w:cnfStyle w:val="001000000000" w:firstRow="0" w:lastRow="0" w:firstColumn="1" w:lastColumn="0" w:oddVBand="0" w:evenVBand="0" w:oddHBand="0" w:evenHBand="0" w:firstRowFirstColumn="0" w:firstRowLastColumn="0" w:lastRowFirstColumn="0" w:lastRowLastColumn="0"/>
            <w:tcW w:w="1271" w:type="dxa"/>
          </w:tcPr>
          <w:p w14:paraId="26AD7228" w14:textId="0AEA8495" w:rsidR="000B7C18" w:rsidRPr="00AF698E" w:rsidRDefault="00D70067" w:rsidP="00C20074">
            <w:pPr>
              <w:jc w:val="center"/>
              <w:rPr>
                <w:rFonts w:eastAsia="Times New Roman" w:cs="Times New Roman"/>
                <w:color w:val="000000"/>
                <w:kern w:val="0"/>
                <w:sz w:val="20"/>
                <w:szCs w:val="20"/>
                <w:lang w:eastAsia="en-AU"/>
                <w14:ligatures w14:val="none"/>
              </w:rPr>
            </w:pPr>
            <w:r w:rsidRPr="00C20074">
              <w:rPr>
                <w:sz w:val="20"/>
                <w:szCs w:val="20"/>
              </w:rPr>
              <w:fldChar w:fldCharType="begin"/>
            </w:r>
            <w:r w:rsidR="00F61D64">
              <w:rPr>
                <w:sz w:val="20"/>
                <w:szCs w:val="20"/>
              </w:rPr>
              <w:instrText xml:space="preserve"> ADDIN EN.CITE &lt;EndNote&gt;&lt;Cite AuthorYear="1"&gt;&lt;Author&gt;Filippini&lt;/Author&gt;&lt;Year&gt;2021&lt;/Year&gt;&lt;RecNum&gt;3&lt;/RecNum&gt;&lt;DisplayText&gt;Filippini et al. (2021b)&lt;/DisplayText&gt;&lt;record&gt;&lt;rec-number&gt;3&lt;/rec-number&gt;&lt;foreign-keys&gt;&lt;key app="EN" db-id="wwsdv2wwp29fenerv0kx5tw9zxtx2fdrprx2" timestamp="1762739885"&gt;3&lt;/key&gt;&lt;/foreign-keys&gt;&lt;ref-type name="Journal Article"&gt;17&lt;/ref-type&gt;&lt;contributors&gt;&lt;authors&gt;&lt;author&gt;Filippini, T.&lt;/author&gt;&lt;author&gt;Malavolti, M.&lt;/author&gt;&lt;author&gt;Whelton, P. K.&lt;/author&gt;&lt;author&gt;Naska, A.&lt;/author&gt;&lt;author&gt;Orsini, N.&lt;/author&gt;&lt;author&gt;Vinceti, M.&lt;/author&gt;&lt;/authors&gt;&lt;/contributors&gt;&lt;titles&gt;&lt;title&gt;Blood Pressure Effects of Sodium Reduction:Dose-Response Meta-Analysis of Experimental Studies&lt;/title&gt;&lt;secondary-title&gt;Circulation&lt;/secondary-title&gt;&lt;/titles&gt;&lt;periodical&gt;&lt;full-title&gt;Circulation&lt;/full-title&gt;&lt;/periodical&gt;&lt;pages&gt;1542-1567&lt;/pages&gt;&lt;volume&gt;143&lt;/volume&gt;&lt;number&gt;16&lt;/number&gt;&lt;dates&gt;&lt;year&gt;2021&lt;/year&gt;&lt;/dates&gt;&lt;urls&gt;&lt;related-urls&gt;&lt;url&gt;https://www.ahajournals.org/doi/abs/10.1161/CIRCULATIONAHA.120.050371&lt;/url&gt;&lt;/related-urls&gt;&lt;/urls&gt;&lt;electronic-resource-num&gt;doi:10.1161/CIRCULATIONAHA.120.050371&lt;/electronic-resource-num&gt;&lt;/record&gt;&lt;/Cite&gt;&lt;/EndNote&gt;</w:instrText>
            </w:r>
            <w:r w:rsidRPr="00C20074">
              <w:rPr>
                <w:sz w:val="20"/>
                <w:szCs w:val="20"/>
              </w:rPr>
              <w:fldChar w:fldCharType="separate"/>
            </w:r>
            <w:r w:rsidR="00F61D64">
              <w:rPr>
                <w:noProof/>
                <w:sz w:val="20"/>
                <w:szCs w:val="20"/>
              </w:rPr>
              <w:t>Filippini et al. (2021b)</w:t>
            </w:r>
            <w:r w:rsidRPr="00C20074">
              <w:rPr>
                <w:sz w:val="20"/>
                <w:szCs w:val="20"/>
              </w:rPr>
              <w:fldChar w:fldCharType="end"/>
            </w:r>
          </w:p>
        </w:tc>
        <w:tc>
          <w:tcPr>
            <w:tcW w:w="1979" w:type="dxa"/>
          </w:tcPr>
          <w:p w14:paraId="67013A0D" w14:textId="742EB95F" w:rsidR="000B7C18" w:rsidRPr="00AF698E" w:rsidRDefault="000B7C18" w:rsidP="00AF698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AF698E">
              <w:rPr>
                <w:rFonts w:eastAsia="Times New Roman" w:cs="Times New Roman"/>
                <w:color w:val="000000"/>
                <w:kern w:val="0"/>
                <w:sz w:val="20"/>
                <w:szCs w:val="20"/>
                <w:lang w:eastAsia="en-AU"/>
                <w14:ligatures w14:val="none"/>
              </w:rPr>
              <w:t xml:space="preserve">To </w:t>
            </w:r>
            <w:r w:rsidR="00AF698E" w:rsidRPr="00AF698E">
              <w:rPr>
                <w:rFonts w:eastAsia="Times New Roman" w:cs="Times New Roman"/>
                <w:color w:val="000000"/>
                <w:kern w:val="0"/>
                <w:sz w:val="20"/>
                <w:szCs w:val="20"/>
                <w:lang w:eastAsia="en-AU"/>
                <w14:ligatures w14:val="none"/>
              </w:rPr>
              <w:t>explore the effect of sodium intake on blood pressure across a wide range of exposures</w:t>
            </w:r>
          </w:p>
        </w:tc>
        <w:tc>
          <w:tcPr>
            <w:tcW w:w="1417" w:type="dxa"/>
          </w:tcPr>
          <w:p w14:paraId="351CF68A" w14:textId="5905D46B" w:rsidR="000B7C18" w:rsidRPr="000E0B5A" w:rsidRDefault="00771F1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771F1A">
              <w:rPr>
                <w:rFonts w:eastAsia="Times New Roman" w:cs="Times New Roman"/>
                <w:color w:val="000000"/>
                <w:kern w:val="0"/>
                <w:sz w:val="20"/>
                <w:szCs w:val="20"/>
                <w:lang w:eastAsia="en-AU"/>
                <w14:ligatures w14:val="none"/>
              </w:rPr>
              <w:t>Database inception to 12 October 2020</w:t>
            </w:r>
          </w:p>
        </w:tc>
        <w:tc>
          <w:tcPr>
            <w:tcW w:w="5806" w:type="dxa"/>
          </w:tcPr>
          <w:p w14:paraId="332AE29A" w14:textId="709BDC00" w:rsidR="000B7C18" w:rsidRPr="00771F1A" w:rsidRDefault="000B7C18" w:rsidP="003D0BD8">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P: </w:t>
            </w:r>
            <w:r w:rsidR="003D0BD8">
              <w:rPr>
                <w:rFonts w:eastAsia="Times New Roman" w:cs="Times New Roman"/>
                <w:color w:val="000000"/>
                <w:kern w:val="0"/>
                <w:sz w:val="20"/>
                <w:szCs w:val="20"/>
                <w:lang w:eastAsia="en-AU"/>
                <w14:ligatures w14:val="none"/>
              </w:rPr>
              <w:t>P</w:t>
            </w:r>
            <w:r w:rsidR="003D0BD8" w:rsidRPr="003D0BD8">
              <w:rPr>
                <w:rFonts w:eastAsia="Times New Roman" w:cs="Times New Roman"/>
                <w:color w:val="000000"/>
                <w:kern w:val="0"/>
                <w:sz w:val="20"/>
                <w:szCs w:val="20"/>
                <w:lang w:eastAsia="en-AU"/>
                <w14:ligatures w14:val="none"/>
              </w:rPr>
              <w:t>articipants with and without hypertension but</w:t>
            </w:r>
            <w:r w:rsidR="003D0BD8">
              <w:rPr>
                <w:rFonts w:eastAsia="Times New Roman" w:cs="Times New Roman"/>
                <w:color w:val="000000"/>
                <w:kern w:val="0"/>
                <w:sz w:val="20"/>
                <w:szCs w:val="20"/>
                <w:lang w:eastAsia="en-AU"/>
                <w14:ligatures w14:val="none"/>
              </w:rPr>
              <w:t xml:space="preserve"> </w:t>
            </w:r>
            <w:r w:rsidR="003D0BD8" w:rsidRPr="003D0BD8">
              <w:rPr>
                <w:rFonts w:eastAsia="Times New Roman" w:cs="Times New Roman"/>
                <w:color w:val="000000"/>
                <w:kern w:val="0"/>
                <w:sz w:val="20"/>
                <w:szCs w:val="20"/>
                <w:lang w:eastAsia="en-AU"/>
                <w14:ligatures w14:val="none"/>
              </w:rPr>
              <w:t>excluding secondary hypertension</w:t>
            </w:r>
          </w:p>
          <w:p w14:paraId="0F43F8F4" w14:textId="49D44889" w:rsidR="000B7C18" w:rsidRPr="00771F1A" w:rsidRDefault="000B7C18" w:rsidP="00EC78FE">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I/E/C: </w:t>
            </w:r>
            <w:r w:rsidR="00D45836">
              <w:rPr>
                <w:rFonts w:eastAsia="Times New Roman" w:cs="Times New Roman"/>
                <w:color w:val="000000"/>
                <w:kern w:val="0"/>
                <w:sz w:val="20"/>
                <w:szCs w:val="20"/>
                <w:lang w:eastAsia="en-AU"/>
                <w14:ligatures w14:val="none"/>
              </w:rPr>
              <w:t>L</w:t>
            </w:r>
            <w:r w:rsidR="003D0BD8" w:rsidRPr="003D0BD8">
              <w:rPr>
                <w:rFonts w:eastAsia="Times New Roman" w:cs="Times New Roman"/>
                <w:color w:val="000000"/>
                <w:kern w:val="0"/>
                <w:sz w:val="20"/>
                <w:szCs w:val="20"/>
                <w:lang w:eastAsia="en-AU"/>
                <w14:ligatures w14:val="none"/>
              </w:rPr>
              <w:t xml:space="preserve">ow </w:t>
            </w:r>
            <w:r w:rsidR="00D45836">
              <w:rPr>
                <w:rFonts w:eastAsia="Times New Roman" w:cs="Times New Roman"/>
                <w:color w:val="000000"/>
                <w:kern w:val="0"/>
                <w:sz w:val="20"/>
                <w:szCs w:val="20"/>
                <w:lang w:eastAsia="en-AU"/>
                <w14:ligatures w14:val="none"/>
              </w:rPr>
              <w:t xml:space="preserve">vs high </w:t>
            </w:r>
            <w:r w:rsidR="003D0BD8" w:rsidRPr="003D0BD8">
              <w:rPr>
                <w:rFonts w:eastAsia="Times New Roman" w:cs="Times New Roman"/>
                <w:color w:val="000000"/>
                <w:kern w:val="0"/>
                <w:sz w:val="20"/>
                <w:szCs w:val="20"/>
                <w:lang w:eastAsia="en-AU"/>
                <w14:ligatures w14:val="none"/>
              </w:rPr>
              <w:t xml:space="preserve">sodium exposure </w:t>
            </w:r>
            <w:r w:rsidR="004442D1">
              <w:rPr>
                <w:rFonts w:eastAsia="Times New Roman" w:cs="Times New Roman"/>
                <w:color w:val="000000"/>
                <w:kern w:val="0"/>
                <w:sz w:val="20"/>
                <w:szCs w:val="20"/>
                <w:lang w:eastAsia="en-AU"/>
                <w14:ligatures w14:val="none"/>
              </w:rPr>
              <w:t xml:space="preserve">including </w:t>
            </w:r>
            <w:r w:rsidR="003D0BD8" w:rsidRPr="003D0BD8">
              <w:rPr>
                <w:rFonts w:eastAsia="Times New Roman" w:cs="Times New Roman"/>
                <w:color w:val="000000"/>
                <w:kern w:val="0"/>
                <w:sz w:val="20"/>
                <w:szCs w:val="20"/>
                <w:lang w:eastAsia="en-AU"/>
                <w14:ligatures w14:val="none"/>
              </w:rPr>
              <w:t>sodium reduction compared with normal diet or</w:t>
            </w:r>
            <w:r w:rsidR="003D0BD8">
              <w:rPr>
                <w:rFonts w:eastAsia="Times New Roman" w:cs="Times New Roman"/>
                <w:color w:val="000000"/>
                <w:kern w:val="0"/>
                <w:sz w:val="20"/>
                <w:szCs w:val="20"/>
                <w:lang w:eastAsia="en-AU"/>
                <w14:ligatures w14:val="none"/>
              </w:rPr>
              <w:t xml:space="preserve"> </w:t>
            </w:r>
            <w:r w:rsidR="003D0BD8" w:rsidRPr="003D0BD8">
              <w:rPr>
                <w:rFonts w:eastAsia="Times New Roman" w:cs="Times New Roman"/>
                <w:color w:val="000000"/>
                <w:kern w:val="0"/>
                <w:sz w:val="20"/>
                <w:szCs w:val="20"/>
                <w:lang w:eastAsia="en-AU"/>
                <w14:ligatures w14:val="none"/>
              </w:rPr>
              <w:t>sodium reduction followed by supplementation with sodium</w:t>
            </w:r>
            <w:r w:rsidR="003D0BD8">
              <w:rPr>
                <w:rFonts w:eastAsia="Times New Roman" w:cs="Times New Roman"/>
                <w:color w:val="000000"/>
                <w:kern w:val="0"/>
                <w:sz w:val="20"/>
                <w:szCs w:val="20"/>
                <w:lang w:eastAsia="en-AU"/>
                <w14:ligatures w14:val="none"/>
              </w:rPr>
              <w:t xml:space="preserve"> </w:t>
            </w:r>
            <w:r w:rsidR="003D0BD8" w:rsidRPr="003D0BD8">
              <w:rPr>
                <w:rFonts w:eastAsia="Times New Roman" w:cs="Times New Roman"/>
                <w:color w:val="000000"/>
                <w:kern w:val="0"/>
                <w:sz w:val="20"/>
                <w:szCs w:val="20"/>
                <w:lang w:eastAsia="en-AU"/>
                <w14:ligatures w14:val="none"/>
              </w:rPr>
              <w:t>or placebo tablets</w:t>
            </w:r>
            <w:r w:rsidR="004442D1">
              <w:rPr>
                <w:rFonts w:eastAsia="Times New Roman" w:cs="Times New Roman"/>
                <w:color w:val="000000"/>
                <w:kern w:val="0"/>
                <w:sz w:val="20"/>
                <w:szCs w:val="20"/>
                <w:lang w:eastAsia="en-AU"/>
                <w14:ligatures w14:val="none"/>
              </w:rPr>
              <w:t>.</w:t>
            </w:r>
            <w:r w:rsidR="00EC78FE">
              <w:rPr>
                <w:rFonts w:eastAsia="Times New Roman" w:cs="Times New Roman"/>
                <w:color w:val="000000"/>
                <w:kern w:val="0"/>
                <w:sz w:val="20"/>
                <w:szCs w:val="20"/>
                <w:lang w:eastAsia="en-AU"/>
                <w14:ligatures w14:val="none"/>
              </w:rPr>
              <w:t xml:space="preserve"> Change in sodium intake measured </w:t>
            </w:r>
            <w:r w:rsidR="00670B6D">
              <w:rPr>
                <w:rFonts w:eastAsia="Times New Roman" w:cs="Times New Roman"/>
                <w:color w:val="000000"/>
                <w:kern w:val="0"/>
                <w:sz w:val="20"/>
                <w:szCs w:val="20"/>
                <w:lang w:eastAsia="en-AU"/>
                <w14:ligatures w14:val="none"/>
              </w:rPr>
              <w:t xml:space="preserve">using </w:t>
            </w:r>
            <w:r w:rsidR="00EC78FE" w:rsidRPr="00EC78FE">
              <w:rPr>
                <w:rFonts w:eastAsia="Times New Roman" w:cs="Times New Roman"/>
                <w:color w:val="000000"/>
                <w:kern w:val="0"/>
                <w:sz w:val="20"/>
                <w:szCs w:val="20"/>
                <w:lang w:eastAsia="en-AU"/>
                <w14:ligatures w14:val="none"/>
              </w:rPr>
              <w:t>24-hour urinary sodium excretion before and after the intervention</w:t>
            </w:r>
          </w:p>
          <w:p w14:paraId="3DB2554C" w14:textId="2835FE56" w:rsidR="000B7C18" w:rsidRPr="00771F1A" w:rsidRDefault="000B7C18" w:rsidP="00EC78FE">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O: </w:t>
            </w:r>
            <w:r w:rsidR="00EC78FE" w:rsidRPr="00EC78FE">
              <w:rPr>
                <w:rFonts w:eastAsia="Times New Roman" w:cs="Times New Roman"/>
                <w:color w:val="000000"/>
                <w:kern w:val="0"/>
                <w:sz w:val="20"/>
                <w:szCs w:val="20"/>
                <w:lang w:eastAsia="en-AU"/>
                <w14:ligatures w14:val="none"/>
              </w:rPr>
              <w:t>SBP or DBP</w:t>
            </w:r>
          </w:p>
          <w:p w14:paraId="7D7F2856" w14:textId="7045807C" w:rsidR="000B7C18" w:rsidRPr="000E0B5A" w:rsidRDefault="000B7C18">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771F1A">
              <w:rPr>
                <w:rFonts w:eastAsia="Times New Roman" w:cs="Times New Roman"/>
                <w:color w:val="000000"/>
                <w:kern w:val="0"/>
                <w:sz w:val="20"/>
                <w:szCs w:val="20"/>
                <w:lang w:eastAsia="en-AU"/>
                <w14:ligatures w14:val="none"/>
              </w:rPr>
              <w:t xml:space="preserve">TS: </w:t>
            </w:r>
            <w:r w:rsidR="00E16140">
              <w:rPr>
                <w:rFonts w:eastAsia="Times New Roman" w:cs="Times New Roman"/>
                <w:color w:val="000000"/>
                <w:kern w:val="0"/>
                <w:sz w:val="20"/>
                <w:szCs w:val="20"/>
                <w:lang w:eastAsia="en-AU"/>
                <w14:ligatures w14:val="none"/>
              </w:rPr>
              <w:t xml:space="preserve">RCTs with a minimum duration of intervention </w:t>
            </w:r>
            <w:r w:rsidR="00670B6D">
              <w:rPr>
                <w:rFonts w:eastAsia="Times New Roman" w:cs="Times New Roman"/>
                <w:color w:val="000000"/>
                <w:kern w:val="0"/>
                <w:sz w:val="20"/>
                <w:szCs w:val="20"/>
                <w:lang w:eastAsia="en-AU"/>
                <w14:ligatures w14:val="none"/>
              </w:rPr>
              <w:t>of 4 weeks</w:t>
            </w:r>
          </w:p>
        </w:tc>
        <w:tc>
          <w:tcPr>
            <w:tcW w:w="1984" w:type="dxa"/>
          </w:tcPr>
          <w:p w14:paraId="069AFC13" w14:textId="77777777" w:rsidR="005D6464" w:rsidRDefault="002A25B8" w:rsidP="005D6464">
            <w:pPr>
              <w:spacing w:after="1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2A25B8">
              <w:rPr>
                <w:rFonts w:eastAsia="Times New Roman" w:cs="Times New Roman"/>
                <w:color w:val="000000"/>
                <w:kern w:val="0"/>
                <w:sz w:val="20"/>
                <w:szCs w:val="20"/>
                <w:lang w:eastAsia="en-AU"/>
                <w14:ligatures w14:val="none"/>
              </w:rPr>
              <w:t>85 trials</w:t>
            </w:r>
            <w:r w:rsidR="005D6464">
              <w:rPr>
                <w:rFonts w:eastAsia="Times New Roman" w:cs="Times New Roman"/>
                <w:color w:val="000000"/>
                <w:kern w:val="0"/>
                <w:sz w:val="20"/>
                <w:szCs w:val="20"/>
                <w:lang w:eastAsia="en-AU"/>
                <w14:ligatures w14:val="none"/>
              </w:rPr>
              <w:t xml:space="preserve">, </w:t>
            </w:r>
          </w:p>
          <w:p w14:paraId="0B39F5E3" w14:textId="0D5164F6" w:rsidR="000B7C18" w:rsidRPr="002A25B8" w:rsidRDefault="002A25B8" w:rsidP="005D6464">
            <w:pPr>
              <w:spacing w:after="1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2A25B8">
              <w:rPr>
                <w:rFonts w:eastAsia="Times New Roman" w:cs="Times New Roman"/>
                <w:color w:val="000000"/>
                <w:kern w:val="0"/>
                <w:sz w:val="20"/>
                <w:szCs w:val="20"/>
                <w:lang w:eastAsia="en-AU"/>
                <w14:ligatures w14:val="none"/>
              </w:rPr>
              <w:t>&gt;10,000</w:t>
            </w:r>
            <w:r w:rsidR="005D6464">
              <w:rPr>
                <w:rFonts w:eastAsia="Times New Roman" w:cs="Times New Roman"/>
                <w:color w:val="000000"/>
                <w:kern w:val="0"/>
                <w:sz w:val="20"/>
                <w:szCs w:val="20"/>
                <w:lang w:eastAsia="en-AU"/>
                <w14:ligatures w14:val="none"/>
              </w:rPr>
              <w:t xml:space="preserve"> participants</w:t>
            </w:r>
          </w:p>
        </w:tc>
        <w:tc>
          <w:tcPr>
            <w:tcW w:w="1701" w:type="dxa"/>
          </w:tcPr>
          <w:p w14:paraId="499AC65A" w14:textId="77777777" w:rsidR="000B7C18" w:rsidRPr="002A25B8" w:rsidRDefault="000B7C18">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2A25B8">
              <w:rPr>
                <w:rFonts w:eastAsia="Times New Roman" w:cs="Times New Roman"/>
                <w:i/>
                <w:iCs/>
                <w:color w:val="000000"/>
                <w:kern w:val="0"/>
                <w:sz w:val="20"/>
                <w:szCs w:val="20"/>
                <w:lang w:eastAsia="en-AU"/>
                <w14:ligatures w14:val="none"/>
              </w:rPr>
              <w:t>D1: HIGH</w:t>
            </w:r>
          </w:p>
          <w:p w14:paraId="51B85013" w14:textId="77777777" w:rsidR="000B7C18" w:rsidRPr="002A25B8" w:rsidRDefault="000B7C18">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2A25B8">
              <w:rPr>
                <w:rFonts w:eastAsia="Times New Roman" w:cs="Times New Roman"/>
                <w:i/>
                <w:iCs/>
                <w:color w:val="000000"/>
                <w:kern w:val="0"/>
                <w:sz w:val="20"/>
                <w:szCs w:val="20"/>
                <w:lang w:eastAsia="en-AU"/>
                <w14:ligatures w14:val="none"/>
              </w:rPr>
              <w:t>D2: UNCLEAR</w:t>
            </w:r>
          </w:p>
          <w:p w14:paraId="26E4B987" w14:textId="77777777" w:rsidR="000B7C18" w:rsidRPr="002A25B8" w:rsidRDefault="000B7C18">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2A25B8">
              <w:rPr>
                <w:rFonts w:eastAsia="Times New Roman" w:cs="Times New Roman"/>
                <w:i/>
                <w:iCs/>
                <w:color w:val="000000"/>
                <w:kern w:val="0"/>
                <w:sz w:val="20"/>
                <w:szCs w:val="20"/>
                <w:lang w:eastAsia="en-AU"/>
                <w14:ligatures w14:val="none"/>
              </w:rPr>
              <w:t>D3: LOW</w:t>
            </w:r>
          </w:p>
          <w:p w14:paraId="2FAE349B" w14:textId="77777777" w:rsidR="000B7C18" w:rsidRPr="002A25B8" w:rsidRDefault="000B7C18">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2A25B8">
              <w:rPr>
                <w:rFonts w:eastAsia="Times New Roman" w:cs="Times New Roman"/>
                <w:i/>
                <w:iCs/>
                <w:color w:val="000000"/>
                <w:kern w:val="0"/>
                <w:sz w:val="20"/>
                <w:szCs w:val="20"/>
                <w:lang w:eastAsia="en-AU"/>
                <w14:ligatures w14:val="none"/>
              </w:rPr>
              <w:t>D4: LOW</w:t>
            </w:r>
          </w:p>
          <w:p w14:paraId="4924D980" w14:textId="77777777" w:rsidR="000B7C18" w:rsidRPr="002A25B8" w:rsidRDefault="000B7C18">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p>
          <w:p w14:paraId="25B8F05F" w14:textId="77777777" w:rsidR="000B7C18" w:rsidRPr="002A25B8" w:rsidRDefault="000B7C18">
            <w:pPr>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color w:val="000000"/>
                <w:kern w:val="0"/>
                <w:sz w:val="20"/>
                <w:szCs w:val="20"/>
                <w:lang w:eastAsia="en-AU"/>
                <w14:ligatures w14:val="none"/>
              </w:rPr>
            </w:pPr>
            <w:r w:rsidRPr="002A25B8">
              <w:rPr>
                <w:rFonts w:eastAsia="Times New Roman" w:cs="Times New Roman"/>
                <w:b/>
                <w:bCs/>
                <w:i/>
                <w:iCs/>
                <w:color w:val="000000"/>
                <w:kern w:val="0"/>
                <w:sz w:val="20"/>
                <w:szCs w:val="20"/>
                <w:lang w:eastAsia="en-AU"/>
                <w14:ligatures w14:val="none"/>
              </w:rPr>
              <w:t>OVERALL:</w:t>
            </w:r>
          </w:p>
          <w:p w14:paraId="42EA436E" w14:textId="77777777" w:rsidR="000B7C18" w:rsidRPr="002A25B8" w:rsidRDefault="000B7C18">
            <w:pPr>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color w:val="000000"/>
                <w:kern w:val="0"/>
                <w:sz w:val="20"/>
                <w:szCs w:val="20"/>
                <w:lang w:eastAsia="en-AU"/>
                <w14:ligatures w14:val="none"/>
              </w:rPr>
            </w:pPr>
            <w:r w:rsidRPr="002A25B8">
              <w:rPr>
                <w:rFonts w:eastAsia="Times New Roman" w:cs="Times New Roman"/>
                <w:b/>
                <w:bCs/>
                <w:i/>
                <w:iCs/>
                <w:color w:val="000000"/>
                <w:kern w:val="0"/>
                <w:sz w:val="20"/>
                <w:szCs w:val="20"/>
                <w:lang w:eastAsia="en-AU"/>
                <w14:ligatures w14:val="none"/>
              </w:rPr>
              <w:t>HIGH</w:t>
            </w:r>
          </w:p>
        </w:tc>
      </w:tr>
      <w:tr w:rsidR="000B7C18" w:rsidRPr="001D5149" w14:paraId="53E5B0A7" w14:textId="77777777" w:rsidTr="006C01F5">
        <w:trPr>
          <w:cnfStyle w:val="000000100000" w:firstRow="0" w:lastRow="0" w:firstColumn="0" w:lastColumn="0" w:oddVBand="0" w:evenVBand="0" w:oddHBand="1" w:evenHBand="0" w:firstRowFirstColumn="0" w:firstRowLastColumn="0" w:lastRowFirstColumn="0" w:lastRowLastColumn="0"/>
          <w:trHeight w:val="3360"/>
        </w:trPr>
        <w:tc>
          <w:tcPr>
            <w:cnfStyle w:val="001000000000" w:firstRow="0" w:lastRow="0" w:firstColumn="1" w:lastColumn="0" w:oddVBand="0" w:evenVBand="0" w:oddHBand="0" w:evenHBand="0" w:firstRowFirstColumn="0" w:firstRowLastColumn="0" w:lastRowFirstColumn="0" w:lastRowLastColumn="0"/>
            <w:tcW w:w="1271" w:type="dxa"/>
          </w:tcPr>
          <w:p w14:paraId="482219CD" w14:textId="47359C6A" w:rsidR="000B7C18" w:rsidRPr="00102B30" w:rsidRDefault="00DC4E35">
            <w:pPr>
              <w:jc w:val="center"/>
              <w:rPr>
                <w:rFonts w:eastAsia="Times New Roman" w:cs="Times New Roman"/>
                <w:color w:val="000000"/>
                <w:kern w:val="0"/>
                <w:sz w:val="20"/>
                <w:szCs w:val="20"/>
                <w:highlight w:val="yellow"/>
                <w:lang w:eastAsia="en-AU"/>
                <w14:ligatures w14:val="none"/>
              </w:rPr>
            </w:pPr>
            <w:r>
              <w:rPr>
                <w:sz w:val="20"/>
                <w:szCs w:val="20"/>
              </w:rPr>
              <w:fldChar w:fldCharType="begin">
                <w:fldData xml:space="preserve">PEVuZE5vdGU+PENpdGUgQXV0aG9yWWVhcj0iMSI+PEF1dGhvcj5HcmF1ZGFsPC9BdXRob3I+PFll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</w:fldData>
              </w:fldChar>
            </w:r>
            <w:r w:rsidR="003A2232">
              <w:rPr>
                <w:sz w:val="20"/>
                <w:szCs w:val="20"/>
              </w:rPr>
              <w:instrText xml:space="preserve"> ADDIN EN.CITE </w:instrText>
            </w:r>
            <w:r w:rsidR="003A2232">
              <w:rPr>
                <w:sz w:val="20"/>
                <w:szCs w:val="20"/>
              </w:rPr>
              <w:fldChar w:fldCharType="begin">
                <w:fldData xml:space="preserve">PEVuZE5vdGU+PENpdGUgQXV0aG9yWWVhcj0iMSI+PEF1dGhvcj5HcmF1ZGFsPC9BdXRob3I+PFll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</w:fldData>
              </w:fldChar>
            </w:r>
            <w:r w:rsidR="003A2232">
              <w:rPr>
                <w:sz w:val="20"/>
                <w:szCs w:val="20"/>
              </w:rPr>
              <w:instrText xml:space="preserve"> ADDIN EN.CITE.DATA </w:instrText>
            </w:r>
            <w:r w:rsidR="003A2232">
              <w:rPr>
                <w:sz w:val="20"/>
                <w:szCs w:val="20"/>
              </w:rPr>
            </w:r>
            <w:r w:rsidR="003A2232">
              <w:rPr>
                <w:sz w:val="20"/>
                <w:szCs w:val="20"/>
              </w:rPr>
              <w:fldChar w:fldCharType="end"/>
            </w:r>
            <w:r>
              <w:rPr>
                <w:sz w:val="20"/>
                <w:szCs w:val="20"/>
              </w:rPr>
            </w:r>
            <w:r>
              <w:rPr>
                <w:sz w:val="20"/>
                <w:szCs w:val="20"/>
              </w:rPr>
              <w:fldChar w:fldCharType="separate"/>
            </w:r>
            <w:r w:rsidR="003A2232">
              <w:rPr>
                <w:noProof/>
                <w:sz w:val="20"/>
                <w:szCs w:val="20"/>
              </w:rPr>
              <w:t>Graudal et al. (2020)</w:t>
            </w:r>
            <w:r>
              <w:rPr>
                <w:sz w:val="20"/>
                <w:szCs w:val="20"/>
              </w:rPr>
              <w:fldChar w:fldCharType="end"/>
            </w:r>
          </w:p>
        </w:tc>
        <w:tc>
          <w:tcPr>
            <w:tcW w:w="1979" w:type="dxa"/>
          </w:tcPr>
          <w:p w14:paraId="5F44B373" w14:textId="38CF0A5B" w:rsidR="000B7C18" w:rsidRPr="00777E53" w:rsidRDefault="00777E5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777E53">
              <w:rPr>
                <w:rFonts w:eastAsia="Times New Roman" w:cs="Times New Roman"/>
                <w:color w:val="000000"/>
                <w:kern w:val="0"/>
                <w:sz w:val="20"/>
                <w:szCs w:val="20"/>
                <w:lang w:eastAsia="en-AU"/>
                <w14:ligatures w14:val="none"/>
              </w:rPr>
              <w:t>To assess the effects of low- versus high-dietary sodium intake on systolic blood pressure (SBP) and diastolic blood pressure (DBP), and blood concentrations of renin, aldosterone, catecholamines, cholesterol, high-density lipoprotein (HDL), low-density lipoprotein (LDL) and triglyceride.</w:t>
            </w:r>
          </w:p>
        </w:tc>
        <w:tc>
          <w:tcPr>
            <w:tcW w:w="1417" w:type="dxa"/>
          </w:tcPr>
          <w:p w14:paraId="69A524C8" w14:textId="67BCD69F" w:rsidR="000B7C18" w:rsidRPr="00777E53" w:rsidRDefault="00777E5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 xml:space="preserve">Database inception to </w:t>
            </w:r>
            <w:r w:rsidRPr="00777E53">
              <w:rPr>
                <w:rFonts w:eastAsia="Times New Roman" w:cs="Times New Roman"/>
                <w:color w:val="000000"/>
                <w:kern w:val="0"/>
                <w:sz w:val="20"/>
                <w:szCs w:val="20"/>
                <w:lang w:eastAsia="en-AU"/>
                <w14:ligatures w14:val="none"/>
              </w:rPr>
              <w:t>11 April 2018</w:t>
            </w:r>
          </w:p>
        </w:tc>
        <w:tc>
          <w:tcPr>
            <w:tcW w:w="5806" w:type="dxa"/>
          </w:tcPr>
          <w:p w14:paraId="479603D2" w14:textId="4CB31ED6" w:rsidR="00771F1A" w:rsidRPr="00771F1A" w:rsidRDefault="00771F1A" w:rsidP="00771F1A">
            <w:pPr>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P: </w:t>
            </w:r>
            <w:r w:rsidR="00777E53" w:rsidRPr="00777E53">
              <w:rPr>
                <w:rFonts w:eastAsia="Times New Roman" w:cs="Times New Roman"/>
                <w:color w:val="000000"/>
                <w:kern w:val="0"/>
                <w:sz w:val="20"/>
                <w:szCs w:val="20"/>
                <w:lang w:eastAsia="en-AU"/>
                <w14:ligatures w14:val="none"/>
              </w:rPr>
              <w:t>Healthy people or people with hypertension</w:t>
            </w:r>
          </w:p>
          <w:p w14:paraId="611D6874" w14:textId="2274E7CF" w:rsidR="00771F1A" w:rsidRPr="00771F1A" w:rsidRDefault="00771F1A" w:rsidP="00771F1A">
            <w:pPr>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I/E/C: </w:t>
            </w:r>
            <w:r w:rsidR="00777E53" w:rsidRPr="00777E53">
              <w:rPr>
                <w:rFonts w:eastAsia="Times New Roman" w:cs="Times New Roman"/>
                <w:color w:val="000000"/>
                <w:kern w:val="0"/>
                <w:sz w:val="20"/>
                <w:szCs w:val="20"/>
                <w:lang w:eastAsia="en-AU"/>
                <w14:ligatures w14:val="none"/>
              </w:rPr>
              <w:t xml:space="preserve">Low </w:t>
            </w:r>
            <w:r w:rsidR="0039312C">
              <w:rPr>
                <w:rFonts w:eastAsia="Times New Roman" w:cs="Times New Roman"/>
                <w:color w:val="000000"/>
                <w:kern w:val="0"/>
                <w:sz w:val="20"/>
                <w:szCs w:val="20"/>
                <w:lang w:eastAsia="en-AU"/>
                <w14:ligatures w14:val="none"/>
              </w:rPr>
              <w:t xml:space="preserve">vs high sodium intake; low intake defined as low </w:t>
            </w:r>
            <w:r w:rsidR="00777E53" w:rsidRPr="00777E53">
              <w:rPr>
                <w:rFonts w:eastAsia="Times New Roman" w:cs="Times New Roman"/>
                <w:color w:val="000000"/>
                <w:kern w:val="0"/>
                <w:sz w:val="20"/>
                <w:szCs w:val="20"/>
                <w:lang w:eastAsia="en-AU"/>
                <w14:ligatures w14:val="none"/>
              </w:rPr>
              <w:t>sodium diet</w:t>
            </w:r>
            <w:r w:rsidR="0039312C">
              <w:rPr>
                <w:rFonts w:eastAsia="Times New Roman" w:cs="Times New Roman"/>
                <w:color w:val="000000"/>
                <w:kern w:val="0"/>
                <w:sz w:val="20"/>
                <w:szCs w:val="20"/>
                <w:lang w:eastAsia="en-AU"/>
                <w14:ligatures w14:val="none"/>
              </w:rPr>
              <w:t xml:space="preserve"> or p</w:t>
            </w:r>
            <w:r w:rsidR="00777E53" w:rsidRPr="00777E53">
              <w:rPr>
                <w:rFonts w:eastAsia="Times New Roman" w:cs="Times New Roman"/>
                <w:color w:val="000000"/>
                <w:kern w:val="0"/>
                <w:sz w:val="20"/>
                <w:szCs w:val="20"/>
                <w:lang w:eastAsia="en-AU"/>
                <w14:ligatures w14:val="none"/>
              </w:rPr>
              <w:t xml:space="preserve">lacebo </w:t>
            </w:r>
            <w:proofErr w:type="gramStart"/>
            <w:r w:rsidR="00777E53" w:rsidRPr="00777E53">
              <w:rPr>
                <w:rFonts w:eastAsia="Times New Roman" w:cs="Times New Roman"/>
                <w:color w:val="000000"/>
                <w:kern w:val="0"/>
                <w:sz w:val="20"/>
                <w:szCs w:val="20"/>
                <w:lang w:eastAsia="en-AU"/>
                <w14:ligatures w14:val="none"/>
              </w:rPr>
              <w:t>tablets</w:t>
            </w:r>
            <w:r w:rsidR="0039312C">
              <w:rPr>
                <w:rFonts w:eastAsia="Times New Roman" w:cs="Times New Roman"/>
                <w:color w:val="000000"/>
                <w:kern w:val="0"/>
                <w:sz w:val="20"/>
                <w:szCs w:val="20"/>
                <w:lang w:eastAsia="en-AU"/>
                <w14:ligatures w14:val="none"/>
              </w:rPr>
              <w:t>,</w:t>
            </w:r>
            <w:proofErr w:type="gramEnd"/>
            <w:r w:rsidR="0039312C">
              <w:rPr>
                <w:rFonts w:eastAsia="Times New Roman" w:cs="Times New Roman"/>
                <w:color w:val="000000"/>
                <w:kern w:val="0"/>
                <w:sz w:val="20"/>
                <w:szCs w:val="20"/>
                <w:lang w:eastAsia="en-AU"/>
                <w14:ligatures w14:val="none"/>
              </w:rPr>
              <w:t xml:space="preserve"> high intake defined as high sodium diet or salt tablets.</w:t>
            </w:r>
            <w:r w:rsidR="0071299F">
              <w:rPr>
                <w:rFonts w:eastAsia="Times New Roman" w:cs="Times New Roman"/>
                <w:color w:val="000000"/>
                <w:kern w:val="0"/>
                <w:sz w:val="20"/>
                <w:szCs w:val="20"/>
                <w:lang w:eastAsia="en-AU"/>
                <w14:ligatures w14:val="none"/>
              </w:rPr>
              <w:t xml:space="preserve"> Sodium intake measured using 24-hour urine collection or estimated from a sample of at least 8 hours.</w:t>
            </w:r>
          </w:p>
          <w:p w14:paraId="403D09D3" w14:textId="1333D8CA" w:rsidR="00771F1A" w:rsidRPr="00771F1A" w:rsidRDefault="00771F1A" w:rsidP="00771F1A">
            <w:pPr>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O: </w:t>
            </w:r>
            <w:r w:rsidR="003C3F6A">
              <w:rPr>
                <w:rFonts w:eastAsia="Times New Roman" w:cs="Times New Roman"/>
                <w:color w:val="000000"/>
                <w:kern w:val="0"/>
                <w:sz w:val="20"/>
                <w:szCs w:val="20"/>
                <w:lang w:eastAsia="en-AU"/>
                <w14:ligatures w14:val="none"/>
              </w:rPr>
              <w:t>SBP, DBP</w:t>
            </w:r>
            <w:r w:rsidR="003C3F6A" w:rsidRPr="003C3F6A">
              <w:rPr>
                <w:rFonts w:eastAsia="Times New Roman" w:cs="Times New Roman"/>
                <w:color w:val="000000"/>
                <w:kern w:val="0"/>
                <w:sz w:val="20"/>
                <w:szCs w:val="20"/>
                <w:lang w:eastAsia="en-AU"/>
                <w14:ligatures w14:val="none"/>
              </w:rPr>
              <w:t xml:space="preserve"> and blood concentrations of renin, aldosterone, catecholamines, cholesterol, high-density lipoprotein (HDL), low-density lipoprotein (LDL) and triglyceride.</w:t>
            </w:r>
          </w:p>
          <w:p w14:paraId="7F80FCF8" w14:textId="1B9EA627" w:rsidR="000B7C18" w:rsidRPr="000E0B5A" w:rsidRDefault="00771F1A" w:rsidP="00771F1A">
            <w:pPr>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771F1A">
              <w:rPr>
                <w:rFonts w:eastAsia="Times New Roman" w:cs="Times New Roman"/>
                <w:color w:val="000000"/>
                <w:kern w:val="0"/>
                <w:sz w:val="20"/>
                <w:szCs w:val="20"/>
                <w:lang w:eastAsia="en-AU"/>
                <w14:ligatures w14:val="none"/>
              </w:rPr>
              <w:t>TS:</w:t>
            </w:r>
            <w:r w:rsidR="003C3F6A">
              <w:rPr>
                <w:rFonts w:eastAsia="Times New Roman" w:cs="Times New Roman"/>
                <w:color w:val="000000"/>
                <w:kern w:val="0"/>
                <w:sz w:val="20"/>
                <w:szCs w:val="20"/>
                <w:lang w:eastAsia="en-AU"/>
                <w14:ligatures w14:val="none"/>
              </w:rPr>
              <w:t xml:space="preserve"> RCTs; no minimum trial </w:t>
            </w:r>
            <w:r w:rsidR="0071299F">
              <w:rPr>
                <w:rFonts w:eastAsia="Times New Roman" w:cs="Times New Roman"/>
                <w:color w:val="000000"/>
                <w:kern w:val="0"/>
                <w:sz w:val="20"/>
                <w:szCs w:val="20"/>
                <w:lang w:eastAsia="en-AU"/>
                <w14:ligatures w14:val="none"/>
              </w:rPr>
              <w:t xml:space="preserve">period but </w:t>
            </w:r>
            <w:r w:rsidR="00755E96">
              <w:rPr>
                <w:rFonts w:eastAsia="Times New Roman" w:cs="Times New Roman"/>
                <w:color w:val="000000"/>
                <w:kern w:val="0"/>
                <w:sz w:val="20"/>
                <w:szCs w:val="20"/>
                <w:lang w:eastAsia="en-AU"/>
                <w14:ligatures w14:val="none"/>
              </w:rPr>
              <w:t xml:space="preserve">additional </w:t>
            </w:r>
            <w:r w:rsidR="0071299F">
              <w:rPr>
                <w:rFonts w:eastAsia="Times New Roman" w:cs="Times New Roman"/>
                <w:color w:val="000000"/>
                <w:kern w:val="0"/>
                <w:sz w:val="20"/>
                <w:szCs w:val="20"/>
                <w:lang w:eastAsia="en-AU"/>
                <w14:ligatures w14:val="none"/>
              </w:rPr>
              <w:t xml:space="preserve">sub-group analyses </w:t>
            </w:r>
            <w:r w:rsidR="00755E96">
              <w:rPr>
                <w:rFonts w:eastAsia="Times New Roman" w:cs="Times New Roman"/>
                <w:color w:val="000000"/>
                <w:kern w:val="0"/>
                <w:sz w:val="20"/>
                <w:szCs w:val="20"/>
                <w:lang w:eastAsia="en-AU"/>
                <w14:ligatures w14:val="none"/>
              </w:rPr>
              <w:t>performed in studies of at least 7 days duration</w:t>
            </w:r>
            <w:r w:rsidR="001825A7">
              <w:rPr>
                <w:rFonts w:eastAsia="Times New Roman" w:cs="Times New Roman"/>
                <w:color w:val="000000"/>
                <w:kern w:val="0"/>
                <w:sz w:val="20"/>
                <w:szCs w:val="20"/>
                <w:lang w:eastAsia="en-AU"/>
                <w14:ligatures w14:val="none"/>
              </w:rPr>
              <w:t>.</w:t>
            </w:r>
          </w:p>
        </w:tc>
        <w:tc>
          <w:tcPr>
            <w:tcW w:w="1984" w:type="dxa"/>
          </w:tcPr>
          <w:p w14:paraId="14B560DB" w14:textId="77777777" w:rsidR="005D6464" w:rsidRDefault="005D6464" w:rsidP="005D6464">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5D6464">
              <w:rPr>
                <w:rFonts w:eastAsia="Times New Roman" w:cs="Times New Roman"/>
                <w:color w:val="000000"/>
                <w:kern w:val="0"/>
                <w:sz w:val="20"/>
                <w:szCs w:val="20"/>
                <w:lang w:eastAsia="en-AU"/>
                <w14:ligatures w14:val="none"/>
              </w:rPr>
              <w:t>195 trials</w:t>
            </w:r>
            <w:r>
              <w:rPr>
                <w:rFonts w:eastAsia="Times New Roman" w:cs="Times New Roman"/>
                <w:color w:val="000000"/>
                <w:kern w:val="0"/>
                <w:sz w:val="20"/>
                <w:szCs w:val="20"/>
                <w:lang w:eastAsia="en-AU"/>
                <w14:ligatures w14:val="none"/>
              </w:rPr>
              <w:t xml:space="preserve">, </w:t>
            </w:r>
          </w:p>
          <w:p w14:paraId="1275C104" w14:textId="632B71B0" w:rsidR="005D6464" w:rsidRPr="000E0B5A" w:rsidRDefault="005D6464" w:rsidP="005D6464">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Pr>
                <w:rFonts w:eastAsia="Times New Roman" w:cs="Times New Roman"/>
                <w:color w:val="000000"/>
                <w:kern w:val="0"/>
                <w:sz w:val="20"/>
                <w:szCs w:val="20"/>
                <w:lang w:eastAsia="en-AU"/>
                <w14:ligatures w14:val="none"/>
              </w:rPr>
              <w:t>12,296 participants</w:t>
            </w:r>
          </w:p>
        </w:tc>
        <w:tc>
          <w:tcPr>
            <w:tcW w:w="1701" w:type="dxa"/>
          </w:tcPr>
          <w:p w14:paraId="2DB709AC" w14:textId="21EA7A0C" w:rsidR="005D6464" w:rsidRPr="002A25B8" w:rsidRDefault="005D6464" w:rsidP="005D6464">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2A25B8">
              <w:rPr>
                <w:rFonts w:eastAsia="Times New Roman" w:cs="Times New Roman"/>
                <w:i/>
                <w:iCs/>
                <w:color w:val="000000"/>
                <w:kern w:val="0"/>
                <w:sz w:val="20"/>
                <w:szCs w:val="20"/>
                <w:lang w:eastAsia="en-AU"/>
                <w14:ligatures w14:val="none"/>
              </w:rPr>
              <w:t xml:space="preserve">D1: </w:t>
            </w:r>
            <w:r>
              <w:rPr>
                <w:rFonts w:eastAsia="Times New Roman" w:cs="Times New Roman"/>
                <w:i/>
                <w:iCs/>
                <w:color w:val="000000"/>
                <w:kern w:val="0"/>
                <w:sz w:val="20"/>
                <w:szCs w:val="20"/>
                <w:lang w:eastAsia="en-AU"/>
                <w14:ligatures w14:val="none"/>
              </w:rPr>
              <w:t>LOW</w:t>
            </w:r>
          </w:p>
          <w:p w14:paraId="61FAD0A4" w14:textId="0A2FCE92" w:rsidR="005D6464" w:rsidRPr="002A25B8" w:rsidRDefault="005D6464" w:rsidP="005D6464">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2A25B8">
              <w:rPr>
                <w:rFonts w:eastAsia="Times New Roman" w:cs="Times New Roman"/>
                <w:i/>
                <w:iCs/>
                <w:color w:val="000000"/>
                <w:kern w:val="0"/>
                <w:sz w:val="20"/>
                <w:szCs w:val="20"/>
                <w:lang w:eastAsia="en-AU"/>
                <w14:ligatures w14:val="none"/>
              </w:rPr>
              <w:t xml:space="preserve">D2: </w:t>
            </w:r>
            <w:r>
              <w:rPr>
                <w:rFonts w:eastAsia="Times New Roman" w:cs="Times New Roman"/>
                <w:i/>
                <w:iCs/>
                <w:color w:val="000000"/>
                <w:kern w:val="0"/>
                <w:sz w:val="20"/>
                <w:szCs w:val="20"/>
                <w:lang w:eastAsia="en-AU"/>
                <w14:ligatures w14:val="none"/>
              </w:rPr>
              <w:t>LOW</w:t>
            </w:r>
          </w:p>
          <w:p w14:paraId="6E231684" w14:textId="77777777" w:rsidR="005D6464" w:rsidRPr="002A25B8" w:rsidRDefault="005D6464" w:rsidP="005D6464">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2A25B8">
              <w:rPr>
                <w:rFonts w:eastAsia="Times New Roman" w:cs="Times New Roman"/>
                <w:i/>
                <w:iCs/>
                <w:color w:val="000000"/>
                <w:kern w:val="0"/>
                <w:sz w:val="20"/>
                <w:szCs w:val="20"/>
                <w:lang w:eastAsia="en-AU"/>
                <w14:ligatures w14:val="none"/>
              </w:rPr>
              <w:t>D3: LOW</w:t>
            </w:r>
          </w:p>
          <w:p w14:paraId="5323B838" w14:textId="77777777" w:rsidR="005D6464" w:rsidRPr="002A25B8" w:rsidRDefault="005D6464" w:rsidP="005D6464">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2A25B8">
              <w:rPr>
                <w:rFonts w:eastAsia="Times New Roman" w:cs="Times New Roman"/>
                <w:i/>
                <w:iCs/>
                <w:color w:val="000000"/>
                <w:kern w:val="0"/>
                <w:sz w:val="20"/>
                <w:szCs w:val="20"/>
                <w:lang w:eastAsia="en-AU"/>
                <w14:ligatures w14:val="none"/>
              </w:rPr>
              <w:t>D4: LOW</w:t>
            </w:r>
          </w:p>
          <w:p w14:paraId="1C5F1656" w14:textId="77777777" w:rsidR="005D6464" w:rsidRPr="002A25B8" w:rsidRDefault="005D6464" w:rsidP="005D6464">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p>
          <w:p w14:paraId="06E89A7E" w14:textId="77777777" w:rsidR="005D6464" w:rsidRPr="002A25B8" w:rsidRDefault="005D6464" w:rsidP="005D6464">
            <w:pPr>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color w:val="000000"/>
                <w:kern w:val="0"/>
                <w:sz w:val="20"/>
                <w:szCs w:val="20"/>
                <w:lang w:eastAsia="en-AU"/>
                <w14:ligatures w14:val="none"/>
              </w:rPr>
            </w:pPr>
            <w:r w:rsidRPr="002A25B8">
              <w:rPr>
                <w:rFonts w:eastAsia="Times New Roman" w:cs="Times New Roman"/>
                <w:b/>
                <w:bCs/>
                <w:i/>
                <w:iCs/>
                <w:color w:val="000000"/>
                <w:kern w:val="0"/>
                <w:sz w:val="20"/>
                <w:szCs w:val="20"/>
                <w:lang w:eastAsia="en-AU"/>
                <w14:ligatures w14:val="none"/>
              </w:rPr>
              <w:t>OVERALL:</w:t>
            </w:r>
          </w:p>
          <w:p w14:paraId="4A7A60F0" w14:textId="13150C4B" w:rsidR="000B7C18" w:rsidRPr="000E0B5A" w:rsidRDefault="005D6464" w:rsidP="005D6464">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highlight w:val="yellow"/>
                <w:lang w:eastAsia="en-AU"/>
                <w14:ligatures w14:val="none"/>
              </w:rPr>
            </w:pPr>
            <w:r>
              <w:rPr>
                <w:rFonts w:eastAsia="Times New Roman" w:cs="Times New Roman"/>
                <w:b/>
                <w:bCs/>
                <w:i/>
                <w:iCs/>
                <w:color w:val="000000"/>
                <w:kern w:val="0"/>
                <w:sz w:val="20"/>
                <w:szCs w:val="20"/>
                <w:lang w:eastAsia="en-AU"/>
                <w14:ligatures w14:val="none"/>
              </w:rPr>
              <w:t>LOW</w:t>
            </w:r>
          </w:p>
        </w:tc>
      </w:tr>
      <w:tr w:rsidR="000B7C18" w:rsidRPr="001D5149" w14:paraId="489A7B5D" w14:textId="77777777" w:rsidTr="006C01F5">
        <w:trPr>
          <w:trHeight w:val="3360"/>
        </w:trPr>
        <w:tc>
          <w:tcPr>
            <w:cnfStyle w:val="001000000000" w:firstRow="0" w:lastRow="0" w:firstColumn="1" w:lastColumn="0" w:oddVBand="0" w:evenVBand="0" w:oddHBand="0" w:evenHBand="0" w:firstRowFirstColumn="0" w:firstRowLastColumn="0" w:lastRowFirstColumn="0" w:lastRowLastColumn="0"/>
            <w:tcW w:w="1271" w:type="dxa"/>
          </w:tcPr>
          <w:p w14:paraId="2DB6CBDD" w14:textId="65B11DBA" w:rsidR="000B7C18" w:rsidRPr="00102B30" w:rsidRDefault="006C01F5">
            <w:pPr>
              <w:jc w:val="center"/>
              <w:rPr>
                <w:rFonts w:eastAsia="Times New Roman" w:cs="Times New Roman"/>
                <w:color w:val="000000"/>
                <w:kern w:val="0"/>
                <w:sz w:val="20"/>
                <w:szCs w:val="20"/>
                <w:highlight w:val="yellow"/>
                <w:lang w:eastAsia="en-AU"/>
                <w14:ligatures w14:val="none"/>
              </w:rPr>
            </w:pPr>
            <w:r>
              <w:rPr>
                <w:sz w:val="20"/>
                <w:szCs w:val="20"/>
              </w:rPr>
              <w:lastRenderedPageBreak/>
              <w:fldChar w:fldCharType="begin">
                <w:fldData xml:space="preserve">PEVuZE5vdGU+PENpdGUgQXV0aG9yWWVhcj0iMSI+PEF1dGhvcj5IdWFuZzwvQXV0aG9yPjxZZWFy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</w:fldData>
              </w:fldChar>
            </w:r>
            <w:r>
              <w:rPr>
                <w:sz w:val="20"/>
                <w:szCs w:val="20"/>
              </w:rPr>
              <w:instrText xml:space="preserve"> ADDIN EN.CITE </w:instrText>
            </w:r>
            <w:r>
              <w:rPr>
                <w:sz w:val="20"/>
                <w:szCs w:val="20"/>
              </w:rPr>
              <w:fldChar w:fldCharType="begin">
                <w:fldData xml:space="preserve">PEVuZE5vdGU+PENpdGUgQXV0aG9yWWVhcj0iMSI+PEF1dGhvcj5IdWFuZzwvQXV0aG9yPjxZZWFy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Huang et al. (2020)</w:t>
            </w:r>
            <w:r>
              <w:rPr>
                <w:sz w:val="20"/>
                <w:szCs w:val="20"/>
              </w:rPr>
              <w:fldChar w:fldCharType="end"/>
            </w:r>
          </w:p>
        </w:tc>
        <w:tc>
          <w:tcPr>
            <w:tcW w:w="1979" w:type="dxa"/>
          </w:tcPr>
          <w:p w14:paraId="58B7A4EA" w14:textId="0D8F7345" w:rsidR="000B7C18" w:rsidRPr="000E0B5A" w:rsidRDefault="008B000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8B0003">
              <w:rPr>
                <w:rFonts w:eastAsia="Times New Roman" w:cs="Times New Roman"/>
                <w:color w:val="000000"/>
                <w:kern w:val="0"/>
                <w:sz w:val="20"/>
                <w:szCs w:val="20"/>
                <w:lang w:eastAsia="en-AU"/>
                <w14:ligatures w14:val="none"/>
              </w:rPr>
              <w:t>To examine the dose-response relation between reduction in dietary sodium and blood pressure change and to explore the impact of intervention duration</w:t>
            </w:r>
          </w:p>
        </w:tc>
        <w:tc>
          <w:tcPr>
            <w:tcW w:w="1417" w:type="dxa"/>
          </w:tcPr>
          <w:p w14:paraId="183E97BA" w14:textId="215C2A0D" w:rsidR="000B7C18" w:rsidRPr="000E0B5A" w:rsidRDefault="008B000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8B0003">
              <w:rPr>
                <w:rFonts w:eastAsia="Times New Roman" w:cs="Times New Roman"/>
                <w:color w:val="000000"/>
                <w:kern w:val="0"/>
                <w:sz w:val="20"/>
                <w:szCs w:val="20"/>
                <w:lang w:eastAsia="en-AU"/>
                <w14:ligatures w14:val="none"/>
              </w:rPr>
              <w:t>Database inception to 21 January 2019</w:t>
            </w:r>
          </w:p>
        </w:tc>
        <w:tc>
          <w:tcPr>
            <w:tcW w:w="5806" w:type="dxa"/>
          </w:tcPr>
          <w:p w14:paraId="7977C8F7" w14:textId="6909E25A" w:rsidR="00771F1A" w:rsidRPr="00771F1A" w:rsidRDefault="00771F1A" w:rsidP="005952D0">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P: </w:t>
            </w:r>
            <w:r w:rsidR="00E602E7" w:rsidRPr="00E602E7">
              <w:rPr>
                <w:rFonts w:eastAsia="Times New Roman" w:cs="Times New Roman"/>
                <w:color w:val="000000"/>
                <w:kern w:val="0"/>
                <w:sz w:val="20"/>
                <w:szCs w:val="20"/>
                <w:lang w:eastAsia="en-AU"/>
                <w14:ligatures w14:val="none"/>
              </w:rPr>
              <w:t>Adult populations</w:t>
            </w:r>
            <w:r w:rsidR="005952D0">
              <w:rPr>
                <w:rFonts w:eastAsia="Times New Roman" w:cs="Times New Roman"/>
                <w:color w:val="000000"/>
                <w:kern w:val="0"/>
                <w:sz w:val="20"/>
                <w:szCs w:val="20"/>
                <w:lang w:eastAsia="en-AU"/>
                <w14:ligatures w14:val="none"/>
              </w:rPr>
              <w:t xml:space="preserve"> aged 18 years and over excluding </w:t>
            </w:r>
            <w:r w:rsidR="005952D0" w:rsidRPr="005952D0">
              <w:rPr>
                <w:rFonts w:eastAsia="Times New Roman" w:cs="Times New Roman"/>
                <w:color w:val="000000"/>
                <w:kern w:val="0"/>
                <w:sz w:val="20"/>
                <w:szCs w:val="20"/>
                <w:lang w:eastAsia="en-AU"/>
                <w14:ligatures w14:val="none"/>
              </w:rPr>
              <w:t xml:space="preserve">pregnant </w:t>
            </w:r>
            <w:r w:rsidR="00A0102C">
              <w:rPr>
                <w:rFonts w:eastAsia="Times New Roman" w:cs="Times New Roman"/>
                <w:color w:val="000000"/>
                <w:kern w:val="0"/>
                <w:sz w:val="20"/>
                <w:szCs w:val="20"/>
                <w:lang w:eastAsia="en-AU"/>
                <w14:ligatures w14:val="none"/>
              </w:rPr>
              <w:t>females</w:t>
            </w:r>
            <w:r w:rsidR="005952D0" w:rsidRPr="005952D0">
              <w:rPr>
                <w:rFonts w:eastAsia="Times New Roman" w:cs="Times New Roman"/>
                <w:color w:val="000000"/>
                <w:kern w:val="0"/>
                <w:sz w:val="20"/>
                <w:szCs w:val="20"/>
                <w:lang w:eastAsia="en-AU"/>
                <w14:ligatures w14:val="none"/>
              </w:rPr>
              <w:t>, or individuals with</w:t>
            </w:r>
            <w:r w:rsidR="005952D0">
              <w:rPr>
                <w:rFonts w:eastAsia="Times New Roman" w:cs="Times New Roman"/>
                <w:color w:val="000000"/>
                <w:kern w:val="0"/>
                <w:sz w:val="20"/>
                <w:szCs w:val="20"/>
                <w:lang w:eastAsia="en-AU"/>
                <w14:ligatures w14:val="none"/>
              </w:rPr>
              <w:t xml:space="preserve"> </w:t>
            </w:r>
            <w:r w:rsidR="005952D0" w:rsidRPr="005952D0">
              <w:rPr>
                <w:rFonts w:eastAsia="Times New Roman" w:cs="Times New Roman"/>
                <w:color w:val="000000"/>
                <w:kern w:val="0"/>
                <w:sz w:val="20"/>
                <w:szCs w:val="20"/>
                <w:lang w:eastAsia="en-AU"/>
                <w14:ligatures w14:val="none"/>
              </w:rPr>
              <w:t>confounding chronic conditions such as chronic</w:t>
            </w:r>
            <w:r w:rsidR="005952D0">
              <w:rPr>
                <w:rFonts w:eastAsia="Times New Roman" w:cs="Times New Roman"/>
                <w:color w:val="000000"/>
                <w:kern w:val="0"/>
                <w:sz w:val="20"/>
                <w:szCs w:val="20"/>
                <w:lang w:eastAsia="en-AU"/>
                <w14:ligatures w14:val="none"/>
              </w:rPr>
              <w:t xml:space="preserve"> </w:t>
            </w:r>
            <w:r w:rsidR="005952D0" w:rsidRPr="005952D0">
              <w:rPr>
                <w:rFonts w:eastAsia="Times New Roman" w:cs="Times New Roman"/>
                <w:color w:val="000000"/>
                <w:kern w:val="0"/>
                <w:sz w:val="20"/>
                <w:szCs w:val="20"/>
                <w:lang w:eastAsia="en-AU"/>
                <w14:ligatures w14:val="none"/>
              </w:rPr>
              <w:t>kidney disease or heart failure.</w:t>
            </w:r>
          </w:p>
          <w:p w14:paraId="0365AF15" w14:textId="29F04E2E" w:rsidR="00771F1A" w:rsidRPr="00771F1A" w:rsidRDefault="00771F1A" w:rsidP="00771F1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I/E/C: </w:t>
            </w:r>
            <w:r w:rsidR="007432B3">
              <w:rPr>
                <w:rFonts w:eastAsia="Times New Roman" w:cs="Times New Roman"/>
                <w:color w:val="000000"/>
                <w:kern w:val="0"/>
                <w:sz w:val="20"/>
                <w:szCs w:val="20"/>
                <w:lang w:eastAsia="en-AU"/>
                <w14:ligatures w14:val="none"/>
              </w:rPr>
              <w:t>Low vs high sodium intake, measured using 24-hour urinary sodium excretion</w:t>
            </w:r>
          </w:p>
          <w:p w14:paraId="6EFA7C23" w14:textId="3003C69D" w:rsidR="00771F1A" w:rsidRPr="00771F1A" w:rsidRDefault="00771F1A" w:rsidP="00771F1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O: </w:t>
            </w:r>
            <w:r w:rsidR="007432B3">
              <w:rPr>
                <w:rFonts w:eastAsia="Times New Roman" w:cs="Times New Roman"/>
                <w:color w:val="000000"/>
                <w:kern w:val="0"/>
                <w:sz w:val="20"/>
                <w:szCs w:val="20"/>
                <w:lang w:eastAsia="en-AU"/>
                <w14:ligatures w14:val="none"/>
              </w:rPr>
              <w:t>SBP, DBP</w:t>
            </w:r>
          </w:p>
          <w:p w14:paraId="344F7192" w14:textId="040C1998" w:rsidR="000B7C18" w:rsidRPr="000E0B5A" w:rsidRDefault="00771F1A" w:rsidP="00771F1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771F1A">
              <w:rPr>
                <w:rFonts w:eastAsia="Times New Roman" w:cs="Times New Roman"/>
                <w:color w:val="000000"/>
                <w:kern w:val="0"/>
                <w:sz w:val="20"/>
                <w:szCs w:val="20"/>
                <w:lang w:eastAsia="en-AU"/>
                <w14:ligatures w14:val="none"/>
              </w:rPr>
              <w:t>TS:</w:t>
            </w:r>
            <w:r w:rsidR="007432B3">
              <w:rPr>
                <w:rFonts w:eastAsia="Times New Roman" w:cs="Times New Roman"/>
                <w:color w:val="000000"/>
                <w:kern w:val="0"/>
                <w:sz w:val="20"/>
                <w:szCs w:val="20"/>
                <w:lang w:eastAsia="en-AU"/>
                <w14:ligatures w14:val="none"/>
              </w:rPr>
              <w:t xml:space="preserve"> RCTs</w:t>
            </w:r>
            <w:r w:rsidR="0071299F">
              <w:rPr>
                <w:rFonts w:eastAsia="Times New Roman" w:cs="Times New Roman"/>
                <w:color w:val="000000"/>
                <w:kern w:val="0"/>
                <w:sz w:val="20"/>
                <w:szCs w:val="20"/>
                <w:lang w:eastAsia="en-AU"/>
                <w14:ligatures w14:val="none"/>
              </w:rPr>
              <w:t xml:space="preserve">; no minimum trial </w:t>
            </w:r>
            <w:r w:rsidR="00EA7681">
              <w:rPr>
                <w:rFonts w:eastAsia="Times New Roman" w:cs="Times New Roman"/>
                <w:color w:val="000000"/>
                <w:kern w:val="0"/>
                <w:sz w:val="20"/>
                <w:szCs w:val="20"/>
                <w:lang w:eastAsia="en-AU"/>
                <w14:ligatures w14:val="none"/>
              </w:rPr>
              <w:t>period but additional sub-group analyses performed in studies of at least 2 weeks duration</w:t>
            </w:r>
          </w:p>
        </w:tc>
        <w:tc>
          <w:tcPr>
            <w:tcW w:w="1984" w:type="dxa"/>
          </w:tcPr>
          <w:p w14:paraId="73C36E60" w14:textId="77777777" w:rsidR="000B7C18" w:rsidRPr="007432B3" w:rsidRDefault="007432B3">
            <w:pPr>
              <w:spacing w:after="1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7432B3">
              <w:rPr>
                <w:rFonts w:eastAsia="Times New Roman" w:cs="Times New Roman"/>
                <w:color w:val="000000"/>
                <w:kern w:val="0"/>
                <w:sz w:val="20"/>
                <w:szCs w:val="20"/>
                <w:lang w:eastAsia="en-AU"/>
                <w14:ligatures w14:val="none"/>
              </w:rPr>
              <w:t>133 trials,</w:t>
            </w:r>
          </w:p>
          <w:p w14:paraId="66C4ADF3" w14:textId="1CE26A97" w:rsidR="007432B3" w:rsidRPr="000E0B5A" w:rsidRDefault="007432B3">
            <w:pPr>
              <w:spacing w:after="1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7432B3">
              <w:rPr>
                <w:rFonts w:eastAsia="Times New Roman" w:cs="Times New Roman"/>
                <w:color w:val="000000"/>
                <w:kern w:val="0"/>
                <w:sz w:val="20"/>
                <w:szCs w:val="20"/>
                <w:lang w:eastAsia="en-AU"/>
                <w14:ligatures w14:val="none"/>
              </w:rPr>
              <w:t>12,197 participants</w:t>
            </w:r>
          </w:p>
        </w:tc>
        <w:tc>
          <w:tcPr>
            <w:tcW w:w="1701" w:type="dxa"/>
          </w:tcPr>
          <w:p w14:paraId="4EF8AF4E" w14:textId="77777777" w:rsidR="00EA7681" w:rsidRPr="002A25B8" w:rsidRDefault="00EA7681" w:rsidP="00EA7681">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2A25B8">
              <w:rPr>
                <w:rFonts w:eastAsia="Times New Roman" w:cs="Times New Roman"/>
                <w:i/>
                <w:iCs/>
                <w:color w:val="000000"/>
                <w:kern w:val="0"/>
                <w:sz w:val="20"/>
                <w:szCs w:val="20"/>
                <w:lang w:eastAsia="en-AU"/>
                <w14:ligatures w14:val="none"/>
              </w:rPr>
              <w:t xml:space="preserve">D1: </w:t>
            </w:r>
            <w:r>
              <w:rPr>
                <w:rFonts w:eastAsia="Times New Roman" w:cs="Times New Roman"/>
                <w:i/>
                <w:iCs/>
                <w:color w:val="000000"/>
                <w:kern w:val="0"/>
                <w:sz w:val="20"/>
                <w:szCs w:val="20"/>
                <w:lang w:eastAsia="en-AU"/>
                <w14:ligatures w14:val="none"/>
              </w:rPr>
              <w:t>LOW</w:t>
            </w:r>
          </w:p>
          <w:p w14:paraId="356A1FB9" w14:textId="77777777" w:rsidR="00EA7681" w:rsidRPr="002A25B8" w:rsidRDefault="00EA7681" w:rsidP="00EA7681">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2A25B8">
              <w:rPr>
                <w:rFonts w:eastAsia="Times New Roman" w:cs="Times New Roman"/>
                <w:i/>
                <w:iCs/>
                <w:color w:val="000000"/>
                <w:kern w:val="0"/>
                <w:sz w:val="20"/>
                <w:szCs w:val="20"/>
                <w:lang w:eastAsia="en-AU"/>
                <w14:ligatures w14:val="none"/>
              </w:rPr>
              <w:t xml:space="preserve">D2: </w:t>
            </w:r>
            <w:r>
              <w:rPr>
                <w:rFonts w:eastAsia="Times New Roman" w:cs="Times New Roman"/>
                <w:i/>
                <w:iCs/>
                <w:color w:val="000000"/>
                <w:kern w:val="0"/>
                <w:sz w:val="20"/>
                <w:szCs w:val="20"/>
                <w:lang w:eastAsia="en-AU"/>
                <w14:ligatures w14:val="none"/>
              </w:rPr>
              <w:t>LOW</w:t>
            </w:r>
          </w:p>
          <w:p w14:paraId="434FD49F" w14:textId="77777777" w:rsidR="00EA7681" w:rsidRPr="002A25B8" w:rsidRDefault="00EA7681" w:rsidP="00EA7681">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2A25B8">
              <w:rPr>
                <w:rFonts w:eastAsia="Times New Roman" w:cs="Times New Roman"/>
                <w:i/>
                <w:iCs/>
                <w:color w:val="000000"/>
                <w:kern w:val="0"/>
                <w:sz w:val="20"/>
                <w:szCs w:val="20"/>
                <w:lang w:eastAsia="en-AU"/>
                <w14:ligatures w14:val="none"/>
              </w:rPr>
              <w:t>D3: LOW</w:t>
            </w:r>
          </w:p>
          <w:p w14:paraId="689CBE7C" w14:textId="77777777" w:rsidR="00EA7681" w:rsidRPr="002A25B8" w:rsidRDefault="00EA7681" w:rsidP="00EA7681">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2A25B8">
              <w:rPr>
                <w:rFonts w:eastAsia="Times New Roman" w:cs="Times New Roman"/>
                <w:i/>
                <w:iCs/>
                <w:color w:val="000000"/>
                <w:kern w:val="0"/>
                <w:sz w:val="20"/>
                <w:szCs w:val="20"/>
                <w:lang w:eastAsia="en-AU"/>
                <w14:ligatures w14:val="none"/>
              </w:rPr>
              <w:t>D4: LOW</w:t>
            </w:r>
          </w:p>
          <w:p w14:paraId="60449C5F" w14:textId="77777777" w:rsidR="00EA7681" w:rsidRPr="002A25B8" w:rsidRDefault="00EA7681" w:rsidP="00EA7681">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p>
          <w:p w14:paraId="432FD5FB" w14:textId="77777777" w:rsidR="00EA7681" w:rsidRPr="002A25B8" w:rsidRDefault="00EA7681" w:rsidP="00EA7681">
            <w:pPr>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color w:val="000000"/>
                <w:kern w:val="0"/>
                <w:sz w:val="20"/>
                <w:szCs w:val="20"/>
                <w:lang w:eastAsia="en-AU"/>
                <w14:ligatures w14:val="none"/>
              </w:rPr>
            </w:pPr>
            <w:r w:rsidRPr="002A25B8">
              <w:rPr>
                <w:rFonts w:eastAsia="Times New Roman" w:cs="Times New Roman"/>
                <w:b/>
                <w:bCs/>
                <w:i/>
                <w:iCs/>
                <w:color w:val="000000"/>
                <w:kern w:val="0"/>
                <w:sz w:val="20"/>
                <w:szCs w:val="20"/>
                <w:lang w:eastAsia="en-AU"/>
                <w14:ligatures w14:val="none"/>
              </w:rPr>
              <w:t>OVERALL:</w:t>
            </w:r>
          </w:p>
          <w:p w14:paraId="22524129" w14:textId="1D30E67C" w:rsidR="000B7C18" w:rsidRPr="000E0B5A" w:rsidRDefault="00EA7681" w:rsidP="00EA7681">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highlight w:val="yellow"/>
                <w:lang w:eastAsia="en-AU"/>
                <w14:ligatures w14:val="none"/>
              </w:rPr>
            </w:pPr>
            <w:r>
              <w:rPr>
                <w:rFonts w:eastAsia="Times New Roman" w:cs="Times New Roman"/>
                <w:b/>
                <w:bCs/>
                <w:i/>
                <w:iCs/>
                <w:color w:val="000000"/>
                <w:kern w:val="0"/>
                <w:sz w:val="20"/>
                <w:szCs w:val="20"/>
                <w:lang w:eastAsia="en-AU"/>
                <w14:ligatures w14:val="none"/>
              </w:rPr>
              <w:t>LOW</w:t>
            </w:r>
          </w:p>
        </w:tc>
      </w:tr>
      <w:tr w:rsidR="000B7C18" w:rsidRPr="001D5149" w14:paraId="42A3EEB8" w14:textId="77777777" w:rsidTr="006C01F5">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4158" w:type="dxa"/>
            <w:gridSpan w:val="6"/>
            <w:shd w:val="clear" w:color="auto" w:fill="C1E4F5" w:themeFill="accent1" w:themeFillTint="33"/>
          </w:tcPr>
          <w:p w14:paraId="697B84D6" w14:textId="77777777" w:rsidR="000B7C18" w:rsidRPr="00630CF3" w:rsidRDefault="000B7C18">
            <w:pPr>
              <w:rPr>
                <w:rFonts w:eastAsia="Times New Roman" w:cs="Times New Roman"/>
                <w:i/>
                <w:iCs/>
                <w:color w:val="000000"/>
                <w:kern w:val="0"/>
                <w:sz w:val="20"/>
                <w:szCs w:val="20"/>
                <w:lang w:eastAsia="en-AU"/>
                <w14:ligatures w14:val="none"/>
              </w:rPr>
            </w:pPr>
            <w:r w:rsidRPr="00630CF3">
              <w:rPr>
                <w:rFonts w:eastAsia="Times New Roman" w:cs="Times New Roman"/>
                <w:color w:val="000000" w:themeColor="text1"/>
                <w:kern w:val="0"/>
                <w:sz w:val="20"/>
                <w:szCs w:val="20"/>
                <w:lang w:eastAsia="en-AU"/>
                <w14:ligatures w14:val="none"/>
              </w:rPr>
              <w:t>Blood pressure in children</w:t>
            </w:r>
          </w:p>
        </w:tc>
      </w:tr>
      <w:tr w:rsidR="000B7C18" w:rsidRPr="001D5149" w14:paraId="453EF218" w14:textId="77777777" w:rsidTr="006C01F5">
        <w:trPr>
          <w:trHeight w:val="3360"/>
        </w:trPr>
        <w:tc>
          <w:tcPr>
            <w:cnfStyle w:val="001000000000" w:firstRow="0" w:lastRow="0" w:firstColumn="1" w:lastColumn="0" w:oddVBand="0" w:evenVBand="0" w:oddHBand="0" w:evenHBand="0" w:firstRowFirstColumn="0" w:firstRowLastColumn="0" w:lastRowFirstColumn="0" w:lastRowLastColumn="0"/>
            <w:tcW w:w="1271" w:type="dxa"/>
          </w:tcPr>
          <w:p w14:paraId="2609CEAE" w14:textId="01BC1D1E" w:rsidR="000B7C18" w:rsidRPr="00042618" w:rsidRDefault="00C04168" w:rsidP="00042618">
            <w:pPr>
              <w:jc w:val="center"/>
              <w:rPr>
                <w:b w:val="0"/>
                <w:bCs w:val="0"/>
                <w:sz w:val="20"/>
                <w:szCs w:val="20"/>
              </w:rPr>
            </w:pPr>
            <w:r>
              <w:rPr>
                <w:sz w:val="20"/>
                <w:szCs w:val="20"/>
              </w:rPr>
              <w:fldChar w:fldCharType="begin"/>
            </w:r>
            <w:r w:rsidR="00042618" w:rsidRPr="00042618">
              <w:rPr>
                <w:sz w:val="20"/>
                <w:szCs w:val="20"/>
              </w:rPr>
              <w:instrText xml:space="preserve"> ADDIN EN.CITE &lt;EndNote&gt;&lt;Cite AuthorYear="1"&gt;&lt;Author&gt;Leyvraz&lt;/Author&gt;&lt;Year&gt;2018&lt;/Year&gt;&lt;RecNum&gt;260&lt;/RecNum&gt;&lt;DisplayText&gt;Leyvraz et al. (2018)&lt;/DisplayText&gt;&lt;record&gt;&lt;rec-number&gt;260&lt;/rec-number&gt;&lt;foreign-keys&gt;&lt;key app="EN" db-id="wwsdv2wwp29fenerv0kx5tw9zxtx2fdrprx2" timestamp="1762743452"&gt;260&lt;/key&gt;&lt;/foreign-keys&gt;&lt;ref-type name="Journal Article"&gt;17&lt;/ref-type&gt;&lt;contributors&gt;&lt;authors&gt;&lt;author&gt;Leyvraz, M.&lt;/author&gt;&lt;author&gt;Chatelan, A.&lt;/author&gt;&lt;author&gt;da Costa, B. R.&lt;/author&gt;&lt;author&gt;Taffé, P.&lt;/author&gt;&lt;author&gt;Paradis, G.&lt;/author&gt;&lt;author&gt;Bovet, P.&lt;/author&gt;&lt;author&gt;Bochud, M.&lt;/author&gt;&lt;author&gt;Chiolero, A.&lt;/author&gt;&lt;/authors&gt;&lt;/contributors&gt;&lt;auth-address&gt;Institute of Social and Preventive Medicine (IUMSP), Lausanne University Hospital (CHUV), Lausanne, Switzerland.&amp;#xD;Institute of Primary Health Care (BIHAM), University of Bern, Bern, Switzerland.&amp;#xD;Department of Epidemiology, Biostatistics and Occupational Health, McGill University, Montreal, Canada.&lt;/auth-address&gt;&lt;titles&gt;&lt;title&gt;Sodium intake and blood pressure in children and adolescents: a systematic review and meta-analysis of experimental and observational studies&lt;/title&gt;&lt;secondary-title&gt;Int J Epidemiol&lt;/secondary-title&gt;&lt;/titles&gt;&lt;periodical&gt;&lt;full-title&gt;Int J Epidemiol&lt;/full-title&gt;&lt;/periodical&gt;&lt;pages&gt;1796-1810&lt;/pages&gt;&lt;volume&gt;47&lt;/volume&gt;&lt;number&gt;6&lt;/number&gt;&lt;keywords&gt;&lt;keyword&gt;Adolescent&lt;/keyword&gt;&lt;keyword&gt;*Blood Pressure&lt;/keyword&gt;&lt;keyword&gt;Blood Pressure Determination&lt;/keyword&gt;&lt;keyword&gt;Child&lt;/keyword&gt;&lt;keyword&gt;Humans&lt;/keyword&gt;&lt;keyword&gt;Hypertension/*prevention &amp;amp; control&lt;/keyword&gt;&lt;keyword&gt;Observational Studies as Topic&lt;/keyword&gt;&lt;keyword&gt;Overweight/*etiology&lt;/keyword&gt;&lt;keyword&gt;Sodium Chloride, Dietary/*administration &amp;amp; dosage&lt;/keyword&gt;&lt;/keywords&gt;&lt;dates&gt;&lt;year&gt;2018&lt;/year&gt;&lt;pub-dates&gt;&lt;date&gt;Dec 1&lt;/date&gt;&lt;/pub-dates&gt;&lt;/dates&gt;&lt;isbn&gt;0300-5771&lt;/isbn&gt;&lt;accession-num&gt;29955869&lt;/accession-num&gt;&lt;urls&gt;&lt;/urls&gt;&lt;electronic-resource-num&gt;10.1093/ije/dyy121&lt;/electronic-resource-num&gt;&lt;remote-database-provider&gt;NLM&lt;/remote-database-provider&gt;&lt;language&gt;eng&lt;/language&gt;&lt;/record&gt;&lt;/Cite&gt;&lt;/EndNote&gt;</w:instrText>
            </w:r>
            <w:r>
              <w:rPr>
                <w:sz w:val="20"/>
                <w:szCs w:val="20"/>
              </w:rPr>
              <w:fldChar w:fldCharType="separate"/>
            </w:r>
            <w:r w:rsidR="00042618" w:rsidRPr="00042618">
              <w:rPr>
                <w:noProof/>
                <w:sz w:val="20"/>
                <w:szCs w:val="20"/>
              </w:rPr>
              <w:t>Leyvraz</w:t>
            </w:r>
            <w:r w:rsidR="00042618">
              <w:rPr>
                <w:b w:val="0"/>
                <w:bCs w:val="0"/>
                <w:noProof/>
                <w:sz w:val="20"/>
                <w:szCs w:val="20"/>
              </w:rPr>
              <w:t xml:space="preserve"> </w:t>
            </w:r>
            <w:r w:rsidR="00042618" w:rsidRPr="00042618">
              <w:rPr>
                <w:noProof/>
                <w:sz w:val="20"/>
                <w:szCs w:val="20"/>
              </w:rPr>
              <w:t>et al. (2018)</w:t>
            </w:r>
            <w:r>
              <w:rPr>
                <w:sz w:val="20"/>
                <w:szCs w:val="20"/>
              </w:rPr>
              <w:fldChar w:fldCharType="end"/>
            </w:r>
          </w:p>
        </w:tc>
        <w:tc>
          <w:tcPr>
            <w:tcW w:w="1979" w:type="dxa"/>
          </w:tcPr>
          <w:p w14:paraId="0CF427A6" w14:textId="77777777" w:rsidR="00630CF3" w:rsidRPr="00630CF3" w:rsidRDefault="008E0FE6" w:rsidP="00630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630CF3">
              <w:rPr>
                <w:rFonts w:eastAsia="Times New Roman" w:cs="Times New Roman"/>
                <w:color w:val="000000"/>
                <w:kern w:val="0"/>
                <w:sz w:val="20"/>
                <w:szCs w:val="20"/>
                <w:lang w:eastAsia="en-AU"/>
                <w14:ligatures w14:val="none"/>
              </w:rPr>
              <w:t xml:space="preserve">To examine the </w:t>
            </w:r>
            <w:r w:rsidR="00630CF3" w:rsidRPr="00630CF3">
              <w:rPr>
                <w:rFonts w:eastAsia="Times New Roman" w:cs="Times New Roman"/>
                <w:color w:val="000000"/>
                <w:kern w:val="0"/>
                <w:sz w:val="20"/>
                <w:szCs w:val="20"/>
                <w:lang w:eastAsia="en-AU"/>
                <w14:ligatures w14:val="none"/>
              </w:rPr>
              <w:t>association between sodium intake and blood pressure in children and</w:t>
            </w:r>
          </w:p>
          <w:p w14:paraId="614AA7C6" w14:textId="0DA1C35B" w:rsidR="000B7C18" w:rsidRPr="00630CF3" w:rsidRDefault="00630CF3" w:rsidP="00630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630CF3">
              <w:rPr>
                <w:rFonts w:eastAsia="Times New Roman" w:cs="Times New Roman"/>
                <w:color w:val="000000"/>
                <w:kern w:val="0"/>
                <w:sz w:val="20"/>
                <w:szCs w:val="20"/>
                <w:lang w:eastAsia="en-AU"/>
                <w14:ligatures w14:val="none"/>
              </w:rPr>
              <w:t>adolescents</w:t>
            </w:r>
          </w:p>
        </w:tc>
        <w:tc>
          <w:tcPr>
            <w:tcW w:w="1417" w:type="dxa"/>
          </w:tcPr>
          <w:p w14:paraId="08134A79" w14:textId="1B9DC5D9" w:rsidR="000B7C18" w:rsidRPr="000E0B5A" w:rsidRDefault="00630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630CF3">
              <w:rPr>
                <w:rFonts w:eastAsia="Times New Roman" w:cs="Times New Roman"/>
                <w:color w:val="000000"/>
                <w:kern w:val="0"/>
                <w:sz w:val="20"/>
                <w:szCs w:val="20"/>
                <w:lang w:eastAsia="en-AU"/>
                <w14:ligatures w14:val="none"/>
              </w:rPr>
              <w:t>Database inception to</w:t>
            </w:r>
            <w:r w:rsidRPr="00630CF3">
              <w:rPr>
                <w:rFonts w:ascii="AdvPSSAB-R" w:hAnsi="AdvPSSAB-R" w:cs="AdvPSSAB-R"/>
                <w:kern w:val="0"/>
                <w:sz w:val="19"/>
                <w:szCs w:val="19"/>
              </w:rPr>
              <w:t xml:space="preserve"> </w:t>
            </w:r>
            <w:r w:rsidRPr="00630CF3">
              <w:rPr>
                <w:rFonts w:eastAsia="Times New Roman" w:cs="Times New Roman"/>
                <w:color w:val="000000"/>
                <w:kern w:val="0"/>
                <w:sz w:val="20"/>
                <w:szCs w:val="20"/>
                <w:lang w:eastAsia="en-AU"/>
                <w14:ligatures w14:val="none"/>
              </w:rPr>
              <w:t>9 March 2017</w:t>
            </w:r>
          </w:p>
        </w:tc>
        <w:tc>
          <w:tcPr>
            <w:tcW w:w="5806" w:type="dxa"/>
          </w:tcPr>
          <w:p w14:paraId="3CCAA224" w14:textId="5D0D57A9" w:rsidR="00771F1A" w:rsidRPr="00771F1A" w:rsidRDefault="00771F1A" w:rsidP="00A50459">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P: </w:t>
            </w:r>
            <w:r w:rsidR="00C66EB7">
              <w:rPr>
                <w:rFonts w:eastAsia="Times New Roman" w:cs="Times New Roman"/>
                <w:color w:val="000000"/>
                <w:kern w:val="0"/>
                <w:sz w:val="20"/>
                <w:szCs w:val="20"/>
                <w:lang w:eastAsia="en-AU"/>
                <w14:ligatures w14:val="none"/>
              </w:rPr>
              <w:t>C</w:t>
            </w:r>
            <w:r w:rsidR="00C66EB7" w:rsidRPr="00C66EB7">
              <w:rPr>
                <w:rFonts w:eastAsia="Times New Roman" w:cs="Times New Roman"/>
                <w:color w:val="000000"/>
                <w:kern w:val="0"/>
                <w:sz w:val="20"/>
                <w:szCs w:val="20"/>
                <w:lang w:eastAsia="en-AU"/>
                <w14:ligatures w14:val="none"/>
              </w:rPr>
              <w:t>hildren or adolescents</w:t>
            </w:r>
            <w:r w:rsidR="00C66EB7">
              <w:rPr>
                <w:rFonts w:eastAsia="Times New Roman" w:cs="Times New Roman"/>
                <w:color w:val="000000"/>
                <w:kern w:val="0"/>
                <w:sz w:val="20"/>
                <w:szCs w:val="20"/>
                <w:lang w:eastAsia="en-AU"/>
                <w14:ligatures w14:val="none"/>
              </w:rPr>
              <w:t xml:space="preserve"> aged </w:t>
            </w:r>
            <w:r w:rsidR="00C66EB7" w:rsidRPr="00C66EB7">
              <w:rPr>
                <w:rFonts w:eastAsia="Times New Roman" w:cs="Times New Roman"/>
                <w:color w:val="000000"/>
                <w:kern w:val="0"/>
                <w:sz w:val="20"/>
                <w:szCs w:val="20"/>
                <w:lang w:eastAsia="en-AU"/>
                <w14:ligatures w14:val="none"/>
              </w:rPr>
              <w:t>between 0 and 18 years</w:t>
            </w:r>
            <w:r w:rsidR="00A50459">
              <w:rPr>
                <w:rFonts w:eastAsia="Times New Roman" w:cs="Times New Roman"/>
                <w:color w:val="000000"/>
                <w:kern w:val="0"/>
                <w:sz w:val="20"/>
                <w:szCs w:val="20"/>
                <w:lang w:eastAsia="en-AU"/>
                <w14:ligatures w14:val="none"/>
              </w:rPr>
              <w:t xml:space="preserve">, excluding those in hospital or </w:t>
            </w:r>
            <w:r w:rsidR="00A50459" w:rsidRPr="00A50459">
              <w:rPr>
                <w:rFonts w:eastAsia="Times New Roman" w:cs="Times New Roman"/>
                <w:color w:val="000000"/>
                <w:kern w:val="0"/>
                <w:sz w:val="20"/>
                <w:szCs w:val="20"/>
                <w:lang w:eastAsia="en-AU"/>
                <w14:ligatures w14:val="none"/>
              </w:rPr>
              <w:t>with any clinical conditions.</w:t>
            </w:r>
          </w:p>
          <w:p w14:paraId="44BB1399" w14:textId="19EA54CC" w:rsidR="00771F1A" w:rsidRPr="00771F1A" w:rsidRDefault="00771F1A" w:rsidP="00771F1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I/E/C: </w:t>
            </w:r>
            <w:r w:rsidR="00A50459">
              <w:rPr>
                <w:rFonts w:eastAsia="Times New Roman" w:cs="Times New Roman"/>
                <w:color w:val="000000"/>
                <w:kern w:val="0"/>
                <w:sz w:val="20"/>
                <w:szCs w:val="20"/>
                <w:lang w:eastAsia="en-AU"/>
                <w14:ligatures w14:val="none"/>
              </w:rPr>
              <w:t>Comparison or low vs high sodium intake or exposure</w:t>
            </w:r>
            <w:r w:rsidR="00996752">
              <w:rPr>
                <w:rFonts w:eastAsia="Times New Roman" w:cs="Times New Roman"/>
                <w:color w:val="000000"/>
                <w:kern w:val="0"/>
                <w:sz w:val="20"/>
                <w:szCs w:val="20"/>
                <w:lang w:eastAsia="en-AU"/>
                <w14:ligatures w14:val="none"/>
              </w:rPr>
              <w:t xml:space="preserve">. No minimum criteria for measuring sodium intake were specified, although </w:t>
            </w:r>
            <w:r w:rsidR="001C0663">
              <w:rPr>
                <w:rFonts w:eastAsia="Times New Roman" w:cs="Times New Roman"/>
                <w:color w:val="000000"/>
                <w:kern w:val="0"/>
                <w:sz w:val="20"/>
                <w:szCs w:val="20"/>
                <w:lang w:eastAsia="en-AU"/>
                <w14:ligatures w14:val="none"/>
              </w:rPr>
              <w:t xml:space="preserve">studies that reported 24-hour urine collection were judged to be </w:t>
            </w:r>
            <w:r w:rsidR="00F53E77">
              <w:rPr>
                <w:rFonts w:eastAsia="Times New Roman" w:cs="Times New Roman"/>
                <w:color w:val="000000"/>
                <w:kern w:val="0"/>
                <w:sz w:val="20"/>
                <w:szCs w:val="20"/>
                <w:lang w:eastAsia="en-AU"/>
                <w14:ligatures w14:val="none"/>
              </w:rPr>
              <w:t xml:space="preserve">of </w:t>
            </w:r>
            <w:r w:rsidR="001C0663">
              <w:rPr>
                <w:rFonts w:eastAsia="Times New Roman" w:cs="Times New Roman"/>
                <w:color w:val="000000"/>
                <w:kern w:val="0"/>
                <w:sz w:val="20"/>
                <w:szCs w:val="20"/>
                <w:lang w:eastAsia="en-AU"/>
                <w14:ligatures w14:val="none"/>
              </w:rPr>
              <w:t>high</w:t>
            </w:r>
            <w:r w:rsidR="00F53E77">
              <w:rPr>
                <w:rFonts w:eastAsia="Times New Roman" w:cs="Times New Roman"/>
                <w:color w:val="000000"/>
                <w:kern w:val="0"/>
                <w:sz w:val="20"/>
                <w:szCs w:val="20"/>
                <w:lang w:eastAsia="en-AU"/>
                <w14:ligatures w14:val="none"/>
              </w:rPr>
              <w:t xml:space="preserve">er </w:t>
            </w:r>
            <w:r w:rsidR="001C0663">
              <w:rPr>
                <w:rFonts w:eastAsia="Times New Roman" w:cs="Times New Roman"/>
                <w:color w:val="000000"/>
                <w:kern w:val="0"/>
                <w:sz w:val="20"/>
                <w:szCs w:val="20"/>
                <w:lang w:eastAsia="en-AU"/>
                <w14:ligatures w14:val="none"/>
              </w:rPr>
              <w:t>quality</w:t>
            </w:r>
            <w:r w:rsidR="00F53E77">
              <w:rPr>
                <w:rFonts w:eastAsia="Times New Roman" w:cs="Times New Roman"/>
                <w:color w:val="000000"/>
                <w:kern w:val="0"/>
                <w:sz w:val="20"/>
                <w:szCs w:val="20"/>
                <w:lang w:eastAsia="en-AU"/>
                <w14:ligatures w14:val="none"/>
              </w:rPr>
              <w:t>.</w:t>
            </w:r>
          </w:p>
          <w:p w14:paraId="57EBAA39" w14:textId="495E94A4" w:rsidR="00771F1A" w:rsidRPr="00771F1A" w:rsidRDefault="00771F1A" w:rsidP="00771F1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O: </w:t>
            </w:r>
            <w:r w:rsidR="00F53E77">
              <w:rPr>
                <w:rFonts w:eastAsia="Times New Roman" w:cs="Times New Roman"/>
                <w:color w:val="000000"/>
                <w:kern w:val="0"/>
                <w:sz w:val="20"/>
                <w:szCs w:val="20"/>
                <w:lang w:eastAsia="en-AU"/>
                <w14:ligatures w14:val="none"/>
              </w:rPr>
              <w:t>SBP, DBP</w:t>
            </w:r>
          </w:p>
          <w:p w14:paraId="386CD06F" w14:textId="77777777" w:rsidR="000B7C18" w:rsidRDefault="00771F1A" w:rsidP="00AE092D">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TS:</w:t>
            </w:r>
            <w:r w:rsidR="00C66EB7" w:rsidRPr="00C66EB7">
              <w:rPr>
                <w:rFonts w:eastAsia="Times New Roman" w:cs="Times New Roman"/>
                <w:color w:val="000000"/>
                <w:kern w:val="0"/>
                <w:sz w:val="20"/>
                <w:szCs w:val="20"/>
                <w:lang w:eastAsia="en-AU"/>
                <w14:ligatures w14:val="none"/>
              </w:rPr>
              <w:t xml:space="preserve"> RCTs, non-randomized</w:t>
            </w:r>
            <w:r w:rsidR="00C66EB7">
              <w:rPr>
                <w:rFonts w:eastAsia="Times New Roman" w:cs="Times New Roman"/>
                <w:color w:val="000000"/>
                <w:kern w:val="0"/>
                <w:sz w:val="20"/>
                <w:szCs w:val="20"/>
                <w:lang w:eastAsia="en-AU"/>
                <w14:ligatures w14:val="none"/>
              </w:rPr>
              <w:t xml:space="preserve"> </w:t>
            </w:r>
            <w:r w:rsidR="00C66EB7" w:rsidRPr="00C66EB7">
              <w:rPr>
                <w:rFonts w:eastAsia="Times New Roman" w:cs="Times New Roman"/>
                <w:color w:val="000000"/>
                <w:kern w:val="0"/>
                <w:sz w:val="20"/>
                <w:szCs w:val="20"/>
                <w:lang w:eastAsia="en-AU"/>
                <w14:ligatures w14:val="none"/>
              </w:rPr>
              <w:t>trials</w:t>
            </w:r>
            <w:r w:rsidR="00C66EB7">
              <w:rPr>
                <w:rFonts w:eastAsia="Times New Roman" w:cs="Times New Roman"/>
                <w:color w:val="000000"/>
                <w:kern w:val="0"/>
                <w:sz w:val="20"/>
                <w:szCs w:val="20"/>
                <w:lang w:eastAsia="en-AU"/>
                <w14:ligatures w14:val="none"/>
              </w:rPr>
              <w:t xml:space="preserve"> of </w:t>
            </w:r>
            <w:proofErr w:type="spellStart"/>
            <w:r w:rsidR="00C66EB7">
              <w:rPr>
                <w:rFonts w:eastAsia="Times New Roman" w:cs="Times New Roman"/>
                <w:color w:val="000000"/>
                <w:kern w:val="0"/>
                <w:sz w:val="20"/>
                <w:szCs w:val="20"/>
                <w:lang w:eastAsia="en-AU"/>
                <w14:ligatures w14:val="none"/>
              </w:rPr>
              <w:t>intereventions</w:t>
            </w:r>
            <w:proofErr w:type="spellEnd"/>
            <w:r w:rsidR="00C66EB7">
              <w:rPr>
                <w:rFonts w:eastAsia="Times New Roman" w:cs="Times New Roman"/>
                <w:color w:val="000000"/>
                <w:kern w:val="0"/>
                <w:sz w:val="20"/>
                <w:szCs w:val="20"/>
                <w:lang w:eastAsia="en-AU"/>
                <w14:ligatures w14:val="none"/>
              </w:rPr>
              <w:t xml:space="preserve"> (NRSIs)</w:t>
            </w:r>
            <w:r w:rsidR="00C66EB7" w:rsidRPr="00C66EB7">
              <w:rPr>
                <w:rFonts w:eastAsia="Times New Roman" w:cs="Times New Roman"/>
                <w:color w:val="000000"/>
                <w:kern w:val="0"/>
                <w:sz w:val="20"/>
                <w:szCs w:val="20"/>
                <w:lang w:eastAsia="en-AU"/>
                <w14:ligatures w14:val="none"/>
              </w:rPr>
              <w:t>, non-controlled trials, crossover trials, cohort studies,</w:t>
            </w:r>
            <w:r w:rsidR="00C66EB7">
              <w:rPr>
                <w:rFonts w:eastAsia="Times New Roman" w:cs="Times New Roman"/>
                <w:color w:val="000000"/>
                <w:kern w:val="0"/>
                <w:sz w:val="20"/>
                <w:szCs w:val="20"/>
                <w:lang w:eastAsia="en-AU"/>
                <w14:ligatures w14:val="none"/>
              </w:rPr>
              <w:t xml:space="preserve"> </w:t>
            </w:r>
            <w:r w:rsidR="00C66EB7" w:rsidRPr="00C66EB7">
              <w:rPr>
                <w:rFonts w:eastAsia="Times New Roman" w:cs="Times New Roman"/>
                <w:color w:val="000000"/>
                <w:kern w:val="0"/>
                <w:sz w:val="20"/>
                <w:szCs w:val="20"/>
                <w:lang w:eastAsia="en-AU"/>
                <w14:ligatures w14:val="none"/>
              </w:rPr>
              <w:t>case–control studies and cross-sectional studies were</w:t>
            </w:r>
            <w:r w:rsidR="00C66EB7">
              <w:rPr>
                <w:rFonts w:eastAsia="Times New Roman" w:cs="Times New Roman"/>
                <w:color w:val="000000"/>
                <w:kern w:val="0"/>
                <w:sz w:val="20"/>
                <w:szCs w:val="20"/>
                <w:lang w:eastAsia="en-AU"/>
                <w14:ligatures w14:val="none"/>
              </w:rPr>
              <w:t xml:space="preserve"> </w:t>
            </w:r>
            <w:r w:rsidR="00C66EB7" w:rsidRPr="00C66EB7">
              <w:rPr>
                <w:rFonts w:eastAsia="Times New Roman" w:cs="Times New Roman"/>
                <w:color w:val="000000"/>
                <w:kern w:val="0"/>
                <w:sz w:val="20"/>
                <w:szCs w:val="20"/>
                <w:lang w:eastAsia="en-AU"/>
                <w14:ligatures w14:val="none"/>
              </w:rPr>
              <w:t>included</w:t>
            </w:r>
            <w:r w:rsidR="00AE092D">
              <w:rPr>
                <w:rFonts w:eastAsia="Times New Roman" w:cs="Times New Roman"/>
                <w:color w:val="000000"/>
                <w:kern w:val="0"/>
                <w:sz w:val="20"/>
                <w:szCs w:val="20"/>
                <w:lang w:eastAsia="en-AU"/>
                <w14:ligatures w14:val="none"/>
              </w:rPr>
              <w:t xml:space="preserve">. </w:t>
            </w:r>
            <w:r w:rsidR="00AE092D" w:rsidRPr="00AE092D">
              <w:rPr>
                <w:rFonts w:eastAsia="Times New Roman" w:cs="Times New Roman"/>
                <w:color w:val="000000"/>
                <w:kern w:val="0"/>
                <w:sz w:val="20"/>
                <w:szCs w:val="20"/>
                <w:lang w:eastAsia="en-AU"/>
                <w14:ligatures w14:val="none"/>
              </w:rPr>
              <w:t>Ecological studies, case series, case reports,</w:t>
            </w:r>
            <w:r w:rsidR="00AE092D">
              <w:rPr>
                <w:rFonts w:eastAsia="Times New Roman" w:cs="Times New Roman"/>
                <w:color w:val="000000"/>
                <w:kern w:val="0"/>
                <w:sz w:val="20"/>
                <w:szCs w:val="20"/>
                <w:lang w:eastAsia="en-AU"/>
                <w14:ligatures w14:val="none"/>
              </w:rPr>
              <w:t xml:space="preserve"> </w:t>
            </w:r>
            <w:r w:rsidR="00AE092D" w:rsidRPr="00AE092D">
              <w:rPr>
                <w:rFonts w:eastAsia="Times New Roman" w:cs="Times New Roman"/>
                <w:color w:val="000000"/>
                <w:kern w:val="0"/>
                <w:sz w:val="20"/>
                <w:szCs w:val="20"/>
                <w:lang w:eastAsia="en-AU"/>
                <w14:ligatures w14:val="none"/>
              </w:rPr>
              <w:t>reviews, meta-analyses, policy papers, comments, congress</w:t>
            </w:r>
            <w:r w:rsidR="00AE092D">
              <w:rPr>
                <w:rFonts w:eastAsia="Times New Roman" w:cs="Times New Roman"/>
                <w:color w:val="000000"/>
                <w:kern w:val="0"/>
                <w:sz w:val="20"/>
                <w:szCs w:val="20"/>
                <w:lang w:eastAsia="en-AU"/>
                <w14:ligatures w14:val="none"/>
              </w:rPr>
              <w:t xml:space="preserve"> </w:t>
            </w:r>
            <w:r w:rsidR="00AE092D" w:rsidRPr="00AE092D">
              <w:rPr>
                <w:rFonts w:eastAsia="Times New Roman" w:cs="Times New Roman"/>
                <w:color w:val="000000"/>
                <w:kern w:val="0"/>
                <w:sz w:val="20"/>
                <w:szCs w:val="20"/>
                <w:lang w:eastAsia="en-AU"/>
                <w14:ligatures w14:val="none"/>
              </w:rPr>
              <w:t>proceedings and animal studies were</w:t>
            </w:r>
            <w:r w:rsidR="00AE092D">
              <w:rPr>
                <w:rFonts w:eastAsia="Times New Roman" w:cs="Times New Roman"/>
                <w:color w:val="000000"/>
                <w:kern w:val="0"/>
                <w:sz w:val="20"/>
                <w:szCs w:val="20"/>
                <w:lang w:eastAsia="en-AU"/>
                <w14:ligatures w14:val="none"/>
              </w:rPr>
              <w:t xml:space="preserve"> excluded.</w:t>
            </w:r>
          </w:p>
          <w:p w14:paraId="671CBAE1" w14:textId="75762D1A" w:rsidR="00AE092D" w:rsidRPr="000E0B5A" w:rsidRDefault="00AE092D" w:rsidP="00AE092D">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Pr>
                <w:rFonts w:eastAsia="Times New Roman" w:cs="Times New Roman"/>
                <w:color w:val="000000"/>
                <w:kern w:val="0"/>
                <w:sz w:val="20"/>
                <w:szCs w:val="20"/>
                <w:lang w:eastAsia="en-AU"/>
                <w14:ligatures w14:val="none"/>
              </w:rPr>
              <w:t>Studies of 7 days or less in duration were excluded.</w:t>
            </w:r>
          </w:p>
        </w:tc>
        <w:tc>
          <w:tcPr>
            <w:tcW w:w="1984" w:type="dxa"/>
          </w:tcPr>
          <w:p w14:paraId="5DF46C3F" w14:textId="30EF729E" w:rsidR="000B7C18" w:rsidRPr="00323063" w:rsidRDefault="0011614D">
            <w:pPr>
              <w:spacing w:after="1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323063">
              <w:rPr>
                <w:rFonts w:eastAsia="Times New Roman" w:cs="Times New Roman"/>
                <w:color w:val="000000"/>
                <w:kern w:val="0"/>
                <w:sz w:val="20"/>
                <w:szCs w:val="20"/>
                <w:lang w:eastAsia="en-AU"/>
                <w14:ligatures w14:val="none"/>
              </w:rPr>
              <w:t xml:space="preserve">96 </w:t>
            </w:r>
            <w:r w:rsidR="00323063" w:rsidRPr="00323063">
              <w:rPr>
                <w:rFonts w:eastAsia="Times New Roman" w:cs="Times New Roman"/>
                <w:color w:val="000000"/>
                <w:kern w:val="0"/>
                <w:sz w:val="20"/>
                <w:szCs w:val="20"/>
                <w:lang w:eastAsia="en-AU"/>
                <w14:ligatures w14:val="none"/>
              </w:rPr>
              <w:t>reports of 85 studies</w:t>
            </w:r>
            <w:r w:rsidR="00886174">
              <w:rPr>
                <w:rFonts w:eastAsia="Times New Roman" w:cs="Times New Roman"/>
                <w:color w:val="000000"/>
                <w:kern w:val="0"/>
                <w:sz w:val="20"/>
                <w:szCs w:val="20"/>
                <w:lang w:eastAsia="en-AU"/>
                <w14:ligatures w14:val="none"/>
              </w:rPr>
              <w:t>,</w:t>
            </w:r>
          </w:p>
          <w:p w14:paraId="543A290C" w14:textId="5675F2D1" w:rsidR="0011614D" w:rsidRPr="000E0B5A" w:rsidRDefault="00323063" w:rsidP="00323063">
            <w:pPr>
              <w:spacing w:after="1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323063">
              <w:rPr>
                <w:rFonts w:eastAsia="Times New Roman" w:cs="Times New Roman"/>
                <w:color w:val="000000"/>
                <w:kern w:val="0"/>
                <w:sz w:val="20"/>
                <w:szCs w:val="20"/>
                <w:lang w:eastAsia="en-AU"/>
                <w14:ligatures w14:val="none"/>
              </w:rPr>
              <w:t>58,531 participants</w:t>
            </w:r>
          </w:p>
        </w:tc>
        <w:tc>
          <w:tcPr>
            <w:tcW w:w="1701" w:type="dxa"/>
          </w:tcPr>
          <w:p w14:paraId="6939C345" w14:textId="27A58710" w:rsidR="00323063" w:rsidRPr="00A8528E" w:rsidRDefault="00323063" w:rsidP="0032306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A8528E">
              <w:rPr>
                <w:rFonts w:eastAsia="Times New Roman" w:cs="Times New Roman"/>
                <w:i/>
                <w:iCs/>
                <w:color w:val="000000"/>
                <w:kern w:val="0"/>
                <w:sz w:val="20"/>
                <w:szCs w:val="20"/>
                <w:lang w:eastAsia="en-AU"/>
                <w14:ligatures w14:val="none"/>
              </w:rPr>
              <w:t xml:space="preserve">D1: </w:t>
            </w:r>
            <w:r w:rsidR="00A8528E" w:rsidRPr="00A8528E">
              <w:rPr>
                <w:rFonts w:eastAsia="Times New Roman" w:cs="Times New Roman"/>
                <w:i/>
                <w:iCs/>
                <w:color w:val="000000"/>
                <w:kern w:val="0"/>
                <w:sz w:val="20"/>
                <w:szCs w:val="20"/>
                <w:lang w:eastAsia="en-AU"/>
                <w14:ligatures w14:val="none"/>
              </w:rPr>
              <w:t>HIGH</w:t>
            </w:r>
          </w:p>
          <w:p w14:paraId="68052C65" w14:textId="625EDEE2" w:rsidR="00323063" w:rsidRPr="00A8528E" w:rsidRDefault="00323063" w:rsidP="0032306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A8528E">
              <w:rPr>
                <w:rFonts w:eastAsia="Times New Roman" w:cs="Times New Roman"/>
                <w:i/>
                <w:iCs/>
                <w:color w:val="000000"/>
                <w:kern w:val="0"/>
                <w:sz w:val="20"/>
                <w:szCs w:val="20"/>
                <w:lang w:eastAsia="en-AU"/>
                <w14:ligatures w14:val="none"/>
              </w:rPr>
              <w:t xml:space="preserve">D2: </w:t>
            </w:r>
            <w:r w:rsidR="00A8528E" w:rsidRPr="00A8528E">
              <w:rPr>
                <w:rFonts w:eastAsia="Times New Roman" w:cs="Times New Roman"/>
                <w:i/>
                <w:iCs/>
                <w:color w:val="000000"/>
                <w:kern w:val="0"/>
                <w:sz w:val="20"/>
                <w:szCs w:val="20"/>
                <w:lang w:eastAsia="en-AU"/>
                <w14:ligatures w14:val="none"/>
              </w:rPr>
              <w:t>LOW</w:t>
            </w:r>
            <w:r w:rsidRPr="00A8528E">
              <w:rPr>
                <w:rFonts w:eastAsia="Times New Roman" w:cs="Times New Roman"/>
                <w:i/>
                <w:iCs/>
                <w:color w:val="000000"/>
                <w:kern w:val="0"/>
                <w:sz w:val="20"/>
                <w:szCs w:val="20"/>
                <w:lang w:eastAsia="en-AU"/>
                <w14:ligatures w14:val="none"/>
              </w:rPr>
              <w:t xml:space="preserve"> </w:t>
            </w:r>
          </w:p>
          <w:p w14:paraId="298501F9" w14:textId="0FFAF885" w:rsidR="00323063" w:rsidRPr="00A8528E" w:rsidRDefault="00323063" w:rsidP="0032306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A8528E">
              <w:rPr>
                <w:rFonts w:eastAsia="Times New Roman" w:cs="Times New Roman"/>
                <w:i/>
                <w:iCs/>
                <w:color w:val="000000"/>
                <w:kern w:val="0"/>
                <w:sz w:val="20"/>
                <w:szCs w:val="20"/>
                <w:lang w:eastAsia="en-AU"/>
                <w14:ligatures w14:val="none"/>
              </w:rPr>
              <w:t xml:space="preserve">D3: </w:t>
            </w:r>
            <w:r w:rsidR="00A8528E" w:rsidRPr="00A8528E">
              <w:rPr>
                <w:rFonts w:eastAsia="Times New Roman" w:cs="Times New Roman"/>
                <w:i/>
                <w:iCs/>
                <w:color w:val="000000"/>
                <w:kern w:val="0"/>
                <w:sz w:val="20"/>
                <w:szCs w:val="20"/>
                <w:lang w:eastAsia="en-AU"/>
                <w14:ligatures w14:val="none"/>
              </w:rPr>
              <w:t>LOW</w:t>
            </w:r>
            <w:r w:rsidRPr="00A8528E">
              <w:rPr>
                <w:rFonts w:eastAsia="Times New Roman" w:cs="Times New Roman"/>
                <w:i/>
                <w:iCs/>
                <w:color w:val="000000"/>
                <w:kern w:val="0"/>
                <w:sz w:val="20"/>
                <w:szCs w:val="20"/>
                <w:lang w:eastAsia="en-AU"/>
                <w14:ligatures w14:val="none"/>
              </w:rPr>
              <w:t xml:space="preserve"> </w:t>
            </w:r>
          </w:p>
          <w:p w14:paraId="6EA97AC8" w14:textId="1281FCCC" w:rsidR="00323063" w:rsidRPr="00A8528E" w:rsidRDefault="00323063" w:rsidP="0032306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A8528E">
              <w:rPr>
                <w:rFonts w:eastAsia="Times New Roman" w:cs="Times New Roman"/>
                <w:i/>
                <w:iCs/>
                <w:color w:val="000000"/>
                <w:kern w:val="0"/>
                <w:sz w:val="20"/>
                <w:szCs w:val="20"/>
                <w:lang w:eastAsia="en-AU"/>
                <w14:ligatures w14:val="none"/>
              </w:rPr>
              <w:t xml:space="preserve">D4: </w:t>
            </w:r>
            <w:r w:rsidR="006F5403">
              <w:rPr>
                <w:rFonts w:eastAsia="Times New Roman" w:cs="Times New Roman"/>
                <w:i/>
                <w:iCs/>
                <w:color w:val="000000"/>
                <w:kern w:val="0"/>
                <w:sz w:val="20"/>
                <w:szCs w:val="20"/>
                <w:lang w:eastAsia="en-AU"/>
                <w14:ligatures w14:val="none"/>
              </w:rPr>
              <w:t>UNCLEAR</w:t>
            </w:r>
          </w:p>
          <w:p w14:paraId="76D835E0" w14:textId="77777777" w:rsidR="00323063" w:rsidRPr="00A8528E" w:rsidRDefault="00323063" w:rsidP="0032306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p>
          <w:p w14:paraId="1A79CA8A" w14:textId="77777777" w:rsidR="00B03F8B" w:rsidRPr="002A25B8" w:rsidRDefault="00B03F8B" w:rsidP="00B03F8B">
            <w:pPr>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color w:val="000000"/>
                <w:kern w:val="0"/>
                <w:sz w:val="20"/>
                <w:szCs w:val="20"/>
                <w:lang w:eastAsia="en-AU"/>
                <w14:ligatures w14:val="none"/>
              </w:rPr>
            </w:pPr>
            <w:r w:rsidRPr="002A25B8">
              <w:rPr>
                <w:rFonts w:eastAsia="Times New Roman" w:cs="Times New Roman"/>
                <w:b/>
                <w:bCs/>
                <w:i/>
                <w:iCs/>
                <w:color w:val="000000"/>
                <w:kern w:val="0"/>
                <w:sz w:val="20"/>
                <w:szCs w:val="20"/>
                <w:lang w:eastAsia="en-AU"/>
                <w14:ligatures w14:val="none"/>
              </w:rPr>
              <w:t>OVERALL:</w:t>
            </w:r>
          </w:p>
          <w:p w14:paraId="5F97CFE1" w14:textId="4CA9671D" w:rsidR="00323063" w:rsidRPr="002A25B8" w:rsidRDefault="00A8528E" w:rsidP="00323063">
            <w:pPr>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color w:val="000000"/>
                <w:kern w:val="0"/>
                <w:sz w:val="20"/>
                <w:szCs w:val="20"/>
                <w:lang w:eastAsia="en-AU"/>
                <w14:ligatures w14:val="none"/>
              </w:rPr>
            </w:pPr>
            <w:r w:rsidRPr="00A8528E">
              <w:rPr>
                <w:rFonts w:eastAsia="Times New Roman" w:cs="Times New Roman"/>
                <w:b/>
                <w:bCs/>
                <w:i/>
                <w:iCs/>
                <w:color w:val="000000"/>
                <w:kern w:val="0"/>
                <w:sz w:val="20"/>
                <w:szCs w:val="20"/>
                <w:lang w:eastAsia="en-AU"/>
                <w14:ligatures w14:val="none"/>
              </w:rPr>
              <w:t>HIGH</w:t>
            </w:r>
          </w:p>
          <w:p w14:paraId="56458CFF" w14:textId="4A3316CD" w:rsidR="000B7C18" w:rsidRPr="000E0B5A" w:rsidRDefault="000B7C18" w:rsidP="0032306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highlight w:val="yellow"/>
                <w:lang w:eastAsia="en-AU"/>
                <w14:ligatures w14:val="none"/>
              </w:rPr>
            </w:pPr>
          </w:p>
        </w:tc>
      </w:tr>
      <w:tr w:rsidR="000B7C18" w:rsidRPr="001D5149" w14:paraId="48795076" w14:textId="77777777" w:rsidTr="006C01F5">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4158" w:type="dxa"/>
            <w:gridSpan w:val="6"/>
            <w:shd w:val="clear" w:color="auto" w:fill="C1E4F5" w:themeFill="accent1" w:themeFillTint="33"/>
          </w:tcPr>
          <w:p w14:paraId="1ADA6C4C" w14:textId="77777777" w:rsidR="000B7C18" w:rsidRPr="000E0B5A" w:rsidRDefault="000B7C18">
            <w:pPr>
              <w:keepNext/>
              <w:rPr>
                <w:rFonts w:eastAsia="Times New Roman" w:cs="Times New Roman"/>
                <w:i/>
                <w:iCs/>
                <w:color w:val="000000"/>
                <w:kern w:val="0"/>
                <w:sz w:val="20"/>
                <w:szCs w:val="20"/>
                <w:highlight w:val="yellow"/>
                <w:lang w:eastAsia="en-AU"/>
                <w14:ligatures w14:val="none"/>
              </w:rPr>
            </w:pPr>
            <w:r>
              <w:rPr>
                <w:rFonts w:eastAsia="Times New Roman" w:cs="Times New Roman"/>
                <w:color w:val="000000" w:themeColor="text1"/>
                <w:kern w:val="0"/>
                <w:sz w:val="20"/>
                <w:szCs w:val="20"/>
                <w:lang w:eastAsia="en-AU"/>
                <w14:ligatures w14:val="none"/>
              </w:rPr>
              <w:lastRenderedPageBreak/>
              <w:t>Other cardiovascular outcomes in adults</w:t>
            </w:r>
          </w:p>
        </w:tc>
      </w:tr>
      <w:tr w:rsidR="000277B3" w:rsidRPr="001D5149" w14:paraId="49FB9DF7" w14:textId="77777777" w:rsidTr="006C01F5">
        <w:trPr>
          <w:trHeight w:val="3360"/>
        </w:trPr>
        <w:tc>
          <w:tcPr>
            <w:cnfStyle w:val="001000000000" w:firstRow="0" w:lastRow="0" w:firstColumn="1" w:lastColumn="0" w:oddVBand="0" w:evenVBand="0" w:oddHBand="0" w:evenHBand="0" w:firstRowFirstColumn="0" w:firstRowLastColumn="0" w:lastRowFirstColumn="0" w:lastRowLastColumn="0"/>
            <w:tcW w:w="1271" w:type="dxa"/>
          </w:tcPr>
          <w:p w14:paraId="5ECD411F" w14:textId="518BCFCD" w:rsidR="000277B3" w:rsidRPr="000277B3" w:rsidRDefault="000277B3">
            <w:pPr>
              <w:jc w:val="center"/>
              <w:rPr>
                <w:sz w:val="20"/>
                <w:szCs w:val="20"/>
              </w:rPr>
            </w:pPr>
            <w:r w:rsidRPr="000277B3">
              <w:rPr>
                <w:sz w:val="20"/>
                <w:szCs w:val="20"/>
              </w:rPr>
              <w:fldChar w:fldCharType="begin">
                <w:fldData xml:space="preserve">PEVuZE5vdGU+PENpdGUgQXV0aG9yWWVhcj0iMSI+PEF1dGhvcj5GaWxpcHBpbmk8L0F1dGhvcj48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</w:fldData>
              </w:fldChar>
            </w:r>
            <w:r w:rsidRPr="000277B3">
              <w:rPr>
                <w:sz w:val="20"/>
                <w:szCs w:val="20"/>
              </w:rPr>
              <w:instrText xml:space="preserve"> ADDIN EN.CITE </w:instrText>
            </w:r>
            <w:r w:rsidRPr="000277B3">
              <w:rPr>
                <w:sz w:val="20"/>
                <w:szCs w:val="20"/>
              </w:rPr>
              <w:fldChar w:fldCharType="begin">
                <w:fldData xml:space="preserve">PEVuZE5vdGU+PENpdGUgQXV0aG9yWWVhcj0iMSI+PEF1dGhvcj5GaWxpcHBpbmk8L0F1dGhvcj48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</w:fldData>
              </w:fldChar>
            </w:r>
            <w:r w:rsidRPr="000277B3">
              <w:rPr>
                <w:sz w:val="20"/>
                <w:szCs w:val="20"/>
              </w:rPr>
              <w:instrText xml:space="preserve"> ADDIN EN.CITE.DATA </w:instrText>
            </w:r>
            <w:r w:rsidRPr="000277B3">
              <w:rPr>
                <w:sz w:val="20"/>
                <w:szCs w:val="20"/>
              </w:rPr>
            </w:r>
            <w:r w:rsidRPr="000277B3">
              <w:rPr>
                <w:sz w:val="20"/>
                <w:szCs w:val="20"/>
              </w:rPr>
              <w:fldChar w:fldCharType="end"/>
            </w:r>
            <w:r w:rsidRPr="000277B3">
              <w:rPr>
                <w:sz w:val="20"/>
                <w:szCs w:val="20"/>
              </w:rPr>
            </w:r>
            <w:r w:rsidRPr="000277B3">
              <w:rPr>
                <w:sz w:val="20"/>
                <w:szCs w:val="20"/>
              </w:rPr>
              <w:fldChar w:fldCharType="separate"/>
            </w:r>
            <w:r w:rsidRPr="000277B3">
              <w:rPr>
                <w:noProof/>
                <w:sz w:val="20"/>
                <w:szCs w:val="20"/>
              </w:rPr>
              <w:t>Filippini et al. (2022)</w:t>
            </w:r>
            <w:r w:rsidRPr="000277B3">
              <w:rPr>
                <w:sz w:val="20"/>
                <w:szCs w:val="20"/>
              </w:rPr>
              <w:fldChar w:fldCharType="end"/>
            </w:r>
          </w:p>
        </w:tc>
        <w:tc>
          <w:tcPr>
            <w:tcW w:w="1979" w:type="dxa"/>
          </w:tcPr>
          <w:p w14:paraId="058C8805" w14:textId="47B09C24" w:rsidR="000277B3" w:rsidRPr="00367D14" w:rsidRDefault="0002273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02273D">
              <w:rPr>
                <w:rFonts w:eastAsia="Times New Roman" w:cs="Times New Roman"/>
                <w:color w:val="000000"/>
                <w:kern w:val="0"/>
                <w:sz w:val="20"/>
                <w:szCs w:val="20"/>
                <w:lang w:eastAsia="en-AU"/>
                <w14:ligatures w14:val="none"/>
              </w:rPr>
              <w:t>To assess the relationship between sodium intake and hypertension risk in cohort studies</w:t>
            </w:r>
          </w:p>
        </w:tc>
        <w:tc>
          <w:tcPr>
            <w:tcW w:w="1417" w:type="dxa"/>
          </w:tcPr>
          <w:p w14:paraId="7B4AD752" w14:textId="569AE4D4" w:rsidR="000277B3" w:rsidRPr="000E0B5A" w:rsidRDefault="0002273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02273D">
              <w:rPr>
                <w:rFonts w:eastAsia="Times New Roman" w:cs="Times New Roman"/>
                <w:color w:val="000000"/>
                <w:kern w:val="0"/>
                <w:sz w:val="20"/>
                <w:szCs w:val="20"/>
                <w:lang w:eastAsia="en-AU"/>
                <w14:ligatures w14:val="none"/>
              </w:rPr>
              <w:t>Database inception to 21 January 2022</w:t>
            </w:r>
          </w:p>
        </w:tc>
        <w:tc>
          <w:tcPr>
            <w:tcW w:w="5806" w:type="dxa"/>
          </w:tcPr>
          <w:p w14:paraId="429B49A4" w14:textId="56D73DC3" w:rsidR="000277B3" w:rsidRPr="0002273D" w:rsidRDefault="0002273D" w:rsidP="00343AA0">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02273D">
              <w:rPr>
                <w:rFonts w:eastAsia="Times New Roman" w:cs="Times New Roman"/>
                <w:color w:val="000000"/>
                <w:kern w:val="0"/>
                <w:sz w:val="20"/>
                <w:szCs w:val="20"/>
                <w:lang w:eastAsia="en-AU"/>
                <w14:ligatures w14:val="none"/>
              </w:rPr>
              <w:t>P:</w:t>
            </w:r>
            <w:r>
              <w:rPr>
                <w:rFonts w:eastAsia="Times New Roman" w:cs="Times New Roman"/>
                <w:color w:val="000000"/>
                <w:kern w:val="0"/>
                <w:sz w:val="20"/>
                <w:szCs w:val="20"/>
                <w:lang w:eastAsia="en-AU"/>
                <w14:ligatures w14:val="none"/>
              </w:rPr>
              <w:t xml:space="preserve"> </w:t>
            </w:r>
            <w:r w:rsidR="00343AA0">
              <w:rPr>
                <w:rFonts w:eastAsia="Times New Roman" w:cs="Times New Roman"/>
                <w:color w:val="000000"/>
                <w:kern w:val="0"/>
                <w:sz w:val="20"/>
                <w:szCs w:val="20"/>
                <w:lang w:eastAsia="en-AU"/>
                <w14:ligatures w14:val="none"/>
              </w:rPr>
              <w:t>P</w:t>
            </w:r>
            <w:r w:rsidR="00343AA0" w:rsidRPr="00343AA0">
              <w:rPr>
                <w:rFonts w:eastAsia="Times New Roman" w:cs="Times New Roman"/>
                <w:color w:val="000000"/>
                <w:kern w:val="0"/>
                <w:sz w:val="20"/>
                <w:szCs w:val="20"/>
                <w:lang w:eastAsia="en-AU"/>
                <w14:ligatures w14:val="none"/>
              </w:rPr>
              <w:t>articipants</w:t>
            </w:r>
            <w:r w:rsidR="00343AA0">
              <w:rPr>
                <w:rFonts w:eastAsia="Times New Roman" w:cs="Times New Roman"/>
                <w:color w:val="000000"/>
                <w:kern w:val="0"/>
                <w:sz w:val="20"/>
                <w:szCs w:val="20"/>
                <w:lang w:eastAsia="en-AU"/>
                <w14:ligatures w14:val="none"/>
              </w:rPr>
              <w:t xml:space="preserve"> </w:t>
            </w:r>
            <w:r w:rsidR="00343AA0" w:rsidRPr="00343AA0">
              <w:rPr>
                <w:rFonts w:eastAsia="Times New Roman" w:cs="Times New Roman"/>
                <w:color w:val="000000"/>
                <w:kern w:val="0"/>
                <w:sz w:val="20"/>
                <w:szCs w:val="20"/>
                <w:lang w:eastAsia="en-AU"/>
                <w14:ligatures w14:val="none"/>
              </w:rPr>
              <w:t xml:space="preserve">without hypertension at </w:t>
            </w:r>
            <w:r w:rsidR="00343AA0">
              <w:rPr>
                <w:rFonts w:eastAsia="Times New Roman" w:cs="Times New Roman"/>
                <w:color w:val="000000"/>
                <w:kern w:val="0"/>
                <w:sz w:val="20"/>
                <w:szCs w:val="20"/>
                <w:lang w:eastAsia="en-AU"/>
                <w14:ligatures w14:val="none"/>
              </w:rPr>
              <w:t>baseline</w:t>
            </w:r>
          </w:p>
          <w:p w14:paraId="748A6321" w14:textId="2BEFD2A1" w:rsidR="0002273D" w:rsidRPr="0002273D" w:rsidRDefault="0002273D">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02273D">
              <w:rPr>
                <w:rFonts w:eastAsia="Times New Roman" w:cs="Times New Roman"/>
                <w:color w:val="000000"/>
                <w:kern w:val="0"/>
                <w:sz w:val="20"/>
                <w:szCs w:val="20"/>
                <w:lang w:eastAsia="en-AU"/>
                <w14:ligatures w14:val="none"/>
              </w:rPr>
              <w:t>I/E/C:</w:t>
            </w:r>
            <w:r w:rsidR="001E3C40">
              <w:rPr>
                <w:rFonts w:eastAsia="Times New Roman" w:cs="Times New Roman"/>
                <w:color w:val="000000"/>
                <w:kern w:val="0"/>
                <w:sz w:val="20"/>
                <w:szCs w:val="20"/>
                <w:lang w:eastAsia="en-AU"/>
                <w14:ligatures w14:val="none"/>
              </w:rPr>
              <w:t xml:space="preserve"> Higher vs lower sodium exposure levels</w:t>
            </w:r>
            <w:r w:rsidR="00CD17A6">
              <w:rPr>
                <w:rFonts w:eastAsia="Times New Roman" w:cs="Times New Roman"/>
                <w:color w:val="000000"/>
                <w:kern w:val="0"/>
                <w:sz w:val="20"/>
                <w:szCs w:val="20"/>
                <w:lang w:eastAsia="en-AU"/>
                <w14:ligatures w14:val="none"/>
              </w:rPr>
              <w:t xml:space="preserve">; </w:t>
            </w:r>
            <w:r w:rsidR="001E3C40">
              <w:rPr>
                <w:rFonts w:eastAsia="Times New Roman" w:cs="Times New Roman"/>
                <w:color w:val="000000"/>
                <w:kern w:val="0"/>
                <w:sz w:val="20"/>
                <w:szCs w:val="20"/>
                <w:lang w:eastAsia="en-AU"/>
                <w14:ligatures w14:val="none"/>
              </w:rPr>
              <w:t>measured using 24-hour urinary excretion or dietary assessment.</w:t>
            </w:r>
          </w:p>
          <w:p w14:paraId="0A0BF025" w14:textId="2064E30E" w:rsidR="0002273D" w:rsidRPr="0002273D" w:rsidRDefault="0002273D">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02273D">
              <w:rPr>
                <w:rFonts w:eastAsia="Times New Roman" w:cs="Times New Roman"/>
                <w:color w:val="000000"/>
                <w:kern w:val="0"/>
                <w:sz w:val="20"/>
                <w:szCs w:val="20"/>
                <w:lang w:eastAsia="en-AU"/>
                <w14:ligatures w14:val="none"/>
              </w:rPr>
              <w:t>O:</w:t>
            </w:r>
            <w:r w:rsidR="00CD17A6">
              <w:rPr>
                <w:rFonts w:eastAsia="Times New Roman" w:cs="Times New Roman"/>
                <w:color w:val="000000"/>
                <w:kern w:val="0"/>
                <w:sz w:val="20"/>
                <w:szCs w:val="20"/>
                <w:lang w:eastAsia="en-AU"/>
                <w14:ligatures w14:val="none"/>
              </w:rPr>
              <w:t xml:space="preserve"> Hypertension incidence</w:t>
            </w:r>
          </w:p>
          <w:p w14:paraId="758D092B" w14:textId="1DE65A59" w:rsidR="0002273D" w:rsidRPr="000E0B5A" w:rsidRDefault="0002273D">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02273D">
              <w:rPr>
                <w:rFonts w:eastAsia="Times New Roman" w:cs="Times New Roman"/>
                <w:color w:val="000000"/>
                <w:kern w:val="0"/>
                <w:sz w:val="20"/>
                <w:szCs w:val="20"/>
                <w:lang w:eastAsia="en-AU"/>
                <w14:ligatures w14:val="none"/>
              </w:rPr>
              <w:t>TS:</w:t>
            </w:r>
            <w:r w:rsidR="00CD17A6">
              <w:rPr>
                <w:rFonts w:eastAsia="Times New Roman" w:cs="Times New Roman"/>
                <w:color w:val="000000"/>
                <w:kern w:val="0"/>
                <w:sz w:val="20"/>
                <w:szCs w:val="20"/>
                <w:lang w:eastAsia="en-AU"/>
                <w14:ligatures w14:val="none"/>
              </w:rPr>
              <w:t xml:space="preserve"> Cohort studies</w:t>
            </w:r>
            <w:r w:rsidR="00EF13A7">
              <w:rPr>
                <w:rFonts w:eastAsia="Times New Roman" w:cs="Times New Roman"/>
                <w:color w:val="000000"/>
                <w:kern w:val="0"/>
                <w:sz w:val="20"/>
                <w:szCs w:val="20"/>
                <w:lang w:eastAsia="en-AU"/>
                <w14:ligatures w14:val="none"/>
              </w:rPr>
              <w:t>, not further described.</w:t>
            </w:r>
          </w:p>
        </w:tc>
        <w:tc>
          <w:tcPr>
            <w:tcW w:w="1984" w:type="dxa"/>
          </w:tcPr>
          <w:p w14:paraId="3D3249F5" w14:textId="77777777" w:rsidR="000277B3" w:rsidRPr="00106425" w:rsidRDefault="00B0196D">
            <w:pPr>
              <w:spacing w:after="1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106425">
              <w:rPr>
                <w:rFonts w:eastAsia="Times New Roman" w:cs="Times New Roman"/>
                <w:color w:val="000000"/>
                <w:kern w:val="0"/>
                <w:sz w:val="20"/>
                <w:szCs w:val="20"/>
                <w:lang w:eastAsia="en-AU"/>
                <w14:ligatures w14:val="none"/>
              </w:rPr>
              <w:t>11 studies,</w:t>
            </w:r>
          </w:p>
          <w:p w14:paraId="72923A5E" w14:textId="0ED1EC22" w:rsidR="00B0196D" w:rsidRPr="000E0B5A" w:rsidRDefault="00106425">
            <w:pPr>
              <w:spacing w:after="1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106425">
              <w:rPr>
                <w:rFonts w:eastAsia="Times New Roman" w:cs="Times New Roman"/>
                <w:color w:val="000000"/>
                <w:kern w:val="0"/>
                <w:sz w:val="20"/>
                <w:szCs w:val="20"/>
                <w:lang w:eastAsia="en-AU"/>
                <w14:ligatures w14:val="none"/>
              </w:rPr>
              <w:t>&gt;100,000 participants</w:t>
            </w:r>
          </w:p>
        </w:tc>
        <w:tc>
          <w:tcPr>
            <w:tcW w:w="1701" w:type="dxa"/>
          </w:tcPr>
          <w:p w14:paraId="6ED61C96" w14:textId="69A5259B" w:rsidR="000277B3" w:rsidRPr="00D83EED" w:rsidRDefault="000277B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D83EED">
              <w:rPr>
                <w:rFonts w:eastAsia="Times New Roman" w:cs="Times New Roman"/>
                <w:i/>
                <w:iCs/>
                <w:color w:val="000000"/>
                <w:kern w:val="0"/>
                <w:sz w:val="20"/>
                <w:szCs w:val="20"/>
                <w:lang w:eastAsia="en-AU"/>
                <w14:ligatures w14:val="none"/>
              </w:rPr>
              <w:t xml:space="preserve">D1: </w:t>
            </w:r>
            <w:r w:rsidR="00D83EED" w:rsidRPr="00D83EED">
              <w:rPr>
                <w:rFonts w:eastAsia="Times New Roman" w:cs="Times New Roman"/>
                <w:i/>
                <w:iCs/>
                <w:color w:val="000000"/>
                <w:kern w:val="0"/>
                <w:sz w:val="20"/>
                <w:szCs w:val="20"/>
                <w:lang w:eastAsia="en-AU"/>
                <w14:ligatures w14:val="none"/>
              </w:rPr>
              <w:t>LOW</w:t>
            </w:r>
            <w:r w:rsidRPr="00D83EED">
              <w:rPr>
                <w:rFonts w:eastAsia="Times New Roman" w:cs="Times New Roman"/>
                <w:i/>
                <w:iCs/>
                <w:color w:val="000000"/>
                <w:kern w:val="0"/>
                <w:sz w:val="20"/>
                <w:szCs w:val="20"/>
                <w:lang w:eastAsia="en-AU"/>
                <w14:ligatures w14:val="none"/>
              </w:rPr>
              <w:t xml:space="preserve"> </w:t>
            </w:r>
          </w:p>
          <w:p w14:paraId="27138AD3" w14:textId="216725D2" w:rsidR="000277B3" w:rsidRPr="00D83EED" w:rsidRDefault="000277B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D83EED">
              <w:rPr>
                <w:rFonts w:eastAsia="Times New Roman" w:cs="Times New Roman"/>
                <w:i/>
                <w:iCs/>
                <w:color w:val="000000"/>
                <w:kern w:val="0"/>
                <w:sz w:val="20"/>
                <w:szCs w:val="20"/>
                <w:lang w:eastAsia="en-AU"/>
                <w14:ligatures w14:val="none"/>
              </w:rPr>
              <w:t xml:space="preserve">D2: </w:t>
            </w:r>
            <w:r w:rsidR="00D83EED" w:rsidRPr="00D83EED">
              <w:rPr>
                <w:rFonts w:eastAsia="Times New Roman" w:cs="Times New Roman"/>
                <w:i/>
                <w:iCs/>
                <w:color w:val="000000"/>
                <w:kern w:val="0"/>
                <w:sz w:val="20"/>
                <w:szCs w:val="20"/>
                <w:lang w:eastAsia="en-AU"/>
                <w14:ligatures w14:val="none"/>
              </w:rPr>
              <w:t>HIGH</w:t>
            </w:r>
          </w:p>
          <w:p w14:paraId="33C17C85" w14:textId="5D4B2A3A" w:rsidR="000277B3" w:rsidRPr="00D83EED" w:rsidRDefault="000277B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D83EED">
              <w:rPr>
                <w:rFonts w:eastAsia="Times New Roman" w:cs="Times New Roman"/>
                <w:i/>
                <w:iCs/>
                <w:color w:val="000000"/>
                <w:kern w:val="0"/>
                <w:sz w:val="20"/>
                <w:szCs w:val="20"/>
                <w:lang w:eastAsia="en-AU"/>
                <w14:ligatures w14:val="none"/>
              </w:rPr>
              <w:t xml:space="preserve">D3: </w:t>
            </w:r>
            <w:r w:rsidR="00D83EED" w:rsidRPr="00D83EED">
              <w:rPr>
                <w:rFonts w:eastAsia="Times New Roman" w:cs="Times New Roman"/>
                <w:i/>
                <w:iCs/>
                <w:color w:val="000000"/>
                <w:kern w:val="0"/>
                <w:sz w:val="20"/>
                <w:szCs w:val="20"/>
                <w:lang w:eastAsia="en-AU"/>
                <w14:ligatures w14:val="none"/>
              </w:rPr>
              <w:t>UNCLEAR</w:t>
            </w:r>
            <w:r w:rsidRPr="00D83EED">
              <w:rPr>
                <w:rFonts w:eastAsia="Times New Roman" w:cs="Times New Roman"/>
                <w:i/>
                <w:iCs/>
                <w:color w:val="000000"/>
                <w:kern w:val="0"/>
                <w:sz w:val="20"/>
                <w:szCs w:val="20"/>
                <w:lang w:eastAsia="en-AU"/>
                <w14:ligatures w14:val="none"/>
              </w:rPr>
              <w:t xml:space="preserve"> </w:t>
            </w:r>
          </w:p>
          <w:p w14:paraId="20D2D92E" w14:textId="2F44B261" w:rsidR="000277B3" w:rsidRPr="00D83EED" w:rsidRDefault="000277B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D83EED">
              <w:rPr>
                <w:rFonts w:eastAsia="Times New Roman" w:cs="Times New Roman"/>
                <w:i/>
                <w:iCs/>
                <w:color w:val="000000"/>
                <w:kern w:val="0"/>
                <w:sz w:val="20"/>
                <w:szCs w:val="20"/>
                <w:lang w:eastAsia="en-AU"/>
                <w14:ligatures w14:val="none"/>
              </w:rPr>
              <w:t xml:space="preserve">D4: </w:t>
            </w:r>
            <w:r w:rsidR="00D83EED" w:rsidRPr="00D83EED">
              <w:rPr>
                <w:rFonts w:eastAsia="Times New Roman" w:cs="Times New Roman"/>
                <w:i/>
                <w:iCs/>
                <w:color w:val="000000"/>
                <w:kern w:val="0"/>
                <w:sz w:val="20"/>
                <w:szCs w:val="20"/>
                <w:lang w:eastAsia="en-AU"/>
                <w14:ligatures w14:val="none"/>
              </w:rPr>
              <w:t>LOW</w:t>
            </w:r>
          </w:p>
          <w:p w14:paraId="53E26B8A" w14:textId="77777777" w:rsidR="000277B3" w:rsidRPr="00D83EED" w:rsidRDefault="000277B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p>
          <w:p w14:paraId="558E5C48" w14:textId="77777777" w:rsidR="00B03F8B" w:rsidRPr="002A25B8" w:rsidRDefault="00B03F8B" w:rsidP="00B03F8B">
            <w:pPr>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color w:val="000000"/>
                <w:kern w:val="0"/>
                <w:sz w:val="20"/>
                <w:szCs w:val="20"/>
                <w:lang w:eastAsia="en-AU"/>
                <w14:ligatures w14:val="none"/>
              </w:rPr>
            </w:pPr>
            <w:r w:rsidRPr="002A25B8">
              <w:rPr>
                <w:rFonts w:eastAsia="Times New Roman" w:cs="Times New Roman"/>
                <w:b/>
                <w:bCs/>
                <w:i/>
                <w:iCs/>
                <w:color w:val="000000"/>
                <w:kern w:val="0"/>
                <w:sz w:val="20"/>
                <w:szCs w:val="20"/>
                <w:lang w:eastAsia="en-AU"/>
                <w14:ligatures w14:val="none"/>
              </w:rPr>
              <w:t>OVERALL:</w:t>
            </w:r>
          </w:p>
          <w:p w14:paraId="30445EF5" w14:textId="147513F6" w:rsidR="000277B3" w:rsidRPr="000E0B5A" w:rsidRDefault="00D83EED">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highlight w:val="yellow"/>
                <w:lang w:eastAsia="en-AU"/>
                <w14:ligatures w14:val="none"/>
              </w:rPr>
            </w:pPr>
            <w:r w:rsidRPr="00D83EED">
              <w:rPr>
                <w:rFonts w:eastAsia="Times New Roman" w:cs="Times New Roman"/>
                <w:b/>
                <w:bCs/>
                <w:i/>
                <w:iCs/>
                <w:color w:val="000000"/>
                <w:kern w:val="0"/>
                <w:sz w:val="20"/>
                <w:szCs w:val="20"/>
                <w:lang w:eastAsia="en-AU"/>
                <w14:ligatures w14:val="none"/>
              </w:rPr>
              <w:t>HIGH</w:t>
            </w:r>
          </w:p>
        </w:tc>
      </w:tr>
      <w:tr w:rsidR="000B7C18" w:rsidRPr="001D5149" w14:paraId="1C27E153" w14:textId="77777777" w:rsidTr="006C01F5">
        <w:trPr>
          <w:cnfStyle w:val="000000100000" w:firstRow="0" w:lastRow="0" w:firstColumn="0" w:lastColumn="0" w:oddVBand="0" w:evenVBand="0" w:oddHBand="1" w:evenHBand="0" w:firstRowFirstColumn="0" w:firstRowLastColumn="0" w:lastRowFirstColumn="0" w:lastRowLastColumn="0"/>
          <w:trHeight w:val="3360"/>
        </w:trPr>
        <w:tc>
          <w:tcPr>
            <w:cnfStyle w:val="001000000000" w:firstRow="0" w:lastRow="0" w:firstColumn="1" w:lastColumn="0" w:oddVBand="0" w:evenVBand="0" w:oddHBand="0" w:evenHBand="0" w:firstRowFirstColumn="0" w:firstRowLastColumn="0" w:lastRowFirstColumn="0" w:lastRowLastColumn="0"/>
            <w:tcW w:w="1271" w:type="dxa"/>
          </w:tcPr>
          <w:p w14:paraId="56BA8C6C" w14:textId="0965BD99" w:rsidR="000B7C18" w:rsidRDefault="00042618">
            <w:pPr>
              <w:jc w:val="center"/>
              <w:rPr>
                <w:sz w:val="20"/>
                <w:szCs w:val="20"/>
              </w:rPr>
            </w:pPr>
            <w:r>
              <w:rPr>
                <w:sz w:val="20"/>
                <w:szCs w:val="20"/>
              </w:rPr>
              <w:fldChar w:fldCharType="begin">
                <w:fldData xml:space="preserve">PEVuZE5vdGU+PENpdGUgQXV0aG9yWWVhcj0iMSI+PEF1dGhvcj5NaWxhamVyZGk8L0F1dGhvcj48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</w:fldData>
              </w:fldChar>
            </w:r>
            <w:r w:rsidR="005F7F07">
              <w:rPr>
                <w:sz w:val="20"/>
                <w:szCs w:val="20"/>
              </w:rPr>
              <w:instrText xml:space="preserve"> ADDIN EN.CITE </w:instrText>
            </w:r>
            <w:r w:rsidR="005F7F07">
              <w:rPr>
                <w:sz w:val="20"/>
                <w:szCs w:val="20"/>
              </w:rPr>
              <w:fldChar w:fldCharType="begin">
                <w:fldData xml:space="preserve">PEVuZE5vdGU+PENpdGUgQXV0aG9yWWVhcj0iMSI+PEF1dGhvcj5NaWxhamVyZGk8L0F1dGhvcj48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</w:fldData>
              </w:fldChar>
            </w:r>
            <w:r w:rsidR="005F7F07">
              <w:rPr>
                <w:sz w:val="20"/>
                <w:szCs w:val="20"/>
              </w:rPr>
              <w:instrText xml:space="preserve"> ADDIN EN.CITE.DATA </w:instrText>
            </w:r>
            <w:r w:rsidR="005F7F07">
              <w:rPr>
                <w:sz w:val="20"/>
                <w:szCs w:val="20"/>
              </w:rPr>
            </w:r>
            <w:r w:rsidR="005F7F07">
              <w:rPr>
                <w:sz w:val="20"/>
                <w:szCs w:val="20"/>
              </w:rPr>
              <w:fldChar w:fldCharType="end"/>
            </w:r>
            <w:r>
              <w:rPr>
                <w:sz w:val="20"/>
                <w:szCs w:val="20"/>
              </w:rPr>
            </w:r>
            <w:r>
              <w:rPr>
                <w:sz w:val="20"/>
                <w:szCs w:val="20"/>
              </w:rPr>
              <w:fldChar w:fldCharType="separate"/>
            </w:r>
            <w:r w:rsidR="005F7F07">
              <w:rPr>
                <w:noProof/>
                <w:sz w:val="20"/>
                <w:szCs w:val="20"/>
              </w:rPr>
              <w:t>Milajerdi et al. (2019)</w:t>
            </w:r>
            <w:r>
              <w:rPr>
                <w:sz w:val="20"/>
                <w:szCs w:val="20"/>
              </w:rPr>
              <w:fldChar w:fldCharType="end"/>
            </w:r>
          </w:p>
        </w:tc>
        <w:tc>
          <w:tcPr>
            <w:tcW w:w="1979" w:type="dxa"/>
          </w:tcPr>
          <w:p w14:paraId="17F17290" w14:textId="77777777" w:rsidR="00367D14" w:rsidRPr="00367D14" w:rsidRDefault="00367D14" w:rsidP="00367D1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367D14">
              <w:rPr>
                <w:rFonts w:eastAsia="Times New Roman" w:cs="Times New Roman"/>
                <w:color w:val="000000"/>
                <w:kern w:val="0"/>
                <w:sz w:val="20"/>
                <w:szCs w:val="20"/>
                <w:lang w:eastAsia="en-AU"/>
                <w14:ligatures w14:val="none"/>
              </w:rPr>
              <w:t>To investigate the dose–response association</w:t>
            </w:r>
          </w:p>
          <w:p w14:paraId="4DA9F4BC" w14:textId="4E425143" w:rsidR="000B7C18" w:rsidRPr="00367D14" w:rsidRDefault="00367D14" w:rsidP="00367D1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367D14">
              <w:rPr>
                <w:rFonts w:eastAsia="Times New Roman" w:cs="Times New Roman"/>
                <w:color w:val="000000"/>
                <w:kern w:val="0"/>
                <w:sz w:val="20"/>
                <w:szCs w:val="20"/>
                <w:lang w:eastAsia="en-AU"/>
                <w14:ligatures w14:val="none"/>
              </w:rPr>
              <w:t>of dietary sodium intake with all-cause and cardiovascular disease mortality</w:t>
            </w:r>
          </w:p>
        </w:tc>
        <w:tc>
          <w:tcPr>
            <w:tcW w:w="1417" w:type="dxa"/>
          </w:tcPr>
          <w:p w14:paraId="0C1EB78D" w14:textId="5D405D00" w:rsidR="000B7C18" w:rsidRPr="000E0B5A" w:rsidRDefault="00367D1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5E5BDC">
              <w:rPr>
                <w:rFonts w:eastAsia="Times New Roman" w:cs="Times New Roman"/>
                <w:color w:val="000000"/>
                <w:kern w:val="0"/>
                <w:sz w:val="20"/>
                <w:szCs w:val="20"/>
                <w:lang w:eastAsia="en-AU"/>
                <w14:ligatures w14:val="none"/>
              </w:rPr>
              <w:t>Database inception to</w:t>
            </w:r>
            <w:r>
              <w:rPr>
                <w:rFonts w:eastAsia="Times New Roman" w:cs="Times New Roman"/>
                <w:color w:val="000000"/>
                <w:kern w:val="0"/>
                <w:sz w:val="20"/>
                <w:szCs w:val="20"/>
                <w:lang w:eastAsia="en-AU"/>
                <w14:ligatures w14:val="none"/>
              </w:rPr>
              <w:t xml:space="preserve"> August 2017</w:t>
            </w:r>
          </w:p>
        </w:tc>
        <w:tc>
          <w:tcPr>
            <w:tcW w:w="5806" w:type="dxa"/>
          </w:tcPr>
          <w:p w14:paraId="71F374C4" w14:textId="0E7095EB" w:rsidR="00771F1A" w:rsidRPr="00771F1A" w:rsidRDefault="00771F1A" w:rsidP="004D4BB2">
            <w:pPr>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P: </w:t>
            </w:r>
            <w:r w:rsidR="0002273D">
              <w:rPr>
                <w:rFonts w:eastAsia="Times New Roman" w:cs="Times New Roman"/>
                <w:color w:val="000000"/>
                <w:kern w:val="0"/>
                <w:sz w:val="20"/>
                <w:szCs w:val="20"/>
                <w:lang w:eastAsia="en-AU"/>
                <w14:ligatures w14:val="none"/>
              </w:rPr>
              <w:t>P</w:t>
            </w:r>
            <w:r w:rsidR="00906485" w:rsidRPr="00906485">
              <w:rPr>
                <w:rFonts w:eastAsia="Times New Roman" w:cs="Times New Roman"/>
                <w:color w:val="000000"/>
                <w:kern w:val="0"/>
                <w:sz w:val="20"/>
                <w:szCs w:val="20"/>
                <w:lang w:eastAsia="en-AU"/>
                <w14:ligatures w14:val="none"/>
              </w:rPr>
              <w:t>opulation age ≥18 years</w:t>
            </w:r>
            <w:r w:rsidR="004D4BB2">
              <w:rPr>
                <w:rFonts w:eastAsia="Times New Roman" w:cs="Times New Roman"/>
                <w:color w:val="000000"/>
                <w:kern w:val="0"/>
                <w:sz w:val="20"/>
                <w:szCs w:val="20"/>
                <w:lang w:eastAsia="en-AU"/>
                <w14:ligatures w14:val="none"/>
              </w:rPr>
              <w:t xml:space="preserve"> excluding </w:t>
            </w:r>
            <w:r w:rsidR="004D4BB2" w:rsidRPr="004D4BB2">
              <w:rPr>
                <w:rFonts w:eastAsia="Times New Roman" w:cs="Times New Roman"/>
                <w:color w:val="000000"/>
                <w:kern w:val="0"/>
                <w:sz w:val="20"/>
                <w:szCs w:val="20"/>
                <w:lang w:eastAsia="en-AU"/>
                <w14:ligatures w14:val="none"/>
              </w:rPr>
              <w:t xml:space="preserve">pregnant </w:t>
            </w:r>
            <w:r w:rsidR="00A0102C">
              <w:rPr>
                <w:rFonts w:eastAsia="Times New Roman" w:cs="Times New Roman"/>
                <w:color w:val="000000"/>
                <w:kern w:val="0"/>
                <w:sz w:val="20"/>
                <w:szCs w:val="20"/>
                <w:lang w:eastAsia="en-AU"/>
                <w14:ligatures w14:val="none"/>
              </w:rPr>
              <w:t>females</w:t>
            </w:r>
            <w:r w:rsidR="004D4BB2">
              <w:rPr>
                <w:rFonts w:eastAsia="Times New Roman" w:cs="Times New Roman"/>
                <w:color w:val="000000"/>
                <w:kern w:val="0"/>
                <w:sz w:val="20"/>
                <w:szCs w:val="20"/>
                <w:lang w:eastAsia="en-AU"/>
                <w14:ligatures w14:val="none"/>
              </w:rPr>
              <w:t xml:space="preserve"> or studies in </w:t>
            </w:r>
            <w:r w:rsidR="004D4BB2" w:rsidRPr="004D4BB2">
              <w:rPr>
                <w:rFonts w:eastAsia="Times New Roman" w:cs="Times New Roman"/>
                <w:color w:val="000000"/>
                <w:kern w:val="0"/>
                <w:sz w:val="20"/>
                <w:szCs w:val="20"/>
                <w:lang w:eastAsia="en-AU"/>
                <w14:ligatures w14:val="none"/>
              </w:rPr>
              <w:t>patients with renal</w:t>
            </w:r>
            <w:r w:rsidR="004D4BB2">
              <w:rPr>
                <w:rFonts w:eastAsia="Times New Roman" w:cs="Times New Roman"/>
                <w:color w:val="000000"/>
                <w:kern w:val="0"/>
                <w:sz w:val="20"/>
                <w:szCs w:val="20"/>
                <w:lang w:eastAsia="en-AU"/>
                <w14:ligatures w14:val="none"/>
              </w:rPr>
              <w:t xml:space="preserve"> </w:t>
            </w:r>
            <w:r w:rsidR="004D4BB2" w:rsidRPr="004D4BB2">
              <w:rPr>
                <w:rFonts w:eastAsia="Times New Roman" w:cs="Times New Roman"/>
                <w:color w:val="000000"/>
                <w:kern w:val="0"/>
                <w:sz w:val="20"/>
                <w:szCs w:val="20"/>
                <w:lang w:eastAsia="en-AU"/>
                <w14:ligatures w14:val="none"/>
              </w:rPr>
              <w:t>diseases, heart failure, cancers, liver diseases, hypertension,</w:t>
            </w:r>
            <w:r w:rsidR="004D4BB2">
              <w:rPr>
                <w:rFonts w:eastAsia="Times New Roman" w:cs="Times New Roman"/>
                <w:color w:val="000000"/>
                <w:kern w:val="0"/>
                <w:sz w:val="20"/>
                <w:szCs w:val="20"/>
                <w:lang w:eastAsia="en-AU"/>
                <w14:ligatures w14:val="none"/>
              </w:rPr>
              <w:t xml:space="preserve"> </w:t>
            </w:r>
            <w:r w:rsidR="004D4BB2" w:rsidRPr="004D4BB2">
              <w:rPr>
                <w:rFonts w:eastAsia="Times New Roman" w:cs="Times New Roman"/>
                <w:color w:val="000000"/>
                <w:kern w:val="0"/>
                <w:sz w:val="20"/>
                <w:szCs w:val="20"/>
                <w:lang w:eastAsia="en-AU"/>
                <w14:ligatures w14:val="none"/>
              </w:rPr>
              <w:t>cystic fibrosis and chronic obstructive pulmonary disease</w:t>
            </w:r>
            <w:r w:rsidR="004D4BB2">
              <w:rPr>
                <w:rFonts w:eastAsia="Times New Roman" w:cs="Times New Roman"/>
                <w:color w:val="000000"/>
                <w:kern w:val="0"/>
                <w:sz w:val="20"/>
                <w:szCs w:val="20"/>
                <w:lang w:eastAsia="en-AU"/>
                <w14:ligatures w14:val="none"/>
              </w:rPr>
              <w:t>.</w:t>
            </w:r>
          </w:p>
          <w:p w14:paraId="23D377B8" w14:textId="2C0F5DE0" w:rsidR="00771F1A" w:rsidRPr="00771F1A" w:rsidRDefault="00771F1A" w:rsidP="00771F1A">
            <w:pPr>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I/E/C: </w:t>
            </w:r>
            <w:r w:rsidR="001A245A">
              <w:rPr>
                <w:rFonts w:eastAsia="Times New Roman" w:cs="Times New Roman"/>
                <w:color w:val="000000"/>
                <w:kern w:val="0"/>
                <w:sz w:val="20"/>
                <w:szCs w:val="20"/>
                <w:lang w:eastAsia="en-AU"/>
                <w14:ligatures w14:val="none"/>
              </w:rPr>
              <w:t>Differing levels of sodium intake</w:t>
            </w:r>
            <w:r w:rsidR="008C286D">
              <w:rPr>
                <w:rFonts w:eastAsia="Times New Roman" w:cs="Times New Roman"/>
                <w:color w:val="000000"/>
                <w:kern w:val="0"/>
                <w:sz w:val="20"/>
                <w:szCs w:val="20"/>
                <w:lang w:eastAsia="en-AU"/>
                <w14:ligatures w14:val="none"/>
              </w:rPr>
              <w:t>. Studies measuring sodium intake using both urinary excretion and dietary intake were eligible.</w:t>
            </w:r>
          </w:p>
          <w:p w14:paraId="02A492B5" w14:textId="36BC8C03" w:rsidR="00771F1A" w:rsidRPr="00771F1A" w:rsidRDefault="00771F1A" w:rsidP="00B039BD">
            <w:pPr>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O: </w:t>
            </w:r>
            <w:r w:rsidR="00B039BD">
              <w:rPr>
                <w:rFonts w:eastAsia="Times New Roman" w:cs="Times New Roman"/>
                <w:color w:val="000000"/>
                <w:kern w:val="0"/>
                <w:sz w:val="20"/>
                <w:szCs w:val="20"/>
                <w:lang w:eastAsia="en-AU"/>
                <w14:ligatures w14:val="none"/>
              </w:rPr>
              <w:t xml:space="preserve">All-cause or cardiovascular disease mortality, presented as a </w:t>
            </w:r>
            <w:r w:rsidR="00B039BD" w:rsidRPr="00B039BD">
              <w:rPr>
                <w:rFonts w:eastAsia="Times New Roman" w:cs="Times New Roman"/>
                <w:color w:val="000000"/>
                <w:kern w:val="0"/>
                <w:sz w:val="20"/>
                <w:szCs w:val="20"/>
                <w:lang w:eastAsia="en-AU"/>
                <w14:ligatures w14:val="none"/>
              </w:rPr>
              <w:t>hazard ratio (HR) or relative risk (RR) with 95%</w:t>
            </w:r>
            <w:r w:rsidR="00B039BD">
              <w:rPr>
                <w:rFonts w:eastAsia="Times New Roman" w:cs="Times New Roman"/>
                <w:color w:val="000000"/>
                <w:kern w:val="0"/>
                <w:sz w:val="20"/>
                <w:szCs w:val="20"/>
                <w:lang w:eastAsia="en-AU"/>
                <w14:ligatures w14:val="none"/>
              </w:rPr>
              <w:t xml:space="preserve"> </w:t>
            </w:r>
            <w:r w:rsidR="00B039BD" w:rsidRPr="00B039BD">
              <w:rPr>
                <w:rFonts w:eastAsia="Times New Roman" w:cs="Times New Roman"/>
                <w:color w:val="000000"/>
                <w:kern w:val="0"/>
                <w:sz w:val="20"/>
                <w:szCs w:val="20"/>
                <w:lang w:eastAsia="en-AU"/>
                <w14:ligatures w14:val="none"/>
              </w:rPr>
              <w:t>CI of all-cause or/and CVD mortality</w:t>
            </w:r>
          </w:p>
          <w:p w14:paraId="11745B3E" w14:textId="76320ED1" w:rsidR="000B7C18" w:rsidRPr="000E0B5A" w:rsidRDefault="00771F1A" w:rsidP="00A71C28">
            <w:pPr>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771F1A">
              <w:rPr>
                <w:rFonts w:eastAsia="Times New Roman" w:cs="Times New Roman"/>
                <w:color w:val="000000"/>
                <w:kern w:val="0"/>
                <w:sz w:val="20"/>
                <w:szCs w:val="20"/>
                <w:lang w:eastAsia="en-AU"/>
                <w14:ligatures w14:val="none"/>
              </w:rPr>
              <w:t>TS:</w:t>
            </w:r>
            <w:r w:rsidR="00C46C9B">
              <w:rPr>
                <w:rFonts w:eastAsia="Times New Roman" w:cs="Times New Roman"/>
                <w:color w:val="000000"/>
                <w:kern w:val="0"/>
                <w:sz w:val="20"/>
                <w:szCs w:val="20"/>
                <w:lang w:eastAsia="en-AU"/>
                <w14:ligatures w14:val="none"/>
              </w:rPr>
              <w:t xml:space="preserve"> </w:t>
            </w:r>
            <w:r w:rsidR="00A71C28">
              <w:rPr>
                <w:rFonts w:eastAsia="Times New Roman" w:cs="Times New Roman"/>
                <w:color w:val="000000"/>
                <w:kern w:val="0"/>
                <w:sz w:val="20"/>
                <w:szCs w:val="20"/>
                <w:lang w:eastAsia="en-AU"/>
                <w14:ligatures w14:val="none"/>
              </w:rPr>
              <w:t>Prospective cohort studies were sought; RCTs</w:t>
            </w:r>
            <w:r w:rsidR="00C46C9B" w:rsidRPr="00C46C9B">
              <w:rPr>
                <w:rFonts w:eastAsia="Times New Roman" w:cs="Times New Roman"/>
                <w:color w:val="000000"/>
                <w:kern w:val="0"/>
                <w:sz w:val="20"/>
                <w:szCs w:val="20"/>
                <w:lang w:eastAsia="en-AU"/>
                <w14:ligatures w14:val="none"/>
              </w:rPr>
              <w:t>, crossover,</w:t>
            </w:r>
            <w:r w:rsidR="00A71C28">
              <w:rPr>
                <w:rFonts w:eastAsia="Times New Roman" w:cs="Times New Roman"/>
                <w:color w:val="000000"/>
                <w:kern w:val="0"/>
                <w:sz w:val="20"/>
                <w:szCs w:val="20"/>
                <w:lang w:eastAsia="en-AU"/>
                <w14:ligatures w14:val="none"/>
              </w:rPr>
              <w:t xml:space="preserve"> </w:t>
            </w:r>
            <w:r w:rsidR="00C46C9B" w:rsidRPr="00C46C9B">
              <w:rPr>
                <w:rFonts w:eastAsia="Times New Roman" w:cs="Times New Roman"/>
                <w:color w:val="000000"/>
                <w:kern w:val="0"/>
                <w:sz w:val="20"/>
                <w:szCs w:val="20"/>
                <w:lang w:eastAsia="en-AU"/>
                <w14:ligatures w14:val="none"/>
              </w:rPr>
              <w:t>cross-sectional and review studies, letters, comments</w:t>
            </w:r>
            <w:r w:rsidR="00A71C28">
              <w:rPr>
                <w:rFonts w:eastAsia="Times New Roman" w:cs="Times New Roman"/>
                <w:color w:val="000000"/>
                <w:kern w:val="0"/>
                <w:sz w:val="20"/>
                <w:szCs w:val="20"/>
                <w:lang w:eastAsia="en-AU"/>
                <w14:ligatures w14:val="none"/>
              </w:rPr>
              <w:t xml:space="preserve"> and </w:t>
            </w:r>
            <w:r w:rsidR="00C46C9B" w:rsidRPr="00C46C9B">
              <w:rPr>
                <w:rFonts w:eastAsia="Times New Roman" w:cs="Times New Roman"/>
                <w:color w:val="000000"/>
                <w:kern w:val="0"/>
                <w:sz w:val="20"/>
                <w:szCs w:val="20"/>
                <w:lang w:eastAsia="en-AU"/>
                <w14:ligatures w14:val="none"/>
              </w:rPr>
              <w:t>non-English language articles</w:t>
            </w:r>
            <w:r w:rsidR="00C46C9B">
              <w:rPr>
                <w:rFonts w:eastAsia="Times New Roman" w:cs="Times New Roman"/>
                <w:color w:val="000000"/>
                <w:kern w:val="0"/>
                <w:sz w:val="20"/>
                <w:szCs w:val="20"/>
                <w:lang w:eastAsia="en-AU"/>
                <w14:ligatures w14:val="none"/>
              </w:rPr>
              <w:t xml:space="preserve"> were excluded.</w:t>
            </w:r>
          </w:p>
        </w:tc>
        <w:tc>
          <w:tcPr>
            <w:tcW w:w="1984" w:type="dxa"/>
          </w:tcPr>
          <w:p w14:paraId="0FF64D09" w14:textId="77777777" w:rsidR="00886174" w:rsidRDefault="00DC15E8" w:rsidP="00886174">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DC15E8">
              <w:rPr>
                <w:rFonts w:eastAsia="Times New Roman" w:cs="Times New Roman"/>
                <w:color w:val="000000"/>
                <w:kern w:val="0"/>
                <w:sz w:val="20"/>
                <w:szCs w:val="20"/>
                <w:lang w:eastAsia="en-AU"/>
                <w14:ligatures w14:val="none"/>
              </w:rPr>
              <w:t xml:space="preserve">21 </w:t>
            </w:r>
            <w:r w:rsidR="001508B9">
              <w:rPr>
                <w:rFonts w:eastAsia="Times New Roman" w:cs="Times New Roman"/>
                <w:color w:val="000000"/>
                <w:kern w:val="0"/>
                <w:sz w:val="20"/>
                <w:szCs w:val="20"/>
                <w:lang w:eastAsia="en-AU"/>
                <w14:ligatures w14:val="none"/>
              </w:rPr>
              <w:t>studies</w:t>
            </w:r>
            <w:r w:rsidR="00886174">
              <w:rPr>
                <w:rFonts w:eastAsia="Times New Roman" w:cs="Times New Roman"/>
                <w:color w:val="000000"/>
                <w:kern w:val="0"/>
                <w:sz w:val="20"/>
                <w:szCs w:val="20"/>
                <w:lang w:eastAsia="en-AU"/>
                <w14:ligatures w14:val="none"/>
              </w:rPr>
              <w:t xml:space="preserve">, </w:t>
            </w:r>
          </w:p>
          <w:p w14:paraId="37DD03C9" w14:textId="51CF121A" w:rsidR="00DC15E8" w:rsidRPr="000E0B5A" w:rsidRDefault="00DC15E8" w:rsidP="00886174">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DC15E8">
              <w:rPr>
                <w:rFonts w:eastAsia="Times New Roman" w:cs="Times New Roman"/>
                <w:color w:val="000000"/>
                <w:kern w:val="0"/>
                <w:sz w:val="20"/>
                <w:szCs w:val="20"/>
                <w:lang w:eastAsia="en-AU"/>
                <w14:ligatures w14:val="none"/>
              </w:rPr>
              <w:t>222,189 participants</w:t>
            </w:r>
          </w:p>
        </w:tc>
        <w:tc>
          <w:tcPr>
            <w:tcW w:w="1701" w:type="dxa"/>
          </w:tcPr>
          <w:p w14:paraId="54A9156C" w14:textId="3C487930" w:rsidR="001508B9" w:rsidRPr="00B03F8B" w:rsidRDefault="001508B9" w:rsidP="001508B9">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B03F8B">
              <w:rPr>
                <w:rFonts w:eastAsia="Times New Roman" w:cs="Times New Roman"/>
                <w:i/>
                <w:iCs/>
                <w:color w:val="000000"/>
                <w:kern w:val="0"/>
                <w:sz w:val="20"/>
                <w:szCs w:val="20"/>
                <w:lang w:eastAsia="en-AU"/>
                <w14:ligatures w14:val="none"/>
              </w:rPr>
              <w:t xml:space="preserve">D1: </w:t>
            </w:r>
            <w:r w:rsidR="00B03F8B" w:rsidRPr="00B03F8B">
              <w:rPr>
                <w:rFonts w:eastAsia="Times New Roman" w:cs="Times New Roman"/>
                <w:i/>
                <w:iCs/>
                <w:color w:val="000000"/>
                <w:kern w:val="0"/>
                <w:sz w:val="20"/>
                <w:szCs w:val="20"/>
                <w:lang w:eastAsia="en-AU"/>
                <w14:ligatures w14:val="none"/>
              </w:rPr>
              <w:t>HIGH</w:t>
            </w:r>
          </w:p>
          <w:p w14:paraId="75A7C5A5" w14:textId="13F7B926" w:rsidR="001508B9" w:rsidRPr="00B03F8B" w:rsidRDefault="001508B9" w:rsidP="001508B9">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B03F8B">
              <w:rPr>
                <w:rFonts w:eastAsia="Times New Roman" w:cs="Times New Roman"/>
                <w:i/>
                <w:iCs/>
                <w:color w:val="000000"/>
                <w:kern w:val="0"/>
                <w:sz w:val="20"/>
                <w:szCs w:val="20"/>
                <w:lang w:eastAsia="en-AU"/>
                <w14:ligatures w14:val="none"/>
              </w:rPr>
              <w:t xml:space="preserve">D2: </w:t>
            </w:r>
            <w:r w:rsidR="00B03F8B" w:rsidRPr="00B03F8B">
              <w:rPr>
                <w:rFonts w:eastAsia="Times New Roman" w:cs="Times New Roman"/>
                <w:i/>
                <w:iCs/>
                <w:color w:val="000000"/>
                <w:kern w:val="0"/>
                <w:sz w:val="20"/>
                <w:szCs w:val="20"/>
                <w:lang w:eastAsia="en-AU"/>
                <w14:ligatures w14:val="none"/>
              </w:rPr>
              <w:t>UNCLEAR</w:t>
            </w:r>
          </w:p>
          <w:p w14:paraId="40563CFC" w14:textId="23DC7471" w:rsidR="001508B9" w:rsidRPr="00B03F8B" w:rsidRDefault="001508B9" w:rsidP="001508B9">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B03F8B">
              <w:rPr>
                <w:rFonts w:eastAsia="Times New Roman" w:cs="Times New Roman"/>
                <w:i/>
                <w:iCs/>
                <w:color w:val="000000"/>
                <w:kern w:val="0"/>
                <w:sz w:val="20"/>
                <w:szCs w:val="20"/>
                <w:lang w:eastAsia="en-AU"/>
                <w14:ligatures w14:val="none"/>
              </w:rPr>
              <w:t xml:space="preserve">D3: </w:t>
            </w:r>
            <w:r w:rsidR="00B03F8B" w:rsidRPr="00B03F8B">
              <w:rPr>
                <w:rFonts w:eastAsia="Times New Roman" w:cs="Times New Roman"/>
                <w:i/>
                <w:iCs/>
                <w:color w:val="000000"/>
                <w:kern w:val="0"/>
                <w:sz w:val="20"/>
                <w:szCs w:val="20"/>
                <w:lang w:eastAsia="en-AU"/>
                <w14:ligatures w14:val="none"/>
              </w:rPr>
              <w:t>UNCLEAR</w:t>
            </w:r>
            <w:r w:rsidRPr="00B03F8B">
              <w:rPr>
                <w:rFonts w:eastAsia="Times New Roman" w:cs="Times New Roman"/>
                <w:i/>
                <w:iCs/>
                <w:color w:val="000000"/>
                <w:kern w:val="0"/>
                <w:sz w:val="20"/>
                <w:szCs w:val="20"/>
                <w:lang w:eastAsia="en-AU"/>
                <w14:ligatures w14:val="none"/>
              </w:rPr>
              <w:t xml:space="preserve"> </w:t>
            </w:r>
          </w:p>
          <w:p w14:paraId="476E54B5" w14:textId="481B937B" w:rsidR="001508B9" w:rsidRPr="00B03F8B" w:rsidRDefault="001508B9" w:rsidP="001508B9">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B03F8B">
              <w:rPr>
                <w:rFonts w:eastAsia="Times New Roman" w:cs="Times New Roman"/>
                <w:i/>
                <w:iCs/>
                <w:color w:val="000000"/>
                <w:kern w:val="0"/>
                <w:sz w:val="20"/>
                <w:szCs w:val="20"/>
                <w:lang w:eastAsia="en-AU"/>
                <w14:ligatures w14:val="none"/>
              </w:rPr>
              <w:t xml:space="preserve">D4: </w:t>
            </w:r>
            <w:r w:rsidR="00B03F8B" w:rsidRPr="00B03F8B">
              <w:rPr>
                <w:rFonts w:eastAsia="Times New Roman" w:cs="Times New Roman"/>
                <w:i/>
                <w:iCs/>
                <w:color w:val="000000"/>
                <w:kern w:val="0"/>
                <w:sz w:val="20"/>
                <w:szCs w:val="20"/>
                <w:lang w:eastAsia="en-AU"/>
                <w14:ligatures w14:val="none"/>
              </w:rPr>
              <w:t>HIGH</w:t>
            </w:r>
          </w:p>
          <w:p w14:paraId="6EB47054" w14:textId="77777777" w:rsidR="001508B9" w:rsidRPr="00B03F8B" w:rsidRDefault="001508B9" w:rsidP="001508B9">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p>
          <w:p w14:paraId="60799220" w14:textId="77777777" w:rsidR="00B03F8B" w:rsidRPr="00B03F8B" w:rsidRDefault="00B03F8B" w:rsidP="00B03F8B">
            <w:pPr>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color w:val="000000"/>
                <w:kern w:val="0"/>
                <w:sz w:val="20"/>
                <w:szCs w:val="20"/>
                <w:lang w:eastAsia="en-AU"/>
                <w14:ligatures w14:val="none"/>
              </w:rPr>
            </w:pPr>
            <w:r w:rsidRPr="00B03F8B">
              <w:rPr>
                <w:rFonts w:eastAsia="Times New Roman" w:cs="Times New Roman"/>
                <w:b/>
                <w:bCs/>
                <w:i/>
                <w:iCs/>
                <w:color w:val="000000"/>
                <w:kern w:val="0"/>
                <w:sz w:val="20"/>
                <w:szCs w:val="20"/>
                <w:lang w:eastAsia="en-AU"/>
                <w14:ligatures w14:val="none"/>
              </w:rPr>
              <w:t>OVERALL:</w:t>
            </w:r>
          </w:p>
          <w:p w14:paraId="34E6FA94" w14:textId="273F90F9" w:rsidR="000B7C18" w:rsidRPr="000E0B5A" w:rsidRDefault="00B03F8B" w:rsidP="001508B9">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highlight w:val="yellow"/>
                <w:lang w:eastAsia="en-AU"/>
                <w14:ligatures w14:val="none"/>
              </w:rPr>
            </w:pPr>
            <w:r w:rsidRPr="00B03F8B">
              <w:rPr>
                <w:rFonts w:eastAsia="Times New Roman" w:cs="Times New Roman"/>
                <w:b/>
                <w:bCs/>
                <w:i/>
                <w:iCs/>
                <w:color w:val="000000"/>
                <w:kern w:val="0"/>
                <w:sz w:val="20"/>
                <w:szCs w:val="20"/>
                <w:lang w:eastAsia="en-AU"/>
                <w14:ligatures w14:val="none"/>
              </w:rPr>
              <w:t>HIGH</w:t>
            </w:r>
          </w:p>
        </w:tc>
      </w:tr>
      <w:tr w:rsidR="00CC268C" w:rsidRPr="001D5149" w14:paraId="14362B42" w14:textId="77777777" w:rsidTr="006C01F5">
        <w:trPr>
          <w:trHeight w:val="3360"/>
        </w:trPr>
        <w:tc>
          <w:tcPr>
            <w:cnfStyle w:val="001000000000" w:firstRow="0" w:lastRow="0" w:firstColumn="1" w:lastColumn="0" w:oddVBand="0" w:evenVBand="0" w:oddHBand="0" w:evenHBand="0" w:firstRowFirstColumn="0" w:firstRowLastColumn="0" w:lastRowFirstColumn="0" w:lastRowLastColumn="0"/>
            <w:tcW w:w="1271" w:type="dxa"/>
          </w:tcPr>
          <w:p w14:paraId="6C7CB4F3" w14:textId="602A6A07" w:rsidR="00CC268C" w:rsidRDefault="00CC268C">
            <w:pPr>
              <w:jc w:val="center"/>
              <w:rPr>
                <w:sz w:val="20"/>
                <w:szCs w:val="20"/>
              </w:rPr>
            </w:pPr>
            <w:r>
              <w:rPr>
                <w:sz w:val="20"/>
                <w:szCs w:val="20"/>
              </w:rPr>
              <w:lastRenderedPageBreak/>
              <w:fldChar w:fldCharType="begin"/>
            </w:r>
            <w:r w:rsidR="008D3A54">
              <w:rPr>
                <w:sz w:val="20"/>
                <w:szCs w:val="20"/>
              </w:rPr>
              <w:instrText xml:space="preserve"> ADDIN EN.CITE &lt;EndNote&gt;&lt;Cite AuthorYear="1"&gt;&lt;Author&gt;Surma&lt;/Author&gt;&lt;Year&gt;2025&lt;/Year&gt;&lt;RecNum&gt;3366&lt;/RecNum&gt;&lt;DisplayText&gt;Surma et al. (2025)&lt;/DisplayText&gt;&lt;record&gt;&lt;rec-number&gt;3366&lt;/rec-number&gt;&lt;foreign-keys&gt;&lt;key app="EN" db-id="wwsdv2wwp29fenerv0kx5tw9zxtx2fdrprx2" timestamp="1763423052"&gt;3366&lt;/key&gt;&lt;/foreign-keys&gt;&lt;ref-type name="Journal Article"&gt;17&lt;/ref-type&gt;&lt;contributors&gt;&lt;authors&gt;&lt;author&gt;Surma, S.&lt;/author&gt;&lt;author&gt;Surma, S.&lt;/author&gt;&lt;author&gt;Banach, M.&lt;/author&gt;&lt;author&gt;Pruc, M.&lt;/author&gt;&lt;author&gt;Pruc, M.&lt;/author&gt;&lt;author&gt;Szarpak, L.&lt;/author&gt;&lt;author&gt;Szarpak, L.&lt;/author&gt;&lt;author&gt;Banach, M.&lt;/author&gt;&lt;author&gt;Banach, M.&lt;/author&gt;&lt;author&gt;Banach, M.&lt;/author&gt;&lt;/authors&gt;&lt;/contributors&gt;&lt;titles&gt;&lt;title&gt;Dietary salt on vascular function: a meta-analysis&lt;/title&gt;&lt;secondary-title&gt;Arch. Med. Sci.&lt;/secondary-title&gt;&lt;/titles&gt;&lt;periodical&gt;&lt;full-title&gt;Arch. Med. Sci.&lt;/full-title&gt;&lt;/periodical&gt;&lt;pages&gt;1631-1635&lt;/pages&gt;&lt;volume&gt;21&lt;/volume&gt;&lt;number&gt;4&lt;/number&gt;&lt;dates&gt;&lt;year&gt;2025&lt;/year&gt;&lt;pub-dates&gt;&lt;date&gt;2025&lt;/date&gt;&lt;/pub-dates&gt;&lt;/dates&gt;&lt;isbn&gt;1896-9151&lt;/isbn&gt;&lt;urls&gt;&lt;related-urls&gt;&lt;url&gt;http://www.epistemonikos.org/documents/1a657e7927801c713f0a347511d67d7d39117ac7&lt;/url&gt;&lt;/related-urls&gt;&lt;/urls&gt;&lt;electronic-resource-num&gt;10.5114/aoms/209720&lt;/electronic-resource-num&gt;&lt;remote-database-name&gt;EPISTEMONIKOS&lt;/remote-database-name&gt;&lt;language&gt;English&lt;/language&gt;&lt;/record&gt;&lt;/Cite&gt;&lt;/EndNote&gt;</w:instrText>
            </w:r>
            <w:r>
              <w:rPr>
                <w:sz w:val="20"/>
                <w:szCs w:val="20"/>
              </w:rPr>
              <w:fldChar w:fldCharType="separate"/>
            </w:r>
            <w:r w:rsidR="008D3A54">
              <w:rPr>
                <w:noProof/>
                <w:sz w:val="20"/>
                <w:szCs w:val="20"/>
              </w:rPr>
              <w:t>Surma et al. (2025)</w:t>
            </w:r>
            <w:r>
              <w:rPr>
                <w:sz w:val="20"/>
                <w:szCs w:val="20"/>
              </w:rPr>
              <w:fldChar w:fldCharType="end"/>
            </w:r>
          </w:p>
        </w:tc>
        <w:tc>
          <w:tcPr>
            <w:tcW w:w="1979" w:type="dxa"/>
          </w:tcPr>
          <w:p w14:paraId="0736C544" w14:textId="05D2821A" w:rsidR="00CC268C" w:rsidRPr="00367D14" w:rsidRDefault="008D3A54" w:rsidP="00367D1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8D3A54">
              <w:rPr>
                <w:rFonts w:eastAsia="Times New Roman" w:cs="Times New Roman"/>
                <w:color w:val="000000"/>
                <w:kern w:val="0"/>
                <w:sz w:val="20"/>
                <w:szCs w:val="20"/>
                <w:lang w:eastAsia="en-AU"/>
                <w14:ligatures w14:val="none"/>
              </w:rPr>
              <w:t>To assess the influence of dietary salt intake or urinary sodium excretion on vascular function parameters.</w:t>
            </w:r>
          </w:p>
        </w:tc>
        <w:tc>
          <w:tcPr>
            <w:tcW w:w="1417" w:type="dxa"/>
          </w:tcPr>
          <w:p w14:paraId="5B3A8643" w14:textId="7D72967A" w:rsidR="00CC268C" w:rsidRPr="005E5BDC" w:rsidRDefault="008D3A5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Database inception to January 2025</w:t>
            </w:r>
          </w:p>
        </w:tc>
        <w:tc>
          <w:tcPr>
            <w:tcW w:w="5806" w:type="dxa"/>
          </w:tcPr>
          <w:p w14:paraId="0FFCED8A" w14:textId="77777777" w:rsidR="00CC268C" w:rsidRDefault="001F405F" w:rsidP="004D4BB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 xml:space="preserve">P: </w:t>
            </w:r>
            <w:r w:rsidR="008D3A54" w:rsidRPr="008D3A54">
              <w:rPr>
                <w:rFonts w:eastAsia="Times New Roman" w:cs="Times New Roman"/>
                <w:color w:val="000000"/>
                <w:kern w:val="0"/>
                <w:sz w:val="20"/>
                <w:szCs w:val="20"/>
                <w:lang w:eastAsia="en-AU"/>
                <w14:ligatures w14:val="none"/>
              </w:rPr>
              <w:t>Adult human participants</w:t>
            </w:r>
            <w:r>
              <w:rPr>
                <w:rFonts w:eastAsia="Times New Roman" w:cs="Times New Roman"/>
                <w:color w:val="000000"/>
                <w:kern w:val="0"/>
                <w:sz w:val="20"/>
                <w:szCs w:val="20"/>
                <w:lang w:eastAsia="en-AU"/>
                <w14:ligatures w14:val="none"/>
              </w:rPr>
              <w:t>.</w:t>
            </w:r>
          </w:p>
          <w:p w14:paraId="322A048A" w14:textId="77777777" w:rsidR="001F405F" w:rsidRDefault="001F405F" w:rsidP="004D4BB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I/E/C: Low vs high d</w:t>
            </w:r>
            <w:r w:rsidRPr="001F405F">
              <w:rPr>
                <w:rFonts w:eastAsia="Times New Roman" w:cs="Times New Roman"/>
                <w:color w:val="000000"/>
                <w:kern w:val="0"/>
                <w:sz w:val="20"/>
                <w:szCs w:val="20"/>
                <w:lang w:eastAsia="en-AU"/>
                <w14:ligatures w14:val="none"/>
              </w:rPr>
              <w:t>ietary salt intake</w:t>
            </w:r>
            <w:r>
              <w:rPr>
                <w:rFonts w:eastAsia="Times New Roman" w:cs="Times New Roman"/>
                <w:color w:val="000000"/>
                <w:kern w:val="0"/>
                <w:sz w:val="20"/>
                <w:szCs w:val="20"/>
                <w:lang w:eastAsia="en-AU"/>
                <w14:ligatures w14:val="none"/>
              </w:rPr>
              <w:t>,</w:t>
            </w:r>
            <w:r w:rsidRPr="001F405F">
              <w:rPr>
                <w:rFonts w:eastAsia="Times New Roman" w:cs="Times New Roman"/>
                <w:color w:val="000000"/>
                <w:kern w:val="0"/>
                <w:sz w:val="20"/>
                <w:szCs w:val="20"/>
                <w:lang w:eastAsia="en-AU"/>
                <w14:ligatures w14:val="none"/>
              </w:rPr>
              <w:t xml:space="preserve"> assessed using dietary questionnaires or 24-hour urinary sodium excretion.</w:t>
            </w:r>
          </w:p>
          <w:p w14:paraId="5A2C6462" w14:textId="77777777" w:rsidR="001F405F" w:rsidRDefault="001F405F" w:rsidP="004D4BB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 xml:space="preserve">O: </w:t>
            </w:r>
            <w:r w:rsidRPr="001F405F">
              <w:rPr>
                <w:rFonts w:eastAsia="Times New Roman" w:cs="Times New Roman"/>
                <w:color w:val="000000"/>
                <w:kern w:val="0"/>
                <w:sz w:val="20"/>
                <w:szCs w:val="20"/>
                <w:lang w:eastAsia="en-AU"/>
                <w14:ligatures w14:val="none"/>
              </w:rPr>
              <w:t>Markers of vascular structure and function: carotid intima-media thickness, carotid-femoral pulse wave velocity, and augmentation index</w:t>
            </w:r>
            <w:r>
              <w:rPr>
                <w:rFonts w:eastAsia="Times New Roman" w:cs="Times New Roman"/>
                <w:color w:val="000000"/>
                <w:kern w:val="0"/>
                <w:sz w:val="20"/>
                <w:szCs w:val="20"/>
                <w:lang w:eastAsia="en-AU"/>
                <w14:ligatures w14:val="none"/>
              </w:rPr>
              <w:t>.</w:t>
            </w:r>
          </w:p>
          <w:p w14:paraId="6F3D99E5" w14:textId="7EC489FE" w:rsidR="001F405F" w:rsidRPr="00771F1A" w:rsidRDefault="001F405F" w:rsidP="004D4BB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TS</w:t>
            </w:r>
            <w:r w:rsidR="003F2ACC">
              <w:rPr>
                <w:rFonts w:eastAsia="Times New Roman" w:cs="Times New Roman"/>
                <w:color w:val="000000"/>
                <w:kern w:val="0"/>
                <w:sz w:val="20"/>
                <w:szCs w:val="20"/>
                <w:lang w:eastAsia="en-AU"/>
                <w14:ligatures w14:val="none"/>
              </w:rPr>
              <w:t xml:space="preserve">: </w:t>
            </w:r>
            <w:r w:rsidR="003F2ACC" w:rsidRPr="003F2ACC">
              <w:rPr>
                <w:rFonts w:eastAsia="Times New Roman" w:cs="Times New Roman"/>
                <w:color w:val="000000"/>
                <w:kern w:val="0"/>
                <w:sz w:val="20"/>
                <w:szCs w:val="20"/>
                <w:lang w:eastAsia="en-AU"/>
                <w14:ligatures w14:val="none"/>
              </w:rPr>
              <w:t>Randomized controlled trials (RCTs), cohort studies, and cross-sectional studies</w:t>
            </w:r>
            <w:r w:rsidR="003F2ACC">
              <w:rPr>
                <w:rFonts w:eastAsia="Times New Roman" w:cs="Times New Roman"/>
                <w:color w:val="000000"/>
                <w:kern w:val="0"/>
                <w:sz w:val="20"/>
                <w:szCs w:val="20"/>
                <w:lang w:eastAsia="en-AU"/>
                <w14:ligatures w14:val="none"/>
              </w:rPr>
              <w:t xml:space="preserve"> of any duration.</w:t>
            </w:r>
          </w:p>
        </w:tc>
        <w:tc>
          <w:tcPr>
            <w:tcW w:w="1984" w:type="dxa"/>
          </w:tcPr>
          <w:p w14:paraId="6EF6279D" w14:textId="77777777" w:rsidR="00CC268C" w:rsidRDefault="00D636B6" w:rsidP="00886174">
            <w:pPr>
              <w:spacing w:after="1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5 studies that measured urinary sodium</w:t>
            </w:r>
            <w:r w:rsidR="002115D1">
              <w:rPr>
                <w:rFonts w:eastAsia="Times New Roman" w:cs="Times New Roman"/>
                <w:color w:val="000000"/>
                <w:kern w:val="0"/>
                <w:sz w:val="20"/>
                <w:szCs w:val="20"/>
                <w:lang w:eastAsia="en-AU"/>
                <w14:ligatures w14:val="none"/>
              </w:rPr>
              <w:t>,</w:t>
            </w:r>
          </w:p>
          <w:p w14:paraId="2945D310" w14:textId="2B9F0573" w:rsidR="002115D1" w:rsidRPr="00DC15E8" w:rsidRDefault="002115D1" w:rsidP="00886174">
            <w:pPr>
              <w:spacing w:after="1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1,984 participants</w:t>
            </w:r>
          </w:p>
        </w:tc>
        <w:tc>
          <w:tcPr>
            <w:tcW w:w="1701" w:type="dxa"/>
          </w:tcPr>
          <w:p w14:paraId="0BEB5D90" w14:textId="77777777" w:rsidR="00D636B6" w:rsidRPr="0085322C" w:rsidRDefault="00D636B6" w:rsidP="00D636B6">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85322C">
              <w:rPr>
                <w:rFonts w:eastAsia="Times New Roman" w:cs="Times New Roman"/>
                <w:i/>
                <w:iCs/>
                <w:color w:val="000000"/>
                <w:kern w:val="0"/>
                <w:sz w:val="20"/>
                <w:szCs w:val="20"/>
                <w:lang w:eastAsia="en-AU"/>
                <w14:ligatures w14:val="none"/>
              </w:rPr>
              <w:t xml:space="preserve">D1: HIGH </w:t>
            </w:r>
          </w:p>
          <w:p w14:paraId="5F7110B6" w14:textId="77777777" w:rsidR="00D636B6" w:rsidRPr="0085322C" w:rsidRDefault="00D636B6" w:rsidP="00D636B6">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85322C">
              <w:rPr>
                <w:rFonts w:eastAsia="Times New Roman" w:cs="Times New Roman"/>
                <w:i/>
                <w:iCs/>
                <w:color w:val="000000"/>
                <w:kern w:val="0"/>
                <w:sz w:val="20"/>
                <w:szCs w:val="20"/>
                <w:lang w:eastAsia="en-AU"/>
                <w14:ligatures w14:val="none"/>
              </w:rPr>
              <w:t xml:space="preserve">D2: HIGH </w:t>
            </w:r>
          </w:p>
          <w:p w14:paraId="0F9B0730" w14:textId="5CCB0031" w:rsidR="00D636B6" w:rsidRPr="0085322C" w:rsidRDefault="00D636B6" w:rsidP="00D636B6">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85322C">
              <w:rPr>
                <w:rFonts w:eastAsia="Times New Roman" w:cs="Times New Roman"/>
                <w:i/>
                <w:iCs/>
                <w:color w:val="000000"/>
                <w:kern w:val="0"/>
                <w:sz w:val="20"/>
                <w:szCs w:val="20"/>
                <w:lang w:eastAsia="en-AU"/>
                <w14:ligatures w14:val="none"/>
              </w:rPr>
              <w:t xml:space="preserve">D3: </w:t>
            </w:r>
            <w:r>
              <w:rPr>
                <w:rFonts w:eastAsia="Times New Roman" w:cs="Times New Roman"/>
                <w:i/>
                <w:iCs/>
                <w:color w:val="000000"/>
                <w:kern w:val="0"/>
                <w:sz w:val="20"/>
                <w:szCs w:val="20"/>
                <w:lang w:eastAsia="en-AU"/>
                <w14:ligatures w14:val="none"/>
              </w:rPr>
              <w:t>HIGH</w:t>
            </w:r>
          </w:p>
          <w:p w14:paraId="496F7396" w14:textId="246320B2" w:rsidR="00D636B6" w:rsidRPr="0085322C" w:rsidRDefault="00D636B6" w:rsidP="00D636B6">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85322C">
              <w:rPr>
                <w:rFonts w:eastAsia="Times New Roman" w:cs="Times New Roman"/>
                <w:i/>
                <w:iCs/>
                <w:color w:val="000000"/>
                <w:kern w:val="0"/>
                <w:sz w:val="20"/>
                <w:szCs w:val="20"/>
                <w:lang w:eastAsia="en-AU"/>
                <w14:ligatures w14:val="none"/>
              </w:rPr>
              <w:t xml:space="preserve">D4: </w:t>
            </w:r>
            <w:r>
              <w:rPr>
                <w:rFonts w:eastAsia="Times New Roman" w:cs="Times New Roman"/>
                <w:i/>
                <w:iCs/>
                <w:color w:val="000000"/>
                <w:kern w:val="0"/>
                <w:sz w:val="20"/>
                <w:szCs w:val="20"/>
                <w:lang w:eastAsia="en-AU"/>
                <w14:ligatures w14:val="none"/>
              </w:rPr>
              <w:t>HIGH</w:t>
            </w:r>
          </w:p>
          <w:p w14:paraId="53B20F58" w14:textId="77777777" w:rsidR="00D636B6" w:rsidRPr="0085322C" w:rsidRDefault="00D636B6" w:rsidP="00D636B6">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p>
          <w:p w14:paraId="7103723D" w14:textId="77777777" w:rsidR="00D636B6" w:rsidRPr="0085322C" w:rsidRDefault="00D636B6" w:rsidP="00D636B6">
            <w:pPr>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color w:val="000000"/>
                <w:kern w:val="0"/>
                <w:sz w:val="20"/>
                <w:szCs w:val="20"/>
                <w:lang w:eastAsia="en-AU"/>
                <w14:ligatures w14:val="none"/>
              </w:rPr>
            </w:pPr>
            <w:r w:rsidRPr="0085322C">
              <w:rPr>
                <w:rFonts w:eastAsia="Times New Roman" w:cs="Times New Roman"/>
                <w:b/>
                <w:bCs/>
                <w:i/>
                <w:iCs/>
                <w:color w:val="000000"/>
                <w:kern w:val="0"/>
                <w:sz w:val="20"/>
                <w:szCs w:val="20"/>
                <w:lang w:eastAsia="en-AU"/>
                <w14:ligatures w14:val="none"/>
              </w:rPr>
              <w:t>OVERALL:</w:t>
            </w:r>
          </w:p>
          <w:p w14:paraId="76BEE3CD" w14:textId="2C42951C" w:rsidR="00CC268C" w:rsidRPr="00B03F8B" w:rsidRDefault="00D636B6" w:rsidP="00D636B6">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85322C">
              <w:rPr>
                <w:rFonts w:eastAsia="Times New Roman" w:cs="Times New Roman"/>
                <w:b/>
                <w:bCs/>
                <w:i/>
                <w:iCs/>
                <w:color w:val="000000"/>
                <w:kern w:val="0"/>
                <w:sz w:val="20"/>
                <w:szCs w:val="20"/>
                <w:lang w:eastAsia="en-AU"/>
                <w14:ligatures w14:val="none"/>
              </w:rPr>
              <w:t>HIGH</w:t>
            </w:r>
          </w:p>
        </w:tc>
      </w:tr>
      <w:tr w:rsidR="000277B3" w:rsidRPr="001D5149" w14:paraId="682C4086" w14:textId="77777777" w:rsidTr="006C01F5">
        <w:trPr>
          <w:cnfStyle w:val="000000100000" w:firstRow="0" w:lastRow="0" w:firstColumn="0" w:lastColumn="0" w:oddVBand="0" w:evenVBand="0" w:oddHBand="1" w:evenHBand="0" w:firstRowFirstColumn="0" w:firstRowLastColumn="0" w:lastRowFirstColumn="0" w:lastRowLastColumn="0"/>
          <w:trHeight w:val="3360"/>
        </w:trPr>
        <w:tc>
          <w:tcPr>
            <w:cnfStyle w:val="001000000000" w:firstRow="0" w:lastRow="0" w:firstColumn="1" w:lastColumn="0" w:oddVBand="0" w:evenVBand="0" w:oddHBand="0" w:evenHBand="0" w:firstRowFirstColumn="0" w:firstRowLastColumn="0" w:lastRowFirstColumn="0" w:lastRowLastColumn="0"/>
            <w:tcW w:w="1271" w:type="dxa"/>
          </w:tcPr>
          <w:p w14:paraId="5E62088F" w14:textId="23C6AB3C" w:rsidR="000277B3" w:rsidRDefault="0089144B">
            <w:pPr>
              <w:jc w:val="center"/>
              <w:rPr>
                <w:sz w:val="20"/>
                <w:szCs w:val="20"/>
              </w:rPr>
            </w:pPr>
            <w:r>
              <w:rPr>
                <w:sz w:val="20"/>
                <w:szCs w:val="20"/>
              </w:rPr>
              <w:fldChar w:fldCharType="begin"/>
            </w:r>
            <w:r w:rsidR="00BE6F87">
              <w:rPr>
                <w:sz w:val="20"/>
                <w:szCs w:val="20"/>
              </w:rPr>
              <w:instrText xml:space="preserve"> ADDIN EN.CITE &lt;EndNote&gt;&lt;Cite AuthorYear="1"&gt;&lt;Author&gt;Zhao&lt;/Author&gt;&lt;Year&gt;2022&lt;/Year&gt;&lt;RecNum&gt;17&lt;/RecNum&gt;&lt;DisplayText&gt;Zhao et al. (2022)&lt;/DisplayText&gt;&lt;record&gt;&lt;rec-number&gt;17&lt;/rec-number&gt;&lt;foreign-keys&gt;&lt;key app="EN" db-id="wwsdv2wwp29fenerv0kx5tw9zxtx2fdrprx2" timestamp="1762740335"&gt;17&lt;/key&gt;&lt;/foreign-keys&gt;&lt;ref-type name="Journal Article"&gt;17&lt;/ref-type&gt;&lt;contributors&gt;&lt;authors&gt;&lt;author&gt;Zhao, D.&lt;/author&gt;&lt;author&gt;Li, H. M.&lt;/author&gt;&lt;author&gt;Li, C. X.&lt;/author&gt;&lt;author&gt;Zhou, B.&lt;/author&gt;&lt;/authors&gt;&lt;/contributors&gt;&lt;auth-address&gt;Department of Clinical Epidemiology and Evidence-Based Medicine, The First Hospital of China Medical University, Shenyang 110000, Liaoning, China;School of Public Health, China Medical University, Shenyang 110000, Liaoning, China.&lt;/auth-address&gt;&lt;titles&gt;&lt;title&gt;24-Hour Urinary Sodium Excretion Association with Cardiovascular Events: A Systematic Review and Dose-Response Meta-Analysis&lt;/title&gt;&lt;secondary-title&gt;Biomed Environ Sci&lt;/secondary-title&gt;&lt;/titles&gt;&lt;periodical&gt;&lt;full-title&gt;Biomed Environ Sci&lt;/full-title&gt;&lt;/periodical&gt;&lt;pages&gt;921-930&lt;/pages&gt;&lt;volume&gt;35&lt;/volume&gt;&lt;number&gt;10&lt;/number&gt;&lt;keywords&gt;&lt;keyword&gt;Humans&lt;/keyword&gt;&lt;keyword&gt;Urinalysis&lt;/keyword&gt;&lt;keyword&gt;Sodium Radioisotopes&lt;/keyword&gt;&lt;keyword&gt;*Cardiovascular Diseases/epidemiology&lt;/keyword&gt;&lt;keyword&gt;*Sodium, Dietary/adverse effects&lt;/keyword&gt;&lt;keyword&gt;24-h urinary sodium excretion&lt;/keyword&gt;&lt;keyword&gt;Cardiovascular events&lt;/keyword&gt;&lt;keyword&gt;Dose-response&lt;/keyword&gt;&lt;keyword&gt;Meta-analysis&lt;/keyword&gt;&lt;keyword&gt;Sodium intake&lt;/keyword&gt;&lt;/keywords&gt;&lt;dates&gt;&lt;year&gt;2022&lt;/year&gt;&lt;pub-dates&gt;&lt;date&gt;Oct 20&lt;/date&gt;&lt;/pub-dates&gt;&lt;/dates&gt;&lt;isbn&gt;0895-3988&lt;/isbn&gt;&lt;accession-num&gt;36443269&lt;/accession-num&gt;&lt;urls&gt;&lt;/urls&gt;&lt;electronic-resource-num&gt;10.3967/bes2022.119&lt;/electronic-resource-num&gt;&lt;remote-database-provider&gt;NLM&lt;/remote-database-provider&gt;&lt;language&gt;eng&lt;/language&gt;&lt;/record&gt;&lt;/Cite&gt;&lt;/EndNote&gt;</w:instrText>
            </w:r>
            <w:r>
              <w:rPr>
                <w:sz w:val="20"/>
                <w:szCs w:val="20"/>
              </w:rPr>
              <w:fldChar w:fldCharType="separate"/>
            </w:r>
            <w:r w:rsidR="00BE6F87">
              <w:rPr>
                <w:noProof/>
                <w:sz w:val="20"/>
                <w:szCs w:val="20"/>
              </w:rPr>
              <w:t>Zhao et al. (2022)</w:t>
            </w:r>
            <w:r>
              <w:rPr>
                <w:sz w:val="20"/>
                <w:szCs w:val="20"/>
              </w:rPr>
              <w:fldChar w:fldCharType="end"/>
            </w:r>
          </w:p>
        </w:tc>
        <w:tc>
          <w:tcPr>
            <w:tcW w:w="1979" w:type="dxa"/>
          </w:tcPr>
          <w:p w14:paraId="71EF4105" w14:textId="77777777" w:rsidR="000277B3" w:rsidRPr="00367D14" w:rsidRDefault="000277B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367D14">
              <w:rPr>
                <w:rFonts w:eastAsia="Times New Roman" w:cs="Times New Roman"/>
                <w:color w:val="000000"/>
                <w:kern w:val="0"/>
                <w:sz w:val="20"/>
                <w:szCs w:val="20"/>
                <w:lang w:eastAsia="en-AU"/>
                <w14:ligatures w14:val="none"/>
              </w:rPr>
              <w:t>To evaluate the association between</w:t>
            </w:r>
          </w:p>
          <w:p w14:paraId="029E4C50" w14:textId="77777777" w:rsidR="000277B3" w:rsidRPr="00367D14" w:rsidRDefault="000277B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367D14">
              <w:rPr>
                <w:rFonts w:eastAsia="Times New Roman" w:cs="Times New Roman"/>
                <w:color w:val="000000"/>
                <w:kern w:val="0"/>
                <w:sz w:val="20"/>
                <w:szCs w:val="20"/>
                <w:lang w:eastAsia="en-AU"/>
                <w14:ligatures w14:val="none"/>
              </w:rPr>
              <w:t>24-hour sodium excretion and cardiovascular disease risk</w:t>
            </w:r>
          </w:p>
        </w:tc>
        <w:tc>
          <w:tcPr>
            <w:tcW w:w="1417" w:type="dxa"/>
          </w:tcPr>
          <w:p w14:paraId="0DE25755" w14:textId="77777777" w:rsidR="000277B3" w:rsidRPr="005E5BDC" w:rsidRDefault="000277B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5E5BDC">
              <w:rPr>
                <w:rFonts w:eastAsia="Times New Roman" w:cs="Times New Roman"/>
                <w:color w:val="000000"/>
                <w:kern w:val="0"/>
                <w:sz w:val="20"/>
                <w:szCs w:val="20"/>
                <w:lang w:eastAsia="en-AU"/>
                <w14:ligatures w14:val="none"/>
              </w:rPr>
              <w:t>Database inception to 7 June 2021</w:t>
            </w:r>
          </w:p>
        </w:tc>
        <w:tc>
          <w:tcPr>
            <w:tcW w:w="5806" w:type="dxa"/>
          </w:tcPr>
          <w:p w14:paraId="3F3D092F" w14:textId="77777777" w:rsidR="000277B3" w:rsidRPr="005E5BDC" w:rsidRDefault="000277B3">
            <w:pPr>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5E5BDC">
              <w:rPr>
                <w:rFonts w:eastAsia="Times New Roman" w:cs="Times New Roman"/>
                <w:color w:val="000000"/>
                <w:kern w:val="0"/>
                <w:sz w:val="20"/>
                <w:szCs w:val="20"/>
                <w:lang w:eastAsia="en-AU"/>
                <w14:ligatures w14:val="none"/>
              </w:rPr>
              <w:t xml:space="preserve">P: </w:t>
            </w:r>
            <w:r>
              <w:rPr>
                <w:rFonts w:eastAsia="Times New Roman" w:cs="Times New Roman"/>
                <w:color w:val="000000"/>
                <w:kern w:val="0"/>
                <w:sz w:val="20"/>
                <w:szCs w:val="20"/>
                <w:lang w:eastAsia="en-AU"/>
                <w14:ligatures w14:val="none"/>
              </w:rPr>
              <w:t>No target population or age group were specified. Studies in people with kidney disease were excluded.</w:t>
            </w:r>
          </w:p>
          <w:p w14:paraId="23962E7C" w14:textId="77777777" w:rsidR="000277B3" w:rsidRPr="005E5BDC" w:rsidRDefault="000277B3">
            <w:pPr>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5E5BDC">
              <w:rPr>
                <w:rFonts w:eastAsia="Times New Roman" w:cs="Times New Roman"/>
                <w:color w:val="000000"/>
                <w:kern w:val="0"/>
                <w:sz w:val="20"/>
                <w:szCs w:val="20"/>
                <w:lang w:eastAsia="en-AU"/>
                <w14:ligatures w14:val="none"/>
              </w:rPr>
              <w:t xml:space="preserve">I/E/C: </w:t>
            </w:r>
            <w:r>
              <w:rPr>
                <w:rFonts w:eastAsia="Times New Roman" w:cs="Times New Roman"/>
                <w:color w:val="000000"/>
                <w:kern w:val="0"/>
                <w:sz w:val="20"/>
                <w:szCs w:val="20"/>
                <w:lang w:eastAsia="en-AU"/>
                <w14:ligatures w14:val="none"/>
              </w:rPr>
              <w:t xml:space="preserve">low vs high sodium excretion; low-level excretion </w:t>
            </w:r>
            <w:r w:rsidRPr="00200CEB">
              <w:rPr>
                <w:rFonts w:eastAsia="Times New Roman" w:cs="Times New Roman"/>
                <w:color w:val="000000"/>
                <w:kern w:val="0"/>
                <w:sz w:val="20"/>
                <w:szCs w:val="20"/>
                <w:lang w:eastAsia="en-AU"/>
                <w14:ligatures w14:val="none"/>
              </w:rPr>
              <w:t xml:space="preserve">defined as &lt; 4 </w:t>
            </w:r>
            <w:proofErr w:type="gramStart"/>
            <w:r w:rsidRPr="00200CEB">
              <w:rPr>
                <w:rFonts w:eastAsia="Times New Roman" w:cs="Times New Roman"/>
                <w:color w:val="000000"/>
                <w:kern w:val="0"/>
                <w:sz w:val="20"/>
                <w:szCs w:val="20"/>
                <w:lang w:eastAsia="en-AU"/>
                <w14:ligatures w14:val="none"/>
              </w:rPr>
              <w:t>g</w:t>
            </w:r>
            <w:proofErr w:type="gramEnd"/>
            <w:r w:rsidRPr="00200CEB">
              <w:rPr>
                <w:rFonts w:eastAsia="Times New Roman" w:cs="Times New Roman"/>
                <w:color w:val="000000"/>
                <w:kern w:val="0"/>
                <w:sz w:val="20"/>
                <w:szCs w:val="20"/>
                <w:lang w:eastAsia="en-AU"/>
                <w14:ligatures w14:val="none"/>
              </w:rPr>
              <w:t xml:space="preserve"> and </w:t>
            </w:r>
            <w:r>
              <w:rPr>
                <w:rFonts w:eastAsia="Times New Roman" w:cs="Times New Roman"/>
                <w:color w:val="000000"/>
                <w:kern w:val="0"/>
                <w:sz w:val="20"/>
                <w:szCs w:val="20"/>
                <w:lang w:eastAsia="en-AU"/>
                <w14:ligatures w14:val="none"/>
              </w:rPr>
              <w:t xml:space="preserve"> h</w:t>
            </w:r>
            <w:r w:rsidRPr="00200CEB">
              <w:rPr>
                <w:rFonts w:eastAsia="Times New Roman" w:cs="Times New Roman"/>
                <w:color w:val="000000"/>
                <w:kern w:val="0"/>
                <w:sz w:val="20"/>
                <w:szCs w:val="20"/>
                <w:lang w:eastAsia="en-AU"/>
                <w14:ligatures w14:val="none"/>
              </w:rPr>
              <w:t>igh</w:t>
            </w:r>
            <w:r>
              <w:rPr>
                <w:rFonts w:eastAsia="Times New Roman" w:cs="Times New Roman"/>
                <w:color w:val="000000"/>
                <w:kern w:val="0"/>
                <w:sz w:val="20"/>
                <w:szCs w:val="20"/>
                <w:lang w:eastAsia="en-AU"/>
                <w14:ligatures w14:val="none"/>
              </w:rPr>
              <w:t xml:space="preserve">-level </w:t>
            </w:r>
            <w:r w:rsidRPr="00200CEB">
              <w:rPr>
                <w:rFonts w:eastAsia="Times New Roman" w:cs="Times New Roman"/>
                <w:color w:val="000000"/>
                <w:kern w:val="0"/>
                <w:sz w:val="20"/>
                <w:szCs w:val="20"/>
                <w:lang w:eastAsia="en-AU"/>
                <w14:ligatures w14:val="none"/>
              </w:rPr>
              <w:t>excretion ≥ 4 g.</w:t>
            </w:r>
            <w:r>
              <w:rPr>
                <w:rFonts w:eastAsia="Times New Roman" w:cs="Times New Roman"/>
                <w:color w:val="000000"/>
                <w:kern w:val="0"/>
                <w:sz w:val="20"/>
                <w:szCs w:val="20"/>
                <w:lang w:eastAsia="en-AU"/>
                <w14:ligatures w14:val="none"/>
              </w:rPr>
              <w:t xml:space="preserve"> Eligible measurement methods included spot urine and 24-hour samples; sub-group analyses reported for 24-hour measurement.</w:t>
            </w:r>
          </w:p>
          <w:p w14:paraId="53821FCA" w14:textId="77777777" w:rsidR="000277B3" w:rsidRPr="005E5BDC" w:rsidRDefault="000277B3">
            <w:pPr>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5E5BDC">
              <w:rPr>
                <w:rFonts w:eastAsia="Times New Roman" w:cs="Times New Roman"/>
                <w:color w:val="000000"/>
                <w:kern w:val="0"/>
                <w:sz w:val="20"/>
                <w:szCs w:val="20"/>
                <w:lang w:eastAsia="en-AU"/>
                <w14:ligatures w14:val="none"/>
              </w:rPr>
              <w:t xml:space="preserve">O: </w:t>
            </w:r>
            <w:r>
              <w:rPr>
                <w:rFonts w:eastAsia="Times New Roman" w:cs="Times New Roman"/>
                <w:color w:val="000000"/>
                <w:kern w:val="0"/>
                <w:sz w:val="20"/>
                <w:szCs w:val="20"/>
                <w:lang w:eastAsia="en-AU"/>
                <w14:ligatures w14:val="none"/>
              </w:rPr>
              <w:t>E</w:t>
            </w:r>
            <w:r w:rsidRPr="0091478B">
              <w:rPr>
                <w:rFonts w:eastAsia="Times New Roman" w:cs="Times New Roman"/>
                <w:color w:val="000000"/>
                <w:kern w:val="0"/>
                <w:sz w:val="20"/>
                <w:szCs w:val="20"/>
                <w:lang w:eastAsia="en-AU"/>
                <w14:ligatures w14:val="none"/>
              </w:rPr>
              <w:t>ndpoints of either combined or single CV events</w:t>
            </w:r>
            <w:r>
              <w:rPr>
                <w:rFonts w:eastAsia="Times New Roman" w:cs="Times New Roman"/>
                <w:color w:val="000000"/>
                <w:kern w:val="0"/>
                <w:sz w:val="20"/>
                <w:szCs w:val="20"/>
                <w:lang w:eastAsia="en-AU"/>
                <w14:ligatures w14:val="none"/>
              </w:rPr>
              <w:t xml:space="preserve"> </w:t>
            </w:r>
            <w:r w:rsidRPr="0091478B">
              <w:rPr>
                <w:rFonts w:eastAsia="Times New Roman" w:cs="Times New Roman"/>
                <w:color w:val="000000"/>
                <w:kern w:val="0"/>
                <w:sz w:val="20"/>
                <w:szCs w:val="20"/>
                <w:lang w:eastAsia="en-AU"/>
                <w14:ligatures w14:val="none"/>
              </w:rPr>
              <w:t>(incidence and mortality)</w:t>
            </w:r>
          </w:p>
          <w:p w14:paraId="420A72EE" w14:textId="77777777" w:rsidR="000277B3" w:rsidRPr="005E5BDC" w:rsidRDefault="000277B3">
            <w:pPr>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5E5BDC">
              <w:rPr>
                <w:rFonts w:eastAsia="Times New Roman" w:cs="Times New Roman"/>
                <w:color w:val="000000"/>
                <w:kern w:val="0"/>
                <w:sz w:val="20"/>
                <w:szCs w:val="20"/>
                <w:lang w:eastAsia="en-AU"/>
                <w14:ligatures w14:val="none"/>
              </w:rPr>
              <w:t>TS:</w:t>
            </w:r>
            <w:r>
              <w:rPr>
                <w:rFonts w:eastAsia="Times New Roman" w:cs="Times New Roman"/>
                <w:color w:val="000000"/>
                <w:kern w:val="0"/>
                <w:sz w:val="20"/>
                <w:szCs w:val="20"/>
                <w:lang w:eastAsia="en-AU"/>
                <w14:ligatures w14:val="none"/>
              </w:rPr>
              <w:t xml:space="preserve"> C</w:t>
            </w:r>
            <w:r w:rsidRPr="003850D9">
              <w:rPr>
                <w:rFonts w:eastAsia="Times New Roman" w:cs="Times New Roman"/>
                <w:color w:val="000000"/>
                <w:kern w:val="0"/>
                <w:sz w:val="20"/>
                <w:szCs w:val="20"/>
                <w:lang w:eastAsia="en-AU"/>
                <w14:ligatures w14:val="none"/>
              </w:rPr>
              <w:t>ohort</w:t>
            </w:r>
            <w:r>
              <w:rPr>
                <w:rFonts w:eastAsia="Times New Roman" w:cs="Times New Roman"/>
                <w:color w:val="000000"/>
                <w:kern w:val="0"/>
                <w:sz w:val="20"/>
                <w:szCs w:val="20"/>
                <w:lang w:eastAsia="en-AU"/>
                <w14:ligatures w14:val="none"/>
              </w:rPr>
              <w:t xml:space="preserve"> </w:t>
            </w:r>
            <w:r w:rsidRPr="003850D9">
              <w:rPr>
                <w:rFonts w:eastAsia="Times New Roman" w:cs="Times New Roman"/>
                <w:color w:val="000000"/>
                <w:kern w:val="0"/>
                <w:sz w:val="20"/>
                <w:szCs w:val="20"/>
                <w:lang w:eastAsia="en-AU"/>
                <w14:ligatures w14:val="none"/>
              </w:rPr>
              <w:t>studies</w:t>
            </w:r>
            <w:r>
              <w:rPr>
                <w:rFonts w:eastAsia="Times New Roman" w:cs="Times New Roman"/>
                <w:color w:val="000000"/>
                <w:kern w:val="0"/>
                <w:sz w:val="20"/>
                <w:szCs w:val="20"/>
                <w:lang w:eastAsia="en-AU"/>
                <w14:ligatures w14:val="none"/>
              </w:rPr>
              <w:t xml:space="preserve"> providing adjusted effect estimates and 95% confidence intervals.</w:t>
            </w:r>
          </w:p>
        </w:tc>
        <w:tc>
          <w:tcPr>
            <w:tcW w:w="1984" w:type="dxa"/>
          </w:tcPr>
          <w:p w14:paraId="25E7F98B" w14:textId="77777777" w:rsidR="000277B3" w:rsidRPr="004E2132" w:rsidRDefault="000277B3">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4E2132">
              <w:rPr>
                <w:rFonts w:eastAsia="Times New Roman" w:cs="Times New Roman"/>
                <w:color w:val="000000"/>
                <w:kern w:val="0"/>
                <w:sz w:val="20"/>
                <w:szCs w:val="20"/>
                <w:lang w:eastAsia="en-AU"/>
                <w14:ligatures w14:val="none"/>
              </w:rPr>
              <w:t>9 studies</w:t>
            </w:r>
            <w:r>
              <w:rPr>
                <w:rFonts w:eastAsia="Times New Roman" w:cs="Times New Roman"/>
                <w:color w:val="000000"/>
                <w:kern w:val="0"/>
                <w:sz w:val="20"/>
                <w:szCs w:val="20"/>
                <w:lang w:eastAsia="en-AU"/>
                <w14:ligatures w14:val="none"/>
              </w:rPr>
              <w:t>,</w:t>
            </w:r>
          </w:p>
          <w:p w14:paraId="4F5CFE3F" w14:textId="77777777" w:rsidR="000277B3" w:rsidRPr="000E0B5A" w:rsidRDefault="000277B3">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4E2132">
              <w:rPr>
                <w:rFonts w:eastAsia="Times New Roman" w:cs="Times New Roman"/>
                <w:color w:val="000000"/>
                <w:kern w:val="0"/>
                <w:sz w:val="20"/>
                <w:szCs w:val="20"/>
                <w:lang w:eastAsia="en-AU"/>
                <w14:ligatures w14:val="none"/>
              </w:rPr>
              <w:t>645,006 participants</w:t>
            </w:r>
          </w:p>
        </w:tc>
        <w:tc>
          <w:tcPr>
            <w:tcW w:w="1701" w:type="dxa"/>
          </w:tcPr>
          <w:p w14:paraId="3D928BEE" w14:textId="3E6E3FB7" w:rsidR="000277B3" w:rsidRPr="0085322C" w:rsidRDefault="000277B3">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85322C">
              <w:rPr>
                <w:rFonts w:eastAsia="Times New Roman" w:cs="Times New Roman"/>
                <w:i/>
                <w:iCs/>
                <w:color w:val="000000"/>
                <w:kern w:val="0"/>
                <w:sz w:val="20"/>
                <w:szCs w:val="20"/>
                <w:lang w:eastAsia="en-AU"/>
                <w14:ligatures w14:val="none"/>
              </w:rPr>
              <w:t xml:space="preserve">D1: </w:t>
            </w:r>
            <w:r w:rsidR="0085322C" w:rsidRPr="0085322C">
              <w:rPr>
                <w:rFonts w:eastAsia="Times New Roman" w:cs="Times New Roman"/>
                <w:i/>
                <w:iCs/>
                <w:color w:val="000000"/>
                <w:kern w:val="0"/>
                <w:sz w:val="20"/>
                <w:szCs w:val="20"/>
                <w:lang w:eastAsia="en-AU"/>
                <w14:ligatures w14:val="none"/>
              </w:rPr>
              <w:t>HIGH</w:t>
            </w:r>
            <w:r w:rsidRPr="0085322C">
              <w:rPr>
                <w:rFonts w:eastAsia="Times New Roman" w:cs="Times New Roman"/>
                <w:i/>
                <w:iCs/>
                <w:color w:val="000000"/>
                <w:kern w:val="0"/>
                <w:sz w:val="20"/>
                <w:szCs w:val="20"/>
                <w:lang w:eastAsia="en-AU"/>
                <w14:ligatures w14:val="none"/>
              </w:rPr>
              <w:t xml:space="preserve"> </w:t>
            </w:r>
          </w:p>
          <w:p w14:paraId="3A0F0985" w14:textId="17CD5E43" w:rsidR="000277B3" w:rsidRPr="0085322C" w:rsidRDefault="000277B3">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85322C">
              <w:rPr>
                <w:rFonts w:eastAsia="Times New Roman" w:cs="Times New Roman"/>
                <w:i/>
                <w:iCs/>
                <w:color w:val="000000"/>
                <w:kern w:val="0"/>
                <w:sz w:val="20"/>
                <w:szCs w:val="20"/>
                <w:lang w:eastAsia="en-AU"/>
                <w14:ligatures w14:val="none"/>
              </w:rPr>
              <w:t xml:space="preserve">D2: </w:t>
            </w:r>
            <w:r w:rsidR="0085322C" w:rsidRPr="0085322C">
              <w:rPr>
                <w:rFonts w:eastAsia="Times New Roman" w:cs="Times New Roman"/>
                <w:i/>
                <w:iCs/>
                <w:color w:val="000000"/>
                <w:kern w:val="0"/>
                <w:sz w:val="20"/>
                <w:szCs w:val="20"/>
                <w:lang w:eastAsia="en-AU"/>
                <w14:ligatures w14:val="none"/>
              </w:rPr>
              <w:t>HIGH</w:t>
            </w:r>
            <w:r w:rsidRPr="0085322C">
              <w:rPr>
                <w:rFonts w:eastAsia="Times New Roman" w:cs="Times New Roman"/>
                <w:i/>
                <w:iCs/>
                <w:color w:val="000000"/>
                <w:kern w:val="0"/>
                <w:sz w:val="20"/>
                <w:szCs w:val="20"/>
                <w:lang w:eastAsia="en-AU"/>
                <w14:ligatures w14:val="none"/>
              </w:rPr>
              <w:t xml:space="preserve"> </w:t>
            </w:r>
          </w:p>
          <w:p w14:paraId="6DED07E8" w14:textId="48470798" w:rsidR="000277B3" w:rsidRPr="0085322C" w:rsidRDefault="000277B3">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85322C">
              <w:rPr>
                <w:rFonts w:eastAsia="Times New Roman" w:cs="Times New Roman"/>
                <w:i/>
                <w:iCs/>
                <w:color w:val="000000"/>
                <w:kern w:val="0"/>
                <w:sz w:val="20"/>
                <w:szCs w:val="20"/>
                <w:lang w:eastAsia="en-AU"/>
                <w14:ligatures w14:val="none"/>
              </w:rPr>
              <w:t xml:space="preserve">D3: </w:t>
            </w:r>
            <w:r w:rsidR="0085322C" w:rsidRPr="0085322C">
              <w:rPr>
                <w:rFonts w:eastAsia="Times New Roman" w:cs="Times New Roman"/>
                <w:i/>
                <w:iCs/>
                <w:color w:val="000000"/>
                <w:kern w:val="0"/>
                <w:sz w:val="20"/>
                <w:szCs w:val="20"/>
                <w:lang w:eastAsia="en-AU"/>
                <w14:ligatures w14:val="none"/>
              </w:rPr>
              <w:t>UNCLEAR</w:t>
            </w:r>
            <w:r w:rsidRPr="0085322C">
              <w:rPr>
                <w:rFonts w:eastAsia="Times New Roman" w:cs="Times New Roman"/>
                <w:i/>
                <w:iCs/>
                <w:color w:val="000000"/>
                <w:kern w:val="0"/>
                <w:sz w:val="20"/>
                <w:szCs w:val="20"/>
                <w:lang w:eastAsia="en-AU"/>
                <w14:ligatures w14:val="none"/>
              </w:rPr>
              <w:t xml:space="preserve"> </w:t>
            </w:r>
          </w:p>
          <w:p w14:paraId="39555242" w14:textId="286F2A90" w:rsidR="000277B3" w:rsidRPr="0085322C" w:rsidRDefault="000277B3">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85322C">
              <w:rPr>
                <w:rFonts w:eastAsia="Times New Roman" w:cs="Times New Roman"/>
                <w:i/>
                <w:iCs/>
                <w:color w:val="000000"/>
                <w:kern w:val="0"/>
                <w:sz w:val="20"/>
                <w:szCs w:val="20"/>
                <w:lang w:eastAsia="en-AU"/>
                <w14:ligatures w14:val="none"/>
              </w:rPr>
              <w:t>D4:</w:t>
            </w:r>
            <w:r w:rsidR="0085322C" w:rsidRPr="0085322C">
              <w:rPr>
                <w:rFonts w:eastAsia="Times New Roman" w:cs="Times New Roman"/>
                <w:i/>
                <w:iCs/>
                <w:color w:val="000000"/>
                <w:kern w:val="0"/>
                <w:sz w:val="20"/>
                <w:szCs w:val="20"/>
                <w:lang w:eastAsia="en-AU"/>
                <w14:ligatures w14:val="none"/>
              </w:rPr>
              <w:t xml:space="preserve"> LOW</w:t>
            </w:r>
          </w:p>
          <w:p w14:paraId="194174F0" w14:textId="77777777" w:rsidR="000277B3" w:rsidRPr="0085322C" w:rsidRDefault="000277B3">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p>
          <w:p w14:paraId="392A25BD" w14:textId="77777777" w:rsidR="000277B3" w:rsidRPr="0085322C" w:rsidRDefault="000277B3">
            <w:pPr>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color w:val="000000"/>
                <w:kern w:val="0"/>
                <w:sz w:val="20"/>
                <w:szCs w:val="20"/>
                <w:lang w:eastAsia="en-AU"/>
                <w14:ligatures w14:val="none"/>
              </w:rPr>
            </w:pPr>
            <w:r w:rsidRPr="0085322C">
              <w:rPr>
                <w:rFonts w:eastAsia="Times New Roman" w:cs="Times New Roman"/>
                <w:b/>
                <w:bCs/>
                <w:i/>
                <w:iCs/>
                <w:color w:val="000000"/>
                <w:kern w:val="0"/>
                <w:sz w:val="20"/>
                <w:szCs w:val="20"/>
                <w:lang w:eastAsia="en-AU"/>
                <w14:ligatures w14:val="none"/>
              </w:rPr>
              <w:t>OVERALL</w:t>
            </w:r>
            <w:r w:rsidR="00B03F8B" w:rsidRPr="0085322C">
              <w:rPr>
                <w:rFonts w:eastAsia="Times New Roman" w:cs="Times New Roman"/>
                <w:b/>
                <w:bCs/>
                <w:i/>
                <w:iCs/>
                <w:color w:val="000000"/>
                <w:kern w:val="0"/>
                <w:sz w:val="20"/>
                <w:szCs w:val="20"/>
                <w:lang w:eastAsia="en-AU"/>
                <w14:ligatures w14:val="none"/>
              </w:rPr>
              <w:t>:</w:t>
            </w:r>
          </w:p>
          <w:p w14:paraId="7F2FCF2F" w14:textId="5FF884AE" w:rsidR="0085322C" w:rsidRPr="000E0B5A" w:rsidRDefault="0085322C">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highlight w:val="yellow"/>
                <w:lang w:eastAsia="en-AU"/>
                <w14:ligatures w14:val="none"/>
              </w:rPr>
            </w:pPr>
            <w:r w:rsidRPr="0085322C">
              <w:rPr>
                <w:rFonts w:eastAsia="Times New Roman" w:cs="Times New Roman"/>
                <w:b/>
                <w:bCs/>
                <w:i/>
                <w:iCs/>
                <w:color w:val="000000"/>
                <w:kern w:val="0"/>
                <w:sz w:val="20"/>
                <w:szCs w:val="20"/>
                <w:lang w:eastAsia="en-AU"/>
                <w14:ligatures w14:val="none"/>
              </w:rPr>
              <w:t>HIGH</w:t>
            </w:r>
          </w:p>
        </w:tc>
      </w:tr>
      <w:tr w:rsidR="000B7C18" w:rsidRPr="001D5149" w14:paraId="1CBF7150" w14:textId="77777777" w:rsidTr="006C01F5">
        <w:trPr>
          <w:trHeight w:val="229"/>
        </w:trPr>
        <w:tc>
          <w:tcPr>
            <w:cnfStyle w:val="001000000000" w:firstRow="0" w:lastRow="0" w:firstColumn="1" w:lastColumn="0" w:oddVBand="0" w:evenVBand="0" w:oddHBand="0" w:evenHBand="0" w:firstRowFirstColumn="0" w:firstRowLastColumn="0" w:lastRowFirstColumn="0" w:lastRowLastColumn="0"/>
            <w:tcW w:w="14158" w:type="dxa"/>
            <w:gridSpan w:val="6"/>
            <w:shd w:val="clear" w:color="auto" w:fill="C1E4F5" w:themeFill="accent1" w:themeFillTint="33"/>
          </w:tcPr>
          <w:p w14:paraId="40FBF3A9" w14:textId="77777777" w:rsidR="000B7C18" w:rsidRPr="000E0B5A" w:rsidRDefault="000B7C18">
            <w:pPr>
              <w:keepNext/>
              <w:rPr>
                <w:rFonts w:eastAsia="Times New Roman" w:cs="Times New Roman"/>
                <w:i/>
                <w:iCs/>
                <w:color w:val="000000"/>
                <w:kern w:val="0"/>
                <w:sz w:val="20"/>
                <w:szCs w:val="20"/>
                <w:highlight w:val="yellow"/>
                <w:lang w:eastAsia="en-AU"/>
                <w14:ligatures w14:val="none"/>
              </w:rPr>
            </w:pPr>
            <w:r>
              <w:rPr>
                <w:rFonts w:eastAsia="Times New Roman" w:cs="Times New Roman"/>
                <w:color w:val="000000" w:themeColor="text1"/>
                <w:kern w:val="0"/>
                <w:sz w:val="20"/>
                <w:szCs w:val="20"/>
                <w:lang w:eastAsia="en-AU"/>
                <w14:ligatures w14:val="none"/>
              </w:rPr>
              <w:lastRenderedPageBreak/>
              <w:t>Other cardiovascular outcomes in children and adolescents</w:t>
            </w:r>
          </w:p>
        </w:tc>
      </w:tr>
      <w:tr w:rsidR="00DF344B" w:rsidRPr="001D5149" w14:paraId="22619111" w14:textId="77777777" w:rsidTr="006C01F5">
        <w:trPr>
          <w:cnfStyle w:val="000000100000" w:firstRow="0" w:lastRow="0" w:firstColumn="0" w:lastColumn="0" w:oddVBand="0" w:evenVBand="0" w:oddHBand="1" w:evenHBand="0" w:firstRowFirstColumn="0" w:firstRowLastColumn="0" w:lastRowFirstColumn="0" w:lastRowLastColumn="0"/>
          <w:trHeight w:val="3360"/>
        </w:trPr>
        <w:tc>
          <w:tcPr>
            <w:cnfStyle w:val="001000000000" w:firstRow="0" w:lastRow="0" w:firstColumn="1" w:lastColumn="0" w:oddVBand="0" w:evenVBand="0" w:oddHBand="0" w:evenHBand="0" w:firstRowFirstColumn="0" w:firstRowLastColumn="0" w:lastRowFirstColumn="0" w:lastRowLastColumn="0"/>
            <w:tcW w:w="1271" w:type="dxa"/>
          </w:tcPr>
          <w:p w14:paraId="776AD882" w14:textId="1445C78D" w:rsidR="00DF344B" w:rsidRPr="00102B30" w:rsidRDefault="00CE4F8B" w:rsidP="00DF344B">
            <w:pPr>
              <w:jc w:val="center"/>
              <w:rPr>
                <w:sz w:val="20"/>
                <w:szCs w:val="20"/>
              </w:rPr>
            </w:pPr>
            <w:r>
              <w:rPr>
                <w:sz w:val="20"/>
                <w:szCs w:val="20"/>
              </w:rPr>
              <w:fldChar w:fldCharType="begin">
                <w:fldData xml:space="preserve">PEVuZE5vdGU+PENpdGUgQXV0aG9yWWVhcj0iMSI+PEF1dGhvcj5MZWVkPC9BdXRob3I+PFllYXI+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==
</w:fldData>
              </w:fldChar>
            </w:r>
            <w:r w:rsidR="00135CF3">
              <w:rPr>
                <w:sz w:val="20"/>
                <w:szCs w:val="20"/>
              </w:rPr>
              <w:instrText xml:space="preserve"> ADDIN EN.CITE </w:instrText>
            </w:r>
            <w:r w:rsidR="00135CF3">
              <w:rPr>
                <w:sz w:val="20"/>
                <w:szCs w:val="20"/>
              </w:rPr>
              <w:fldChar w:fldCharType="begin">
                <w:fldData xml:space="preserve">PEVuZE5vdGU+PENpdGUgQXV0aG9yWWVhcj0iMSI+PEF1dGhvcj5MZWVkPC9BdXRob3I+PFllYXI+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==
</w:fldData>
              </w:fldChar>
            </w:r>
            <w:r w:rsidR="00135CF3">
              <w:rPr>
                <w:sz w:val="20"/>
                <w:szCs w:val="20"/>
              </w:rPr>
              <w:instrText xml:space="preserve"> ADDIN EN.CITE.DATA </w:instrText>
            </w:r>
            <w:r w:rsidR="00135CF3">
              <w:rPr>
                <w:sz w:val="20"/>
                <w:szCs w:val="20"/>
              </w:rPr>
            </w:r>
            <w:r w:rsidR="00135CF3">
              <w:rPr>
                <w:sz w:val="20"/>
                <w:szCs w:val="20"/>
              </w:rPr>
              <w:fldChar w:fldCharType="end"/>
            </w:r>
            <w:r>
              <w:rPr>
                <w:sz w:val="20"/>
                <w:szCs w:val="20"/>
              </w:rPr>
            </w:r>
            <w:r>
              <w:rPr>
                <w:sz w:val="20"/>
                <w:szCs w:val="20"/>
              </w:rPr>
              <w:fldChar w:fldCharType="separate"/>
            </w:r>
            <w:r w:rsidR="00135CF3">
              <w:rPr>
                <w:noProof/>
                <w:sz w:val="20"/>
                <w:szCs w:val="20"/>
              </w:rPr>
              <w:t>Leed et al. (2023)</w:t>
            </w:r>
            <w:r>
              <w:rPr>
                <w:sz w:val="20"/>
                <w:szCs w:val="20"/>
              </w:rPr>
              <w:fldChar w:fldCharType="end"/>
            </w:r>
          </w:p>
        </w:tc>
        <w:tc>
          <w:tcPr>
            <w:tcW w:w="1979" w:type="dxa"/>
          </w:tcPr>
          <w:p w14:paraId="4055CFCE" w14:textId="4845F899" w:rsidR="00DF344B" w:rsidRPr="00AB57D4" w:rsidRDefault="00DF344B" w:rsidP="00DF344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T</w:t>
            </w:r>
            <w:r w:rsidRPr="00AB57D4">
              <w:rPr>
                <w:rFonts w:eastAsia="Times New Roman" w:cs="Times New Roman"/>
                <w:color w:val="000000"/>
                <w:kern w:val="0"/>
                <w:sz w:val="20"/>
                <w:szCs w:val="20"/>
                <w:lang w:eastAsia="en-AU"/>
                <w14:ligatures w14:val="none"/>
              </w:rPr>
              <w:t xml:space="preserve">o determine whether various dietary factors </w:t>
            </w:r>
            <w:r>
              <w:rPr>
                <w:rFonts w:eastAsia="Times New Roman" w:cs="Times New Roman"/>
                <w:color w:val="000000"/>
                <w:kern w:val="0"/>
                <w:sz w:val="20"/>
                <w:szCs w:val="20"/>
                <w:lang w:eastAsia="en-AU"/>
                <w14:ligatures w14:val="none"/>
              </w:rPr>
              <w:t>a</w:t>
            </w:r>
            <w:r w:rsidRPr="00AB57D4">
              <w:rPr>
                <w:rFonts w:eastAsia="Times New Roman" w:cs="Times New Roman"/>
                <w:color w:val="000000"/>
                <w:kern w:val="0"/>
                <w:sz w:val="20"/>
                <w:szCs w:val="20"/>
                <w:lang w:eastAsia="en-AU"/>
                <w14:ligatures w14:val="none"/>
              </w:rPr>
              <w:t>re</w:t>
            </w:r>
          </w:p>
          <w:p w14:paraId="5900FA3F" w14:textId="7D28F11D" w:rsidR="00DF344B" w:rsidRPr="000E0B5A" w:rsidRDefault="00DF344B" w:rsidP="00DF344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AB57D4">
              <w:rPr>
                <w:rFonts w:eastAsia="Times New Roman" w:cs="Times New Roman"/>
                <w:color w:val="000000"/>
                <w:kern w:val="0"/>
                <w:sz w:val="20"/>
                <w:szCs w:val="20"/>
                <w:lang w:eastAsia="en-AU"/>
                <w14:ligatures w14:val="none"/>
              </w:rPr>
              <w:t>associated with arterial stiffness in the paediatric population</w:t>
            </w:r>
          </w:p>
        </w:tc>
        <w:tc>
          <w:tcPr>
            <w:tcW w:w="1417" w:type="dxa"/>
          </w:tcPr>
          <w:p w14:paraId="158D2904" w14:textId="0E0B8AE1" w:rsidR="00DF344B" w:rsidRPr="000E0B5A" w:rsidRDefault="00DF344B" w:rsidP="00DF344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AB57D4">
              <w:rPr>
                <w:rFonts w:eastAsia="Times New Roman" w:cs="Times New Roman"/>
                <w:color w:val="000000"/>
                <w:kern w:val="0"/>
                <w:sz w:val="20"/>
                <w:szCs w:val="20"/>
                <w:lang w:eastAsia="en-AU"/>
                <w14:ligatures w14:val="none"/>
              </w:rPr>
              <w:t>Database inception to 4 March 2022</w:t>
            </w:r>
          </w:p>
        </w:tc>
        <w:tc>
          <w:tcPr>
            <w:tcW w:w="5806" w:type="dxa"/>
          </w:tcPr>
          <w:p w14:paraId="30AB0285" w14:textId="3A97A298" w:rsidR="00DF344B" w:rsidRPr="00A73FD9" w:rsidRDefault="00DF344B" w:rsidP="00DF344B">
            <w:pPr>
              <w:spacing w:after="120"/>
              <w:cnfStyle w:val="000000100000" w:firstRow="0" w:lastRow="0" w:firstColumn="0" w:lastColumn="0" w:oddVBand="0" w:evenVBand="0" w:oddHBand="1" w:evenHBand="0" w:firstRowFirstColumn="0" w:firstRowLastColumn="0" w:lastRowFirstColumn="0" w:lastRowLastColumn="0"/>
              <w:rPr>
                <w:lang w:eastAsia="en-AU"/>
              </w:rPr>
            </w:pPr>
            <w:r w:rsidRPr="00771F1A">
              <w:rPr>
                <w:rFonts w:eastAsia="Times New Roman" w:cs="Times New Roman"/>
                <w:color w:val="000000"/>
                <w:kern w:val="0"/>
                <w:sz w:val="20"/>
                <w:szCs w:val="20"/>
                <w:lang w:eastAsia="en-AU"/>
                <w14:ligatures w14:val="none"/>
              </w:rPr>
              <w:t xml:space="preserve">P: </w:t>
            </w:r>
            <w:r>
              <w:rPr>
                <w:rFonts w:eastAsia="Times New Roman" w:cs="Times New Roman"/>
                <w:color w:val="000000"/>
                <w:kern w:val="0"/>
                <w:sz w:val="20"/>
                <w:szCs w:val="20"/>
                <w:lang w:eastAsia="en-AU"/>
                <w14:ligatures w14:val="none"/>
              </w:rPr>
              <w:t xml:space="preserve">Studies in generally healthy children and /or adolescents excluding participants with chronic or genetic disease; studies in overweight or obese participants were included. </w:t>
            </w:r>
            <w:r w:rsidRPr="00A73FD9">
              <w:rPr>
                <w:rFonts w:eastAsia="Times New Roman" w:cs="Times New Roman"/>
                <w:color w:val="000000"/>
                <w:kern w:val="0"/>
                <w:sz w:val="20"/>
                <w:szCs w:val="20"/>
                <w:lang w:eastAsia="en-AU"/>
                <w14:ligatures w14:val="none"/>
              </w:rPr>
              <w:t xml:space="preserve">Studies </w:t>
            </w:r>
            <w:r>
              <w:rPr>
                <w:rFonts w:eastAsia="Times New Roman" w:cs="Times New Roman"/>
                <w:color w:val="000000"/>
                <w:kern w:val="0"/>
                <w:sz w:val="20"/>
                <w:szCs w:val="20"/>
                <w:lang w:eastAsia="en-AU"/>
                <w14:ligatures w14:val="none"/>
              </w:rPr>
              <w:t xml:space="preserve">in </w:t>
            </w:r>
            <w:r w:rsidRPr="00A73FD9">
              <w:rPr>
                <w:rFonts w:eastAsia="Times New Roman" w:cs="Times New Roman"/>
                <w:color w:val="000000"/>
                <w:kern w:val="0"/>
                <w:sz w:val="20"/>
                <w:szCs w:val="20"/>
                <w:lang w:eastAsia="en-AU"/>
                <w14:ligatures w14:val="none"/>
              </w:rPr>
              <w:t xml:space="preserve">participants </w:t>
            </w:r>
            <w:r>
              <w:rPr>
                <w:rFonts w:eastAsia="Times New Roman" w:cs="Times New Roman"/>
                <w:color w:val="000000"/>
                <w:kern w:val="0"/>
                <w:sz w:val="20"/>
                <w:szCs w:val="20"/>
                <w:lang w:eastAsia="en-AU"/>
                <w14:ligatures w14:val="none"/>
              </w:rPr>
              <w:t xml:space="preserve">aged over </w:t>
            </w:r>
            <w:r w:rsidRPr="00A73FD9">
              <w:rPr>
                <w:rFonts w:eastAsia="Times New Roman" w:cs="Times New Roman"/>
                <w:color w:val="000000"/>
                <w:kern w:val="0"/>
                <w:sz w:val="20"/>
                <w:szCs w:val="20"/>
                <w:lang w:eastAsia="en-AU"/>
                <w14:ligatures w14:val="none"/>
              </w:rPr>
              <w:t xml:space="preserve">18 years </w:t>
            </w:r>
            <w:r>
              <w:rPr>
                <w:rFonts w:eastAsia="Times New Roman" w:cs="Times New Roman"/>
                <w:color w:val="000000"/>
                <w:kern w:val="0"/>
                <w:sz w:val="20"/>
                <w:szCs w:val="20"/>
                <w:lang w:eastAsia="en-AU"/>
                <w14:ligatures w14:val="none"/>
              </w:rPr>
              <w:t xml:space="preserve">were </w:t>
            </w:r>
            <w:r w:rsidRPr="00A73FD9">
              <w:rPr>
                <w:rFonts w:eastAsia="Times New Roman" w:cs="Times New Roman"/>
                <w:color w:val="000000"/>
                <w:kern w:val="0"/>
                <w:sz w:val="20"/>
                <w:szCs w:val="20"/>
                <w:lang w:eastAsia="en-AU"/>
                <w14:ligatures w14:val="none"/>
              </w:rPr>
              <w:t>included if the mean age of the sample was &lt;18 years</w:t>
            </w:r>
            <w:r>
              <w:rPr>
                <w:rFonts w:eastAsia="Times New Roman" w:cs="Times New Roman"/>
                <w:color w:val="000000"/>
                <w:kern w:val="0"/>
                <w:sz w:val="20"/>
                <w:szCs w:val="20"/>
                <w:lang w:eastAsia="en-AU"/>
                <w14:ligatures w14:val="none"/>
              </w:rPr>
              <w:t>.</w:t>
            </w:r>
          </w:p>
          <w:p w14:paraId="2B8C65A6" w14:textId="77777777" w:rsidR="00DF344B" w:rsidRPr="00771F1A" w:rsidRDefault="00DF344B" w:rsidP="00DF344B">
            <w:pPr>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I/E/C: </w:t>
            </w:r>
          </w:p>
          <w:p w14:paraId="44244B69" w14:textId="7F0EE99D" w:rsidR="00DF344B" w:rsidRPr="00771F1A" w:rsidRDefault="00DF344B" w:rsidP="00DF344B">
            <w:pPr>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771F1A">
              <w:rPr>
                <w:rFonts w:eastAsia="Times New Roman" w:cs="Times New Roman"/>
                <w:color w:val="000000"/>
                <w:kern w:val="0"/>
                <w:sz w:val="20"/>
                <w:szCs w:val="20"/>
                <w:lang w:eastAsia="en-AU"/>
                <w14:ligatures w14:val="none"/>
              </w:rPr>
              <w:t xml:space="preserve">O: </w:t>
            </w:r>
            <w:r>
              <w:rPr>
                <w:rFonts w:eastAsia="Times New Roman" w:cs="Times New Roman"/>
                <w:color w:val="000000"/>
                <w:kern w:val="0"/>
                <w:sz w:val="20"/>
                <w:szCs w:val="20"/>
                <w:lang w:eastAsia="en-AU"/>
                <w14:ligatures w14:val="none"/>
              </w:rPr>
              <w:t>A</w:t>
            </w:r>
            <w:r w:rsidRPr="00A73FD9">
              <w:rPr>
                <w:rFonts w:eastAsia="Times New Roman" w:cs="Times New Roman"/>
                <w:color w:val="000000"/>
                <w:kern w:val="0"/>
                <w:sz w:val="20"/>
                <w:szCs w:val="20"/>
                <w:lang w:eastAsia="en-AU"/>
                <w14:ligatures w14:val="none"/>
              </w:rPr>
              <w:t>rterial stiffness</w:t>
            </w:r>
            <w:r>
              <w:rPr>
                <w:rFonts w:eastAsia="Times New Roman" w:cs="Times New Roman"/>
                <w:color w:val="000000"/>
                <w:kern w:val="0"/>
                <w:sz w:val="20"/>
                <w:szCs w:val="20"/>
                <w:lang w:eastAsia="en-AU"/>
                <w14:ligatures w14:val="none"/>
              </w:rPr>
              <w:t xml:space="preserve">, measured as pulse-wave velocity, </w:t>
            </w:r>
            <w:r w:rsidRPr="00196E26">
              <w:rPr>
                <w:rFonts w:eastAsia="Times New Roman" w:cs="Times New Roman"/>
                <w:color w:val="000000"/>
                <w:kern w:val="0"/>
                <w:sz w:val="20"/>
                <w:szCs w:val="20"/>
                <w:lang w:eastAsia="en-AU"/>
                <w14:ligatures w14:val="none"/>
              </w:rPr>
              <w:t xml:space="preserve">augmentation index </w:t>
            </w:r>
            <w:r>
              <w:rPr>
                <w:rFonts w:eastAsia="Times New Roman" w:cs="Times New Roman"/>
                <w:color w:val="000000"/>
                <w:kern w:val="0"/>
                <w:sz w:val="20"/>
                <w:szCs w:val="20"/>
                <w:lang w:eastAsia="en-AU"/>
                <w14:ligatures w14:val="none"/>
              </w:rPr>
              <w:t xml:space="preserve">and </w:t>
            </w:r>
            <w:r w:rsidRPr="00196E26">
              <w:rPr>
                <w:rFonts w:eastAsia="Times New Roman" w:cs="Times New Roman"/>
                <w:color w:val="000000"/>
                <w:kern w:val="0"/>
                <w:sz w:val="20"/>
                <w:szCs w:val="20"/>
                <w:lang w:eastAsia="en-AU"/>
                <w14:ligatures w14:val="none"/>
              </w:rPr>
              <w:t>carotid</w:t>
            </w:r>
            <w:r>
              <w:rPr>
                <w:rFonts w:eastAsia="Times New Roman" w:cs="Times New Roman"/>
                <w:color w:val="000000"/>
                <w:kern w:val="0"/>
                <w:sz w:val="20"/>
                <w:szCs w:val="20"/>
                <w:lang w:eastAsia="en-AU"/>
                <w14:ligatures w14:val="none"/>
              </w:rPr>
              <w:t xml:space="preserve"> </w:t>
            </w:r>
            <w:r w:rsidRPr="00196E26">
              <w:rPr>
                <w:rFonts w:eastAsia="Times New Roman" w:cs="Times New Roman"/>
                <w:color w:val="000000"/>
                <w:kern w:val="0"/>
                <w:sz w:val="20"/>
                <w:szCs w:val="20"/>
                <w:lang w:eastAsia="en-AU"/>
                <w14:ligatures w14:val="none"/>
              </w:rPr>
              <w:t>or brachial artery distensibility</w:t>
            </w:r>
          </w:p>
          <w:p w14:paraId="636B4808" w14:textId="5F2DDBC9" w:rsidR="00DF344B" w:rsidRPr="000E0B5A" w:rsidRDefault="00DF344B" w:rsidP="00DF344B">
            <w:pPr>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highlight w:val="yellow"/>
                <w:lang w:eastAsia="en-AU"/>
                <w14:ligatures w14:val="none"/>
              </w:rPr>
            </w:pPr>
            <w:r w:rsidRPr="00771F1A">
              <w:rPr>
                <w:rFonts w:eastAsia="Times New Roman" w:cs="Times New Roman"/>
                <w:color w:val="000000"/>
                <w:kern w:val="0"/>
                <w:sz w:val="20"/>
                <w:szCs w:val="20"/>
                <w:lang w:eastAsia="en-AU"/>
                <w14:ligatures w14:val="none"/>
              </w:rPr>
              <w:t>TS:</w:t>
            </w:r>
            <w:r>
              <w:rPr>
                <w:rFonts w:eastAsia="Times New Roman" w:cs="Times New Roman"/>
                <w:color w:val="000000"/>
                <w:kern w:val="0"/>
                <w:sz w:val="20"/>
                <w:szCs w:val="20"/>
                <w:lang w:eastAsia="en-AU"/>
                <w14:ligatures w14:val="none"/>
              </w:rPr>
              <w:t xml:space="preserve"> Studies that used a </w:t>
            </w:r>
            <w:r w:rsidRPr="00F743A1">
              <w:rPr>
                <w:rFonts w:eastAsia="Times New Roman" w:cs="Times New Roman"/>
                <w:color w:val="000000"/>
                <w:kern w:val="0"/>
                <w:sz w:val="20"/>
                <w:szCs w:val="20"/>
                <w:lang w:eastAsia="en-AU"/>
                <w14:ligatures w14:val="none"/>
              </w:rPr>
              <w:t>cross-sectional, cohort or intervention study design</w:t>
            </w:r>
            <w:r>
              <w:rPr>
                <w:rFonts w:eastAsia="Times New Roman" w:cs="Times New Roman"/>
                <w:color w:val="000000"/>
                <w:kern w:val="0"/>
                <w:sz w:val="20"/>
                <w:szCs w:val="20"/>
                <w:lang w:eastAsia="en-AU"/>
                <w14:ligatures w14:val="none"/>
              </w:rPr>
              <w:t xml:space="preserve"> were included. </w:t>
            </w:r>
          </w:p>
        </w:tc>
        <w:tc>
          <w:tcPr>
            <w:tcW w:w="1984" w:type="dxa"/>
          </w:tcPr>
          <w:p w14:paraId="5686AAB9" w14:textId="77777777" w:rsidR="00DF344B" w:rsidRPr="0067492A" w:rsidRDefault="00DF344B" w:rsidP="00DF344B">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67492A">
              <w:rPr>
                <w:rFonts w:eastAsia="Times New Roman" w:cs="Times New Roman"/>
                <w:color w:val="000000"/>
                <w:kern w:val="0"/>
                <w:sz w:val="20"/>
                <w:szCs w:val="20"/>
                <w:lang w:eastAsia="en-AU"/>
                <w14:ligatures w14:val="none"/>
              </w:rPr>
              <w:t xml:space="preserve">1 study examined sodium exposure, </w:t>
            </w:r>
          </w:p>
          <w:p w14:paraId="25B742FC" w14:textId="76F600B9" w:rsidR="00DF344B" w:rsidRPr="0067492A" w:rsidRDefault="00DF344B" w:rsidP="00DF344B">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67492A">
              <w:rPr>
                <w:rFonts w:eastAsia="Times New Roman" w:cs="Times New Roman"/>
                <w:color w:val="000000"/>
                <w:kern w:val="0"/>
                <w:sz w:val="20"/>
                <w:szCs w:val="20"/>
                <w:lang w:eastAsia="en-AU"/>
                <w14:ligatures w14:val="none"/>
              </w:rPr>
              <w:t>614 participants</w:t>
            </w:r>
          </w:p>
        </w:tc>
        <w:tc>
          <w:tcPr>
            <w:tcW w:w="1701" w:type="dxa"/>
          </w:tcPr>
          <w:p w14:paraId="5FC7769D" w14:textId="03D4040E" w:rsidR="00DF344B" w:rsidRPr="0067492A" w:rsidRDefault="00DF344B" w:rsidP="00DF344B">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67492A">
              <w:rPr>
                <w:rFonts w:eastAsia="Times New Roman" w:cs="Times New Roman"/>
                <w:i/>
                <w:iCs/>
                <w:color w:val="000000"/>
                <w:kern w:val="0"/>
                <w:sz w:val="20"/>
                <w:szCs w:val="20"/>
                <w:lang w:eastAsia="en-AU"/>
                <w14:ligatures w14:val="none"/>
              </w:rPr>
              <w:t xml:space="preserve">D1: </w:t>
            </w:r>
            <w:r w:rsidR="0067492A" w:rsidRPr="0067492A">
              <w:rPr>
                <w:rFonts w:eastAsia="Times New Roman" w:cs="Times New Roman"/>
                <w:i/>
                <w:iCs/>
                <w:color w:val="000000"/>
                <w:kern w:val="0"/>
                <w:sz w:val="20"/>
                <w:szCs w:val="20"/>
                <w:lang w:eastAsia="en-AU"/>
                <w14:ligatures w14:val="none"/>
              </w:rPr>
              <w:t>HIGH</w:t>
            </w:r>
          </w:p>
          <w:p w14:paraId="021E4240" w14:textId="01579636" w:rsidR="00DF344B" w:rsidRPr="0067492A" w:rsidRDefault="00DF344B" w:rsidP="00DF344B">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67492A">
              <w:rPr>
                <w:rFonts w:eastAsia="Times New Roman" w:cs="Times New Roman"/>
                <w:i/>
                <w:iCs/>
                <w:color w:val="000000"/>
                <w:kern w:val="0"/>
                <w:sz w:val="20"/>
                <w:szCs w:val="20"/>
                <w:lang w:eastAsia="en-AU"/>
                <w14:ligatures w14:val="none"/>
              </w:rPr>
              <w:t xml:space="preserve">D2: </w:t>
            </w:r>
            <w:r w:rsidR="0067492A" w:rsidRPr="0067492A">
              <w:rPr>
                <w:rFonts w:eastAsia="Times New Roman" w:cs="Times New Roman"/>
                <w:i/>
                <w:iCs/>
                <w:color w:val="000000"/>
                <w:kern w:val="0"/>
                <w:sz w:val="20"/>
                <w:szCs w:val="20"/>
                <w:lang w:eastAsia="en-AU"/>
                <w14:ligatures w14:val="none"/>
              </w:rPr>
              <w:t>LOW</w:t>
            </w:r>
            <w:r w:rsidRPr="0067492A">
              <w:rPr>
                <w:rFonts w:eastAsia="Times New Roman" w:cs="Times New Roman"/>
                <w:i/>
                <w:iCs/>
                <w:color w:val="000000"/>
                <w:kern w:val="0"/>
                <w:sz w:val="20"/>
                <w:szCs w:val="20"/>
                <w:lang w:eastAsia="en-AU"/>
                <w14:ligatures w14:val="none"/>
              </w:rPr>
              <w:t xml:space="preserve"> </w:t>
            </w:r>
          </w:p>
          <w:p w14:paraId="5DE0433A" w14:textId="3352C804" w:rsidR="00DF344B" w:rsidRPr="0067492A" w:rsidRDefault="00DF344B" w:rsidP="00DF344B">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67492A">
              <w:rPr>
                <w:rFonts w:eastAsia="Times New Roman" w:cs="Times New Roman"/>
                <w:i/>
                <w:iCs/>
                <w:color w:val="000000"/>
                <w:kern w:val="0"/>
                <w:sz w:val="20"/>
                <w:szCs w:val="20"/>
                <w:lang w:eastAsia="en-AU"/>
                <w14:ligatures w14:val="none"/>
              </w:rPr>
              <w:t xml:space="preserve">D3: </w:t>
            </w:r>
            <w:r w:rsidR="0067492A" w:rsidRPr="0067492A">
              <w:rPr>
                <w:rFonts w:eastAsia="Times New Roman" w:cs="Times New Roman"/>
                <w:i/>
                <w:iCs/>
                <w:color w:val="000000"/>
                <w:kern w:val="0"/>
                <w:sz w:val="20"/>
                <w:szCs w:val="20"/>
                <w:lang w:eastAsia="en-AU"/>
                <w14:ligatures w14:val="none"/>
              </w:rPr>
              <w:t>LOW</w:t>
            </w:r>
            <w:r w:rsidRPr="0067492A">
              <w:rPr>
                <w:rFonts w:eastAsia="Times New Roman" w:cs="Times New Roman"/>
                <w:i/>
                <w:iCs/>
                <w:color w:val="000000"/>
                <w:kern w:val="0"/>
                <w:sz w:val="20"/>
                <w:szCs w:val="20"/>
                <w:lang w:eastAsia="en-AU"/>
                <w14:ligatures w14:val="none"/>
              </w:rPr>
              <w:t xml:space="preserve"> </w:t>
            </w:r>
          </w:p>
          <w:p w14:paraId="7F7FE7D4" w14:textId="4D957D4E" w:rsidR="00DF344B" w:rsidRPr="0067492A" w:rsidRDefault="00DF344B" w:rsidP="00DF344B">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67492A">
              <w:rPr>
                <w:rFonts w:eastAsia="Times New Roman" w:cs="Times New Roman"/>
                <w:i/>
                <w:iCs/>
                <w:color w:val="000000"/>
                <w:kern w:val="0"/>
                <w:sz w:val="20"/>
                <w:szCs w:val="20"/>
                <w:lang w:eastAsia="en-AU"/>
                <w14:ligatures w14:val="none"/>
              </w:rPr>
              <w:t xml:space="preserve">D4: </w:t>
            </w:r>
            <w:r w:rsidR="0067492A" w:rsidRPr="0067492A">
              <w:rPr>
                <w:rFonts w:eastAsia="Times New Roman" w:cs="Times New Roman"/>
                <w:i/>
                <w:iCs/>
                <w:color w:val="000000"/>
                <w:kern w:val="0"/>
                <w:sz w:val="20"/>
                <w:szCs w:val="20"/>
                <w:lang w:eastAsia="en-AU"/>
                <w14:ligatures w14:val="none"/>
              </w:rPr>
              <w:t>LOW</w:t>
            </w:r>
          </w:p>
          <w:p w14:paraId="68EDA61A" w14:textId="77777777" w:rsidR="00DF344B" w:rsidRPr="0067492A" w:rsidRDefault="00DF344B" w:rsidP="00DF344B">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p>
          <w:p w14:paraId="47F3B214" w14:textId="77777777" w:rsidR="00B03F8B" w:rsidRPr="002A25B8" w:rsidRDefault="00B03F8B" w:rsidP="00B03F8B">
            <w:pPr>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color w:val="000000"/>
                <w:kern w:val="0"/>
                <w:sz w:val="20"/>
                <w:szCs w:val="20"/>
                <w:lang w:eastAsia="en-AU"/>
                <w14:ligatures w14:val="none"/>
              </w:rPr>
            </w:pPr>
            <w:r w:rsidRPr="002A25B8">
              <w:rPr>
                <w:rFonts w:eastAsia="Times New Roman" w:cs="Times New Roman"/>
                <w:b/>
                <w:bCs/>
                <w:i/>
                <w:iCs/>
                <w:color w:val="000000"/>
                <w:kern w:val="0"/>
                <w:sz w:val="20"/>
                <w:szCs w:val="20"/>
                <w:lang w:eastAsia="en-AU"/>
                <w14:ligatures w14:val="none"/>
              </w:rPr>
              <w:t>OVERALL:</w:t>
            </w:r>
          </w:p>
          <w:p w14:paraId="02917C7E" w14:textId="68D6E5B3" w:rsidR="00DF344B" w:rsidRPr="0085322C" w:rsidRDefault="0067492A" w:rsidP="00DF344B">
            <w:pPr>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color w:val="000000"/>
                <w:kern w:val="0"/>
                <w:sz w:val="20"/>
                <w:szCs w:val="20"/>
                <w:lang w:eastAsia="en-AU"/>
                <w14:ligatures w14:val="none"/>
              </w:rPr>
            </w:pPr>
            <w:r w:rsidRPr="0085322C">
              <w:rPr>
                <w:rFonts w:eastAsia="Times New Roman" w:cs="Times New Roman"/>
                <w:b/>
                <w:bCs/>
                <w:i/>
                <w:iCs/>
                <w:color w:val="000000"/>
                <w:kern w:val="0"/>
                <w:sz w:val="20"/>
                <w:szCs w:val="20"/>
                <w:lang w:eastAsia="en-AU"/>
                <w14:ligatures w14:val="none"/>
              </w:rPr>
              <w:t>HIGH</w:t>
            </w:r>
          </w:p>
        </w:tc>
      </w:tr>
    </w:tbl>
    <w:p w14:paraId="140701DD" w14:textId="77777777" w:rsidR="000B7C18" w:rsidRDefault="000B7C18" w:rsidP="000B7C18">
      <w:r>
        <w:br w:type="page"/>
      </w:r>
    </w:p>
    <w:p w14:paraId="57A78228" w14:textId="573AACEB" w:rsidR="00EE788D" w:rsidRDefault="00EE788D" w:rsidP="00EE788D">
      <w:pPr>
        <w:pStyle w:val="Heading2"/>
      </w:pPr>
      <w:bookmarkStart w:id="143" w:name="_Toc234960908"/>
      <w:r>
        <w:lastRenderedPageBreak/>
        <w:t>Risk of bias</w:t>
      </w:r>
      <w:r w:rsidR="000B5C97">
        <w:t xml:space="preserve"> assessments (ROBIS)</w:t>
      </w:r>
      <w:bookmarkEnd w:id="143"/>
    </w:p>
    <w:tbl>
      <w:tblPr>
        <w:tblStyle w:val="ListTable3-Accent1"/>
        <w:tblW w:w="14884" w:type="dxa"/>
        <w:tblInd w:w="-572" w:type="dxa"/>
        <w:tblLook w:val="04A0" w:firstRow="1" w:lastRow="0" w:firstColumn="1" w:lastColumn="0" w:noHBand="0" w:noVBand="1"/>
      </w:tblPr>
      <w:tblGrid>
        <w:gridCol w:w="1560"/>
        <w:gridCol w:w="1842"/>
        <w:gridCol w:w="1985"/>
        <w:gridCol w:w="1984"/>
        <w:gridCol w:w="1985"/>
        <w:gridCol w:w="877"/>
        <w:gridCol w:w="4651"/>
      </w:tblGrid>
      <w:tr w:rsidR="000B7C18" w:rsidRPr="001D5149" w14:paraId="1EA703E8" w14:textId="77777777" w:rsidTr="000465B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60" w:type="dxa"/>
            <w:shd w:val="clear" w:color="auto" w:fill="0B769F" w:themeFill="accent4" w:themeFillShade="BF"/>
            <w:hideMark/>
          </w:tcPr>
          <w:p w14:paraId="6BDF26BE" w14:textId="77777777" w:rsidR="000B7C18" w:rsidRPr="001D5149" w:rsidRDefault="000B7C18">
            <w:pPr>
              <w:rPr>
                <w:rFonts w:eastAsia="Times New Roman" w:cs="Times New Roman"/>
                <w:b w:val="0"/>
                <w:bCs w:val="0"/>
                <w:kern w:val="0"/>
                <w:sz w:val="20"/>
                <w:szCs w:val="20"/>
                <w:lang w:eastAsia="en-AU"/>
                <w14:ligatures w14:val="none"/>
              </w:rPr>
            </w:pPr>
            <w:r w:rsidRPr="001D5149">
              <w:rPr>
                <w:rFonts w:eastAsia="Times New Roman" w:cs="Times New Roman"/>
                <w:kern w:val="0"/>
                <w:sz w:val="20"/>
                <w:szCs w:val="20"/>
                <w:lang w:eastAsia="en-AU"/>
                <w14:ligatures w14:val="none"/>
              </w:rPr>
              <w:t>Reference</w:t>
            </w:r>
          </w:p>
        </w:tc>
        <w:tc>
          <w:tcPr>
            <w:tcW w:w="1842" w:type="dxa"/>
            <w:shd w:val="clear" w:color="auto" w:fill="0B769F" w:themeFill="accent4" w:themeFillShade="BF"/>
            <w:hideMark/>
          </w:tcPr>
          <w:p w14:paraId="6ADE2E59" w14:textId="77777777" w:rsidR="000B7C18" w:rsidRPr="001D5149" w:rsidRDefault="000B7C18">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 w:val="20"/>
                <w:szCs w:val="20"/>
                <w:lang w:eastAsia="en-AU"/>
                <w14:ligatures w14:val="none"/>
              </w:rPr>
            </w:pPr>
            <w:r w:rsidRPr="001D5149">
              <w:rPr>
                <w:rFonts w:eastAsia="Times New Roman" w:cs="Times New Roman"/>
                <w:kern w:val="0"/>
                <w:sz w:val="20"/>
                <w:szCs w:val="20"/>
                <w:lang w:eastAsia="en-AU"/>
                <w14:ligatures w14:val="none"/>
              </w:rPr>
              <w:t>Domain 1 - Study Eligibility Criteria</w:t>
            </w:r>
          </w:p>
        </w:tc>
        <w:tc>
          <w:tcPr>
            <w:tcW w:w="1985" w:type="dxa"/>
            <w:shd w:val="clear" w:color="auto" w:fill="0B769F" w:themeFill="accent4" w:themeFillShade="BF"/>
            <w:hideMark/>
          </w:tcPr>
          <w:p w14:paraId="68A4F8C0" w14:textId="77777777" w:rsidR="000B7C18" w:rsidRPr="001D5149" w:rsidRDefault="000B7C18">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 w:val="20"/>
                <w:szCs w:val="20"/>
                <w:lang w:eastAsia="en-AU"/>
                <w14:ligatures w14:val="none"/>
              </w:rPr>
            </w:pPr>
            <w:r w:rsidRPr="001D5149">
              <w:rPr>
                <w:rFonts w:eastAsia="Times New Roman" w:cs="Times New Roman"/>
                <w:kern w:val="0"/>
                <w:sz w:val="20"/>
                <w:szCs w:val="20"/>
                <w:lang w:eastAsia="en-AU"/>
                <w14:ligatures w14:val="none"/>
              </w:rPr>
              <w:t>Domain 2 - Identification and Selection of Studies</w:t>
            </w:r>
          </w:p>
        </w:tc>
        <w:tc>
          <w:tcPr>
            <w:tcW w:w="1984" w:type="dxa"/>
            <w:shd w:val="clear" w:color="auto" w:fill="0B769F" w:themeFill="accent4" w:themeFillShade="BF"/>
            <w:hideMark/>
          </w:tcPr>
          <w:p w14:paraId="1BE7D7A9" w14:textId="77777777" w:rsidR="000B7C18" w:rsidRPr="001D5149" w:rsidRDefault="000B7C18">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 w:val="20"/>
                <w:szCs w:val="20"/>
                <w:lang w:eastAsia="en-AU"/>
                <w14:ligatures w14:val="none"/>
              </w:rPr>
            </w:pPr>
            <w:r w:rsidRPr="001D5149">
              <w:rPr>
                <w:rFonts w:eastAsia="Times New Roman" w:cs="Times New Roman"/>
                <w:kern w:val="0"/>
                <w:sz w:val="20"/>
                <w:szCs w:val="20"/>
                <w:lang w:eastAsia="en-AU"/>
                <w14:ligatures w14:val="none"/>
              </w:rPr>
              <w:t>Domain 3 - Data Collection and Study Appraisal</w:t>
            </w:r>
          </w:p>
        </w:tc>
        <w:tc>
          <w:tcPr>
            <w:tcW w:w="1985" w:type="dxa"/>
            <w:shd w:val="clear" w:color="auto" w:fill="0B769F" w:themeFill="accent4" w:themeFillShade="BF"/>
            <w:hideMark/>
          </w:tcPr>
          <w:p w14:paraId="2849362D" w14:textId="77777777" w:rsidR="000B7C18" w:rsidRPr="001D5149" w:rsidRDefault="000B7C18">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 w:val="20"/>
                <w:szCs w:val="20"/>
                <w:lang w:eastAsia="en-AU"/>
                <w14:ligatures w14:val="none"/>
              </w:rPr>
            </w:pPr>
            <w:r w:rsidRPr="001D5149">
              <w:rPr>
                <w:rFonts w:eastAsia="Times New Roman" w:cs="Times New Roman"/>
                <w:kern w:val="0"/>
                <w:sz w:val="20"/>
                <w:szCs w:val="20"/>
                <w:lang w:eastAsia="en-AU"/>
                <w14:ligatures w14:val="none"/>
              </w:rPr>
              <w:t>Domain 4 - Synthesis and Findings</w:t>
            </w:r>
          </w:p>
        </w:tc>
        <w:tc>
          <w:tcPr>
            <w:tcW w:w="877" w:type="dxa"/>
            <w:shd w:val="clear" w:color="auto" w:fill="0B769F" w:themeFill="accent4" w:themeFillShade="BF"/>
            <w:vAlign w:val="center"/>
            <w:hideMark/>
          </w:tcPr>
          <w:p w14:paraId="1BB036A4" w14:textId="77777777" w:rsidR="000B7C18" w:rsidRPr="001D5149" w:rsidRDefault="000B7C18">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0"/>
                <w:szCs w:val="20"/>
                <w:lang w:eastAsia="en-AU"/>
                <w14:ligatures w14:val="none"/>
              </w:rPr>
            </w:pPr>
            <w:r w:rsidRPr="001D5149">
              <w:rPr>
                <w:rFonts w:eastAsia="Times New Roman" w:cs="Times New Roman"/>
                <w:kern w:val="0"/>
                <w:sz w:val="20"/>
                <w:szCs w:val="20"/>
                <w:lang w:eastAsia="en-AU"/>
                <w14:ligatures w14:val="none"/>
              </w:rPr>
              <w:t>Overall Risk of Bias</w:t>
            </w:r>
          </w:p>
        </w:tc>
        <w:tc>
          <w:tcPr>
            <w:tcW w:w="4651" w:type="dxa"/>
            <w:shd w:val="clear" w:color="auto" w:fill="0B769F" w:themeFill="accent4" w:themeFillShade="BF"/>
            <w:hideMark/>
          </w:tcPr>
          <w:p w14:paraId="522CE055" w14:textId="77777777" w:rsidR="000B7C18" w:rsidRPr="001D5149" w:rsidRDefault="000B7C18">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 w:val="20"/>
                <w:szCs w:val="20"/>
                <w:lang w:eastAsia="en-AU"/>
                <w14:ligatures w14:val="none"/>
              </w:rPr>
            </w:pPr>
            <w:r w:rsidRPr="001D5149">
              <w:rPr>
                <w:rFonts w:eastAsia="Times New Roman" w:cs="Times New Roman"/>
                <w:kern w:val="0"/>
                <w:sz w:val="20"/>
                <w:szCs w:val="20"/>
                <w:lang w:eastAsia="en-AU"/>
                <w14:ligatures w14:val="none"/>
              </w:rPr>
              <w:t>NHMRC Comment</w:t>
            </w:r>
          </w:p>
        </w:tc>
      </w:tr>
      <w:tr w:rsidR="000B7C18" w:rsidRPr="001D5149" w14:paraId="26C2E81A" w14:textId="77777777" w:rsidTr="006A4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4" w:type="dxa"/>
            <w:gridSpan w:val="7"/>
            <w:shd w:val="clear" w:color="auto" w:fill="C1E4F5" w:themeFill="accent1" w:themeFillTint="33"/>
          </w:tcPr>
          <w:p w14:paraId="084DABC2" w14:textId="77777777" w:rsidR="000B7C18" w:rsidRPr="001D5149" w:rsidRDefault="000B7C18">
            <w:pPr>
              <w:rPr>
                <w:rFonts w:eastAsia="Times New Roman" w:cs="Times New Roman"/>
                <w:kern w:val="0"/>
                <w:sz w:val="20"/>
                <w:szCs w:val="20"/>
                <w:lang w:eastAsia="en-AU"/>
                <w14:ligatures w14:val="none"/>
              </w:rPr>
            </w:pPr>
            <w:r w:rsidRPr="00E22F5C">
              <w:rPr>
                <w:rFonts w:eastAsia="Times New Roman" w:cs="Times New Roman"/>
                <w:color w:val="000000" w:themeColor="text1"/>
                <w:kern w:val="0"/>
                <w:sz w:val="20"/>
                <w:szCs w:val="20"/>
                <w:lang w:eastAsia="en-AU"/>
                <w14:ligatures w14:val="none"/>
              </w:rPr>
              <w:t>Blood pressure in adults</w:t>
            </w:r>
          </w:p>
        </w:tc>
      </w:tr>
      <w:tr w:rsidR="000B7C18" w:rsidRPr="001D5149" w14:paraId="0D33692D" w14:textId="77777777" w:rsidTr="006A4BC9">
        <w:trPr>
          <w:trHeight w:val="950"/>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1E4EF0E2" w14:textId="556BE26F" w:rsidR="000B7C18" w:rsidRPr="001D5149" w:rsidRDefault="003B294E">
            <w:pPr>
              <w:rPr>
                <w:rFonts w:eastAsia="Times New Roman" w:cs="Times New Roman"/>
                <w:color w:val="000000"/>
                <w:kern w:val="0"/>
                <w:sz w:val="20"/>
                <w:szCs w:val="20"/>
                <w:lang w:eastAsia="en-AU"/>
                <w14:ligatures w14:val="none"/>
              </w:rPr>
            </w:pPr>
            <w:r w:rsidRPr="00C20074">
              <w:rPr>
                <w:sz w:val="20"/>
                <w:szCs w:val="20"/>
              </w:rPr>
              <w:fldChar w:fldCharType="begin"/>
            </w:r>
            <w:r w:rsidR="00F61D64">
              <w:rPr>
                <w:sz w:val="20"/>
                <w:szCs w:val="20"/>
              </w:rPr>
              <w:instrText xml:space="preserve"> ADDIN EN.CITE &lt;EndNote&gt;&lt;Cite AuthorYear="1"&gt;&lt;Author&gt;Filippini&lt;/Author&gt;&lt;Year&gt;2021&lt;/Year&gt;&lt;RecNum&gt;3&lt;/RecNum&gt;&lt;DisplayText&gt;Filippini et al. (2021b)&lt;/DisplayText&gt;&lt;record&gt;&lt;rec-number&gt;3&lt;/rec-number&gt;&lt;foreign-keys&gt;&lt;key app="EN" db-id="wwsdv2wwp29fenerv0kx5tw9zxtx2fdrprx2" timestamp="1762739885"&gt;3&lt;/key&gt;&lt;/foreign-keys&gt;&lt;ref-type name="Journal Article"&gt;17&lt;/ref-type&gt;&lt;contributors&gt;&lt;authors&gt;&lt;author&gt;Filippini, T.&lt;/author&gt;&lt;author&gt;Malavolti, M.&lt;/author&gt;&lt;author&gt;Whelton, P. K.&lt;/author&gt;&lt;author&gt;Naska, A.&lt;/author&gt;&lt;author&gt;Orsini, N.&lt;/author&gt;&lt;author&gt;Vinceti, M.&lt;/author&gt;&lt;/authors&gt;&lt;/contributors&gt;&lt;titles&gt;&lt;title&gt;Blood Pressure Effects of Sodium Reduction:Dose-Response Meta-Analysis of Experimental Studies&lt;/title&gt;&lt;secondary-title&gt;Circulation&lt;/secondary-title&gt;&lt;/titles&gt;&lt;periodical&gt;&lt;full-title&gt;Circulation&lt;/full-title&gt;&lt;/periodical&gt;&lt;pages&gt;1542-1567&lt;/pages&gt;&lt;volume&gt;143&lt;/volume&gt;&lt;number&gt;16&lt;/number&gt;&lt;dates&gt;&lt;year&gt;2021&lt;/year&gt;&lt;/dates&gt;&lt;urls&gt;&lt;related-urls&gt;&lt;url&gt;https://www.ahajournals.org/doi/abs/10.1161/CIRCULATIONAHA.120.050371&lt;/url&gt;&lt;/related-urls&gt;&lt;/urls&gt;&lt;electronic-resource-num&gt;doi:10.1161/CIRCULATIONAHA.120.050371&lt;/electronic-resource-num&gt;&lt;/record&gt;&lt;/Cite&gt;&lt;/EndNote&gt;</w:instrText>
            </w:r>
            <w:r w:rsidRPr="00C20074">
              <w:rPr>
                <w:sz w:val="20"/>
                <w:szCs w:val="20"/>
              </w:rPr>
              <w:fldChar w:fldCharType="separate"/>
            </w:r>
            <w:r w:rsidR="00F61D64">
              <w:rPr>
                <w:noProof/>
                <w:sz w:val="20"/>
                <w:szCs w:val="20"/>
              </w:rPr>
              <w:t>Filippini et al. (2021b)</w:t>
            </w:r>
            <w:r w:rsidRPr="00C20074">
              <w:rPr>
                <w:sz w:val="20"/>
                <w:szCs w:val="20"/>
              </w:rPr>
              <w:fldChar w:fldCharType="end"/>
            </w:r>
          </w:p>
        </w:tc>
        <w:tc>
          <w:tcPr>
            <w:tcW w:w="1842" w:type="dxa"/>
            <w:shd w:val="clear" w:color="auto" w:fill="FFFFFF" w:themeFill="background1"/>
          </w:tcPr>
          <w:p w14:paraId="557BD3DC" w14:textId="77777777" w:rsidR="000B7C18" w:rsidRPr="001D5149" w:rsidRDefault="000B7C1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LOW</w:t>
            </w:r>
          </w:p>
        </w:tc>
        <w:tc>
          <w:tcPr>
            <w:tcW w:w="1985" w:type="dxa"/>
            <w:shd w:val="clear" w:color="auto" w:fill="FFFFFF" w:themeFill="background1"/>
          </w:tcPr>
          <w:p w14:paraId="0A7B7CE3" w14:textId="77777777" w:rsidR="000B7C18" w:rsidRPr="001D5149" w:rsidRDefault="000B7C1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1D5149">
              <w:rPr>
                <w:rFonts w:eastAsia="Times New Roman" w:cs="Times New Roman"/>
                <w:color w:val="000000"/>
                <w:kern w:val="0"/>
                <w:sz w:val="20"/>
                <w:szCs w:val="20"/>
                <w:lang w:eastAsia="en-AU"/>
                <w14:ligatures w14:val="none"/>
              </w:rPr>
              <w:t>UNCLEAR</w:t>
            </w:r>
          </w:p>
        </w:tc>
        <w:tc>
          <w:tcPr>
            <w:tcW w:w="1984" w:type="dxa"/>
            <w:shd w:val="clear" w:color="auto" w:fill="FFFFFF" w:themeFill="background1"/>
          </w:tcPr>
          <w:p w14:paraId="3E72BB66" w14:textId="77777777" w:rsidR="000B7C18" w:rsidRPr="001D5149" w:rsidRDefault="000B7C1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UNCLEAR</w:t>
            </w:r>
          </w:p>
        </w:tc>
        <w:tc>
          <w:tcPr>
            <w:tcW w:w="1985" w:type="dxa"/>
            <w:shd w:val="clear" w:color="auto" w:fill="FFFFFF" w:themeFill="background1"/>
          </w:tcPr>
          <w:p w14:paraId="528C14F7" w14:textId="77777777" w:rsidR="000B7C18" w:rsidRPr="001D5149" w:rsidRDefault="000B7C1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1D5149">
              <w:rPr>
                <w:rFonts w:eastAsia="Times New Roman" w:cs="Times New Roman"/>
                <w:color w:val="000000"/>
                <w:kern w:val="0"/>
                <w:sz w:val="20"/>
                <w:szCs w:val="20"/>
                <w:lang w:eastAsia="en-AU"/>
                <w14:ligatures w14:val="none"/>
              </w:rPr>
              <w:t>LOW</w:t>
            </w:r>
          </w:p>
        </w:tc>
        <w:tc>
          <w:tcPr>
            <w:tcW w:w="877" w:type="dxa"/>
            <w:vMerge w:val="restart"/>
            <w:shd w:val="clear" w:color="auto" w:fill="FFFFFF" w:themeFill="background1"/>
          </w:tcPr>
          <w:p w14:paraId="630D2A8F" w14:textId="77777777" w:rsidR="000B7C18" w:rsidRPr="001D5149" w:rsidRDefault="000B7C1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kern w:val="0"/>
                <w:sz w:val="20"/>
                <w:szCs w:val="20"/>
                <w:lang w:eastAsia="en-AU"/>
                <w14:ligatures w14:val="none"/>
              </w:rPr>
            </w:pPr>
            <w:r w:rsidRPr="001D5149">
              <w:rPr>
                <w:rFonts w:eastAsia="Times New Roman" w:cs="Times New Roman"/>
                <w:b/>
                <w:bCs/>
                <w:color w:val="000000"/>
                <w:kern w:val="0"/>
                <w:sz w:val="20"/>
                <w:szCs w:val="20"/>
                <w:lang w:eastAsia="en-AU"/>
                <w14:ligatures w14:val="none"/>
              </w:rPr>
              <w:t>HIGH</w:t>
            </w:r>
          </w:p>
        </w:tc>
        <w:tc>
          <w:tcPr>
            <w:tcW w:w="4651" w:type="dxa"/>
            <w:vMerge w:val="restart"/>
            <w:shd w:val="clear" w:color="auto" w:fill="FFFFFF" w:themeFill="background1"/>
          </w:tcPr>
          <w:p w14:paraId="0B26A032" w14:textId="77777777" w:rsidR="000B7C18" w:rsidRPr="00102B30" w:rsidRDefault="000B7C1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102B30">
              <w:rPr>
                <w:rFonts w:eastAsia="Times New Roman" w:cs="Times New Roman"/>
                <w:color w:val="000000"/>
                <w:kern w:val="0"/>
                <w:sz w:val="20"/>
                <w:szCs w:val="20"/>
                <w:lang w:eastAsia="en-AU"/>
                <w14:ligatures w14:val="none"/>
              </w:rPr>
              <w:t xml:space="preserve">Concerns about </w:t>
            </w:r>
            <w:proofErr w:type="spellStart"/>
            <w:r w:rsidRPr="00102B30">
              <w:rPr>
                <w:rFonts w:eastAsia="Times New Roman" w:cs="Times New Roman"/>
                <w:color w:val="000000"/>
                <w:kern w:val="0"/>
                <w:sz w:val="20"/>
                <w:szCs w:val="20"/>
                <w:lang w:eastAsia="en-AU"/>
                <w14:ligatures w14:val="none"/>
              </w:rPr>
              <w:t>RoB</w:t>
            </w:r>
            <w:proofErr w:type="spellEnd"/>
            <w:r w:rsidRPr="00102B30">
              <w:rPr>
                <w:rFonts w:eastAsia="Times New Roman" w:cs="Times New Roman"/>
                <w:color w:val="000000"/>
                <w:kern w:val="0"/>
                <w:sz w:val="20"/>
                <w:szCs w:val="20"/>
                <w:lang w:eastAsia="en-AU"/>
                <w14:ligatures w14:val="none"/>
              </w:rPr>
              <w:t xml:space="preserve"> relate to limited searches of Embase, although searches appeared otherwise robust (included backward and forward citation searching, searches of PubMed, EMBASE and Cochrane CENTRAL); duplicate screening at Ti/Abs and full text described, however the number of reviewers involved in </w:t>
            </w:r>
            <w:proofErr w:type="spellStart"/>
            <w:r w:rsidRPr="00102B30">
              <w:rPr>
                <w:rFonts w:eastAsia="Times New Roman" w:cs="Times New Roman"/>
                <w:color w:val="000000"/>
                <w:kern w:val="0"/>
                <w:sz w:val="20"/>
                <w:szCs w:val="20"/>
                <w:lang w:eastAsia="en-AU"/>
                <w14:ligatures w14:val="none"/>
              </w:rPr>
              <w:t>RoB</w:t>
            </w:r>
            <w:proofErr w:type="spellEnd"/>
            <w:r w:rsidRPr="00102B30">
              <w:rPr>
                <w:rFonts w:eastAsia="Times New Roman" w:cs="Times New Roman"/>
                <w:color w:val="000000"/>
                <w:kern w:val="0"/>
                <w:sz w:val="20"/>
                <w:szCs w:val="20"/>
                <w:lang w:eastAsia="en-AU"/>
                <w14:ligatures w14:val="none"/>
              </w:rPr>
              <w:t xml:space="preserve"> assessment and data extraction not reported.</w:t>
            </w:r>
          </w:p>
          <w:p w14:paraId="63DC5562" w14:textId="77777777" w:rsidR="000B7C18" w:rsidRPr="00102B30" w:rsidRDefault="000B7C1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p>
          <w:p w14:paraId="16C48BC9" w14:textId="77777777" w:rsidR="000B7C18" w:rsidRPr="002252E5" w:rsidRDefault="000B7C1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102B30">
              <w:rPr>
                <w:rFonts w:eastAsia="Times New Roman" w:cs="Times New Roman"/>
                <w:color w:val="000000"/>
                <w:kern w:val="0"/>
                <w:sz w:val="20"/>
                <w:szCs w:val="20"/>
                <w:lang w:eastAsia="en-AU"/>
                <w14:ligatures w14:val="none"/>
              </w:rPr>
              <w:t>These limitations raise concerns about whether some studies may have been missed (due to search limitations) or the risk of data extraction errors. However, in view of the large number of studies identified and consistency of findings with other well-conducted reviews, these concerns are not so significant as to exclude the review entirely.</w:t>
            </w:r>
          </w:p>
        </w:tc>
      </w:tr>
      <w:tr w:rsidR="000B7C18" w:rsidRPr="001D5149" w14:paraId="50E6D569" w14:textId="77777777" w:rsidTr="006A4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08569DF2" w14:textId="77777777" w:rsidR="000B7C18" w:rsidRPr="001D5149" w:rsidRDefault="000B7C18">
            <w:pPr>
              <w:keepNext/>
              <w:rPr>
                <w:rFonts w:eastAsia="Times New Roman" w:cs="Times New Roman"/>
                <w:color w:val="000000"/>
                <w:kern w:val="0"/>
                <w:sz w:val="20"/>
                <w:szCs w:val="20"/>
                <w:lang w:eastAsia="en-AU"/>
                <w14:ligatures w14:val="none"/>
              </w:rPr>
            </w:pPr>
          </w:p>
        </w:tc>
        <w:tc>
          <w:tcPr>
            <w:tcW w:w="1842" w:type="dxa"/>
          </w:tcPr>
          <w:p w14:paraId="7DF60209" w14:textId="77777777" w:rsidR="000B7C18" w:rsidRPr="001D5149" w:rsidRDefault="000B7C18">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1D5149">
              <w:rPr>
                <w:rFonts w:eastAsia="Times New Roman" w:cs="Times New Roman"/>
                <w:i/>
                <w:iCs/>
                <w:color w:val="000000"/>
                <w:kern w:val="0"/>
                <w:sz w:val="20"/>
                <w:szCs w:val="20"/>
                <w:lang w:eastAsia="en-AU"/>
                <w14:ligatures w14:val="none"/>
              </w:rPr>
              <w:t>No concerns</w:t>
            </w:r>
          </w:p>
        </w:tc>
        <w:tc>
          <w:tcPr>
            <w:tcW w:w="1985" w:type="dxa"/>
          </w:tcPr>
          <w:p w14:paraId="61B90B27" w14:textId="172FC0B0" w:rsidR="000B7C18" w:rsidRPr="001D5149" w:rsidRDefault="000B7C18">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9136F7">
              <w:rPr>
                <w:rFonts w:eastAsia="Times New Roman" w:cs="Times New Roman"/>
                <w:i/>
                <w:iCs/>
                <w:color w:val="000000"/>
                <w:kern w:val="0"/>
                <w:sz w:val="20"/>
                <w:szCs w:val="20"/>
                <w:lang w:eastAsia="en-AU"/>
                <w14:ligatures w14:val="none"/>
              </w:rPr>
              <w:t>Full search strategies reported although limitations noted, e</w:t>
            </w:r>
            <w:r w:rsidR="00005BCA">
              <w:rPr>
                <w:rFonts w:eastAsia="Times New Roman" w:cs="Times New Roman"/>
                <w:i/>
                <w:iCs/>
                <w:color w:val="000000"/>
                <w:kern w:val="0"/>
                <w:sz w:val="20"/>
                <w:szCs w:val="20"/>
                <w:lang w:eastAsia="en-AU"/>
                <w14:ligatures w14:val="none"/>
              </w:rPr>
              <w:t>.</w:t>
            </w:r>
            <w:r w:rsidRPr="009136F7">
              <w:rPr>
                <w:rFonts w:eastAsia="Times New Roman" w:cs="Times New Roman"/>
                <w:i/>
                <w:iCs/>
                <w:color w:val="000000"/>
                <w:kern w:val="0"/>
                <w:sz w:val="20"/>
                <w:szCs w:val="20"/>
                <w:lang w:eastAsia="en-AU"/>
                <w14:ligatures w14:val="none"/>
              </w:rPr>
              <w:t>g. no free text terms in Embase searches.</w:t>
            </w:r>
            <w:r>
              <w:rPr>
                <w:rFonts w:eastAsia="Times New Roman" w:cs="Times New Roman"/>
                <w:i/>
                <w:iCs/>
                <w:color w:val="000000"/>
                <w:kern w:val="0"/>
                <w:sz w:val="20"/>
                <w:szCs w:val="20"/>
                <w:lang w:eastAsia="en-AU"/>
                <w14:ligatures w14:val="none"/>
              </w:rPr>
              <w:t xml:space="preserve"> </w:t>
            </w:r>
          </w:p>
        </w:tc>
        <w:tc>
          <w:tcPr>
            <w:tcW w:w="1984" w:type="dxa"/>
          </w:tcPr>
          <w:p w14:paraId="12EDC8FD" w14:textId="77777777" w:rsidR="000B7C18" w:rsidRPr="001D5149" w:rsidRDefault="000B7C18">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9136F7">
              <w:rPr>
                <w:rFonts w:eastAsia="Times New Roman" w:cs="Times New Roman"/>
                <w:i/>
                <w:iCs/>
                <w:color w:val="000000"/>
                <w:kern w:val="0"/>
                <w:sz w:val="20"/>
                <w:szCs w:val="20"/>
                <w:lang w:eastAsia="en-AU"/>
                <w14:ligatures w14:val="none"/>
              </w:rPr>
              <w:t xml:space="preserve">No. reviewers involved in </w:t>
            </w:r>
            <w:proofErr w:type="spellStart"/>
            <w:r w:rsidRPr="009136F7">
              <w:rPr>
                <w:rFonts w:eastAsia="Times New Roman" w:cs="Times New Roman"/>
                <w:i/>
                <w:iCs/>
                <w:color w:val="000000"/>
                <w:kern w:val="0"/>
                <w:sz w:val="20"/>
                <w:szCs w:val="20"/>
                <w:lang w:eastAsia="en-AU"/>
                <w14:ligatures w14:val="none"/>
              </w:rPr>
              <w:t>RoB</w:t>
            </w:r>
            <w:proofErr w:type="spellEnd"/>
            <w:r w:rsidRPr="009136F7">
              <w:rPr>
                <w:rFonts w:eastAsia="Times New Roman" w:cs="Times New Roman"/>
                <w:i/>
                <w:iCs/>
                <w:color w:val="000000"/>
                <w:kern w:val="0"/>
                <w:sz w:val="20"/>
                <w:szCs w:val="20"/>
                <w:lang w:eastAsia="en-AU"/>
                <w14:ligatures w14:val="none"/>
              </w:rPr>
              <w:t xml:space="preserve"> assessment and data extraction not reported.</w:t>
            </w:r>
          </w:p>
        </w:tc>
        <w:tc>
          <w:tcPr>
            <w:tcW w:w="1985" w:type="dxa"/>
          </w:tcPr>
          <w:p w14:paraId="47444204" w14:textId="77777777" w:rsidR="000B7C18" w:rsidRPr="001D5149" w:rsidRDefault="000B7C18">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1D5149">
              <w:rPr>
                <w:rFonts w:eastAsia="Times New Roman" w:cs="Times New Roman"/>
                <w:i/>
                <w:iCs/>
                <w:color w:val="000000"/>
                <w:kern w:val="0"/>
                <w:sz w:val="20"/>
                <w:szCs w:val="20"/>
                <w:lang w:eastAsia="en-AU"/>
                <w14:ligatures w14:val="none"/>
              </w:rPr>
              <w:t>No concerns</w:t>
            </w:r>
          </w:p>
        </w:tc>
        <w:tc>
          <w:tcPr>
            <w:tcW w:w="877" w:type="dxa"/>
            <w:vMerge/>
            <w:vAlign w:val="center"/>
          </w:tcPr>
          <w:p w14:paraId="20A55E75" w14:textId="77777777" w:rsidR="000B7C18" w:rsidRPr="001D5149" w:rsidRDefault="000B7C18">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 w:val="20"/>
                <w:szCs w:val="20"/>
                <w:lang w:eastAsia="en-AU"/>
                <w14:ligatures w14:val="none"/>
              </w:rPr>
            </w:pPr>
          </w:p>
        </w:tc>
        <w:tc>
          <w:tcPr>
            <w:tcW w:w="4651" w:type="dxa"/>
            <w:vMerge/>
          </w:tcPr>
          <w:p w14:paraId="03258187" w14:textId="77777777" w:rsidR="000B7C18" w:rsidRPr="001D5149" w:rsidRDefault="000B7C18">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p>
        </w:tc>
      </w:tr>
      <w:tr w:rsidR="000B7C18" w:rsidRPr="001D5149" w14:paraId="17878835" w14:textId="77777777" w:rsidTr="006A4BC9">
        <w:tc>
          <w:tcPr>
            <w:cnfStyle w:val="001000000000" w:firstRow="0" w:lastRow="0" w:firstColumn="1" w:lastColumn="0" w:oddVBand="0" w:evenVBand="0" w:oddHBand="0" w:evenHBand="0" w:firstRowFirstColumn="0" w:firstRowLastColumn="0" w:lastRowFirstColumn="0" w:lastRowLastColumn="0"/>
            <w:tcW w:w="1560" w:type="dxa"/>
            <w:vMerge w:val="restart"/>
          </w:tcPr>
          <w:p w14:paraId="4295EDEB" w14:textId="431A62F8" w:rsidR="000B7C18" w:rsidRPr="001D5149" w:rsidRDefault="00284440">
            <w:pPr>
              <w:widowControl w:val="0"/>
              <w:rPr>
                <w:rFonts w:eastAsia="Times New Roman" w:cs="Times New Roman"/>
                <w:color w:val="000000"/>
                <w:kern w:val="0"/>
                <w:sz w:val="20"/>
                <w:szCs w:val="20"/>
                <w:lang w:eastAsia="en-AU"/>
                <w14:ligatures w14:val="none"/>
              </w:rPr>
            </w:pPr>
            <w:r>
              <w:rPr>
                <w:sz w:val="20"/>
                <w:szCs w:val="20"/>
              </w:rPr>
              <w:fldChar w:fldCharType="begin">
                <w:fldData xml:space="preserve">PEVuZE5vdGU+PENpdGUgQXV0aG9yWWVhcj0iMSI+PEF1dGhvcj5HcmF1ZGFsPC9BdXRob3I+PFll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</w:fldData>
              </w:fldChar>
            </w:r>
            <w:r>
              <w:rPr>
                <w:sz w:val="20"/>
                <w:szCs w:val="20"/>
              </w:rPr>
              <w:instrText xml:space="preserve"> ADDIN EN.CITE </w:instrText>
            </w:r>
            <w:r>
              <w:rPr>
                <w:sz w:val="20"/>
                <w:szCs w:val="20"/>
              </w:rPr>
              <w:fldChar w:fldCharType="begin">
                <w:fldData xml:space="preserve">PEVuZE5vdGU+PENpdGUgQXV0aG9yWWVhcj0iMSI+PEF1dGhvcj5HcmF1ZGFsPC9BdXRob3I+PFll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Graudal et al. (2020)</w:t>
            </w:r>
            <w:r>
              <w:rPr>
                <w:sz w:val="20"/>
                <w:szCs w:val="20"/>
              </w:rPr>
              <w:fldChar w:fldCharType="end"/>
            </w:r>
          </w:p>
        </w:tc>
        <w:tc>
          <w:tcPr>
            <w:tcW w:w="1842" w:type="dxa"/>
          </w:tcPr>
          <w:p w14:paraId="0CD539E0" w14:textId="77777777" w:rsidR="000B7C18" w:rsidRPr="001D5149" w:rsidRDefault="000B7C1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Pr>
                <w:rFonts w:eastAsia="Times New Roman" w:cs="Times New Roman"/>
                <w:color w:val="000000"/>
                <w:kern w:val="0"/>
                <w:sz w:val="20"/>
                <w:szCs w:val="20"/>
                <w:lang w:eastAsia="en-AU"/>
                <w14:ligatures w14:val="none"/>
              </w:rPr>
              <w:t>LOW</w:t>
            </w:r>
          </w:p>
        </w:tc>
        <w:tc>
          <w:tcPr>
            <w:tcW w:w="1985" w:type="dxa"/>
          </w:tcPr>
          <w:p w14:paraId="6B19F042" w14:textId="77777777" w:rsidR="000B7C18" w:rsidRPr="009136F7" w:rsidRDefault="000B7C1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Pr>
                <w:rFonts w:eastAsia="Times New Roman" w:cs="Times New Roman"/>
                <w:color w:val="000000"/>
                <w:kern w:val="0"/>
                <w:sz w:val="20"/>
                <w:szCs w:val="20"/>
                <w:lang w:eastAsia="en-AU"/>
                <w14:ligatures w14:val="none"/>
              </w:rPr>
              <w:t>LOW</w:t>
            </w:r>
          </w:p>
        </w:tc>
        <w:tc>
          <w:tcPr>
            <w:tcW w:w="1984" w:type="dxa"/>
          </w:tcPr>
          <w:p w14:paraId="5D23026B" w14:textId="77777777" w:rsidR="000B7C18" w:rsidRPr="009136F7" w:rsidRDefault="000B7C1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Pr>
                <w:rFonts w:eastAsia="Times New Roman" w:cs="Times New Roman"/>
                <w:color w:val="000000"/>
                <w:kern w:val="0"/>
                <w:sz w:val="20"/>
                <w:szCs w:val="20"/>
                <w:lang w:eastAsia="en-AU"/>
                <w14:ligatures w14:val="none"/>
              </w:rPr>
              <w:t>LOW</w:t>
            </w:r>
          </w:p>
        </w:tc>
        <w:tc>
          <w:tcPr>
            <w:tcW w:w="1985" w:type="dxa"/>
          </w:tcPr>
          <w:p w14:paraId="2320B92F" w14:textId="77777777" w:rsidR="000B7C18" w:rsidRPr="001D5149" w:rsidRDefault="000B7C1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Pr>
                <w:rFonts w:eastAsia="Times New Roman" w:cs="Times New Roman"/>
                <w:color w:val="000000"/>
                <w:kern w:val="0"/>
                <w:sz w:val="20"/>
                <w:szCs w:val="20"/>
                <w:lang w:eastAsia="en-AU"/>
                <w14:ligatures w14:val="none"/>
              </w:rPr>
              <w:t>LOW</w:t>
            </w:r>
          </w:p>
        </w:tc>
        <w:tc>
          <w:tcPr>
            <w:tcW w:w="877" w:type="dxa"/>
            <w:vMerge w:val="restart"/>
          </w:tcPr>
          <w:p w14:paraId="396D12A5" w14:textId="77777777" w:rsidR="000B7C18" w:rsidRPr="001D5149" w:rsidRDefault="000B7C1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kern w:val="0"/>
                <w:sz w:val="20"/>
                <w:szCs w:val="20"/>
                <w:lang w:eastAsia="en-AU"/>
                <w14:ligatures w14:val="none"/>
              </w:rPr>
            </w:pPr>
            <w:r>
              <w:rPr>
                <w:rFonts w:eastAsia="Times New Roman" w:cs="Times New Roman"/>
                <w:b/>
                <w:bCs/>
                <w:color w:val="000000"/>
                <w:kern w:val="0"/>
                <w:sz w:val="20"/>
                <w:szCs w:val="20"/>
                <w:lang w:eastAsia="en-AU"/>
                <w14:ligatures w14:val="none"/>
              </w:rPr>
              <w:t>LOW</w:t>
            </w:r>
          </w:p>
        </w:tc>
        <w:tc>
          <w:tcPr>
            <w:tcW w:w="4651" w:type="dxa"/>
            <w:vMerge w:val="restart"/>
          </w:tcPr>
          <w:p w14:paraId="2871243A" w14:textId="77777777" w:rsidR="000B7C18" w:rsidRPr="001D5149" w:rsidRDefault="000B7C1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384935">
              <w:rPr>
                <w:rFonts w:eastAsia="Times New Roman" w:cs="Times New Roman"/>
                <w:color w:val="000000"/>
                <w:kern w:val="0"/>
                <w:sz w:val="20"/>
                <w:szCs w:val="20"/>
                <w:lang w:eastAsia="en-AU"/>
                <w14:ligatures w14:val="none"/>
              </w:rPr>
              <w:t xml:space="preserve">Although the systematic review was well conducted based on Cochrane review methods, the broad inclusion criteria adopted </w:t>
            </w:r>
            <w:r>
              <w:rPr>
                <w:rFonts w:eastAsia="Times New Roman" w:cs="Times New Roman"/>
                <w:color w:val="000000"/>
                <w:kern w:val="0"/>
                <w:sz w:val="20"/>
                <w:szCs w:val="20"/>
                <w:lang w:eastAsia="en-AU"/>
                <w14:ligatures w14:val="none"/>
              </w:rPr>
              <w:t xml:space="preserve">(sodium intake based on 8h urinary measures; studies of any duration) </w:t>
            </w:r>
            <w:r w:rsidRPr="00384935">
              <w:rPr>
                <w:rFonts w:eastAsia="Times New Roman" w:cs="Times New Roman"/>
                <w:color w:val="000000"/>
                <w:kern w:val="0"/>
                <w:sz w:val="20"/>
                <w:szCs w:val="20"/>
                <w:lang w:eastAsia="en-AU"/>
                <w14:ligatures w14:val="none"/>
              </w:rPr>
              <w:t xml:space="preserve">and approach to analysis </w:t>
            </w:r>
            <w:r>
              <w:rPr>
                <w:rFonts w:eastAsia="Times New Roman" w:cs="Times New Roman"/>
                <w:color w:val="000000"/>
                <w:kern w:val="0"/>
                <w:sz w:val="20"/>
                <w:szCs w:val="20"/>
                <w:lang w:eastAsia="en-AU"/>
                <w14:ligatures w14:val="none"/>
              </w:rPr>
              <w:t xml:space="preserve">(grouped by race and hypertensive status; heterogeneity in the magnitude of sodium reduction across studies not accounted for in analysis) </w:t>
            </w:r>
            <w:r w:rsidRPr="00384935">
              <w:rPr>
                <w:rFonts w:eastAsia="Times New Roman" w:cs="Times New Roman"/>
                <w:color w:val="000000"/>
                <w:kern w:val="0"/>
                <w:sz w:val="20"/>
                <w:szCs w:val="20"/>
                <w:lang w:eastAsia="en-AU"/>
                <w14:ligatures w14:val="none"/>
              </w:rPr>
              <w:t>raise concerns about the robustness of findings</w:t>
            </w:r>
            <w:r>
              <w:rPr>
                <w:rFonts w:eastAsia="Times New Roman" w:cs="Times New Roman"/>
                <w:color w:val="000000"/>
                <w:kern w:val="0"/>
                <w:sz w:val="20"/>
                <w:szCs w:val="20"/>
                <w:lang w:eastAsia="en-AU"/>
                <w14:ligatures w14:val="none"/>
              </w:rPr>
              <w:t xml:space="preserve"> for the purposes of public health decision making</w:t>
            </w:r>
            <w:r w:rsidRPr="00384935">
              <w:rPr>
                <w:rFonts w:eastAsia="Times New Roman" w:cs="Times New Roman"/>
                <w:color w:val="000000"/>
                <w:kern w:val="0"/>
                <w:sz w:val="20"/>
                <w:szCs w:val="20"/>
                <w:lang w:eastAsia="en-AU"/>
                <w14:ligatures w14:val="none"/>
              </w:rPr>
              <w:t xml:space="preserve">. </w:t>
            </w:r>
          </w:p>
        </w:tc>
      </w:tr>
      <w:tr w:rsidR="000B7C18" w:rsidRPr="001D5149" w14:paraId="48775038" w14:textId="77777777" w:rsidTr="006A4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45812981" w14:textId="77777777" w:rsidR="000B7C18" w:rsidRPr="001D5149" w:rsidRDefault="000B7C18">
            <w:pPr>
              <w:keepNext/>
              <w:rPr>
                <w:rFonts w:eastAsia="Times New Roman" w:cs="Times New Roman"/>
                <w:color w:val="000000"/>
                <w:kern w:val="0"/>
                <w:sz w:val="20"/>
                <w:szCs w:val="20"/>
                <w:lang w:eastAsia="en-AU"/>
                <w14:ligatures w14:val="none"/>
              </w:rPr>
            </w:pPr>
          </w:p>
        </w:tc>
        <w:tc>
          <w:tcPr>
            <w:tcW w:w="1842" w:type="dxa"/>
          </w:tcPr>
          <w:p w14:paraId="072201F3" w14:textId="77777777" w:rsidR="000B7C18" w:rsidRPr="001D5149" w:rsidRDefault="000B7C18">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1D5149">
              <w:rPr>
                <w:rFonts w:eastAsia="Times New Roman" w:cs="Times New Roman"/>
                <w:i/>
                <w:iCs/>
                <w:color w:val="000000"/>
                <w:kern w:val="0"/>
                <w:sz w:val="20"/>
                <w:szCs w:val="20"/>
                <w:lang w:eastAsia="en-AU"/>
                <w14:ligatures w14:val="none"/>
              </w:rPr>
              <w:t>No concerns</w:t>
            </w:r>
          </w:p>
        </w:tc>
        <w:tc>
          <w:tcPr>
            <w:tcW w:w="1985" w:type="dxa"/>
          </w:tcPr>
          <w:p w14:paraId="3EB170B7" w14:textId="77777777" w:rsidR="000B7C18" w:rsidRPr="009136F7" w:rsidRDefault="000B7C18">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1D5149">
              <w:rPr>
                <w:rFonts w:eastAsia="Times New Roman" w:cs="Times New Roman"/>
                <w:i/>
                <w:iCs/>
                <w:color w:val="000000"/>
                <w:kern w:val="0"/>
                <w:sz w:val="20"/>
                <w:szCs w:val="20"/>
                <w:lang w:eastAsia="en-AU"/>
                <w14:ligatures w14:val="none"/>
              </w:rPr>
              <w:t>No concerns</w:t>
            </w:r>
          </w:p>
        </w:tc>
        <w:tc>
          <w:tcPr>
            <w:tcW w:w="1984" w:type="dxa"/>
          </w:tcPr>
          <w:p w14:paraId="383DE11E" w14:textId="77777777" w:rsidR="000B7C18" w:rsidRPr="009136F7" w:rsidRDefault="000B7C18">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1D5149">
              <w:rPr>
                <w:rFonts w:eastAsia="Times New Roman" w:cs="Times New Roman"/>
                <w:i/>
                <w:iCs/>
                <w:color w:val="000000"/>
                <w:kern w:val="0"/>
                <w:sz w:val="20"/>
                <w:szCs w:val="20"/>
                <w:lang w:eastAsia="en-AU"/>
                <w14:ligatures w14:val="none"/>
              </w:rPr>
              <w:t>No concerns</w:t>
            </w:r>
          </w:p>
        </w:tc>
        <w:tc>
          <w:tcPr>
            <w:tcW w:w="1985" w:type="dxa"/>
          </w:tcPr>
          <w:p w14:paraId="38F1FE10" w14:textId="77777777" w:rsidR="000B7C18" w:rsidRPr="001D5149" w:rsidRDefault="000B7C18">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1D5149">
              <w:rPr>
                <w:rFonts w:eastAsia="Times New Roman" w:cs="Times New Roman"/>
                <w:i/>
                <w:iCs/>
                <w:color w:val="000000"/>
                <w:kern w:val="0"/>
                <w:sz w:val="20"/>
                <w:szCs w:val="20"/>
                <w:lang w:eastAsia="en-AU"/>
                <w14:ligatures w14:val="none"/>
              </w:rPr>
              <w:t>No concerns</w:t>
            </w:r>
          </w:p>
        </w:tc>
        <w:tc>
          <w:tcPr>
            <w:tcW w:w="877" w:type="dxa"/>
            <w:vMerge/>
          </w:tcPr>
          <w:p w14:paraId="36AC6E33" w14:textId="77777777" w:rsidR="000B7C18" w:rsidRPr="001D5149" w:rsidRDefault="000B7C18">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 w:val="20"/>
                <w:szCs w:val="20"/>
                <w:lang w:eastAsia="en-AU"/>
                <w14:ligatures w14:val="none"/>
              </w:rPr>
            </w:pPr>
          </w:p>
        </w:tc>
        <w:tc>
          <w:tcPr>
            <w:tcW w:w="4651" w:type="dxa"/>
            <w:vMerge/>
          </w:tcPr>
          <w:p w14:paraId="100C71D2" w14:textId="77777777" w:rsidR="000B7C18" w:rsidRPr="001D5149" w:rsidRDefault="000B7C18">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p>
        </w:tc>
      </w:tr>
      <w:tr w:rsidR="000B7C18" w:rsidRPr="001D5149" w14:paraId="5AA3CE69" w14:textId="77777777" w:rsidTr="006A4BC9">
        <w:tc>
          <w:tcPr>
            <w:cnfStyle w:val="001000000000" w:firstRow="0" w:lastRow="0" w:firstColumn="1" w:lastColumn="0" w:oddVBand="0" w:evenVBand="0" w:oddHBand="0" w:evenHBand="0" w:firstRowFirstColumn="0" w:firstRowLastColumn="0" w:lastRowFirstColumn="0" w:lastRowLastColumn="0"/>
            <w:tcW w:w="1560" w:type="dxa"/>
            <w:vMerge w:val="restart"/>
            <w:vAlign w:val="center"/>
          </w:tcPr>
          <w:p w14:paraId="244D4066" w14:textId="6CEBDFEB" w:rsidR="000B7C18" w:rsidRPr="001D5149" w:rsidRDefault="00284440">
            <w:pPr>
              <w:rPr>
                <w:rFonts w:eastAsia="Times New Roman" w:cs="Times New Roman"/>
                <w:color w:val="000000"/>
                <w:kern w:val="0"/>
                <w:sz w:val="20"/>
                <w:szCs w:val="20"/>
                <w:lang w:eastAsia="en-AU"/>
                <w14:ligatures w14:val="none"/>
              </w:rPr>
            </w:pPr>
            <w:r>
              <w:rPr>
                <w:sz w:val="20"/>
                <w:szCs w:val="20"/>
              </w:rPr>
              <w:fldChar w:fldCharType="begin">
                <w:fldData xml:space="preserve">PEVuZE5vdGU+PENpdGUgQXV0aG9yWWVhcj0iMSI+PEF1dGhvcj5IdWFuZzwvQXV0aG9yPjxZZWFy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</w:fldData>
              </w:fldChar>
            </w:r>
            <w:r>
              <w:rPr>
                <w:sz w:val="20"/>
                <w:szCs w:val="20"/>
              </w:rPr>
              <w:instrText xml:space="preserve"> ADDIN EN.CITE </w:instrText>
            </w:r>
            <w:r>
              <w:rPr>
                <w:sz w:val="20"/>
                <w:szCs w:val="20"/>
              </w:rPr>
              <w:fldChar w:fldCharType="begin">
                <w:fldData xml:space="preserve">PEVuZE5vdGU+PENpdGUgQXV0aG9yWWVhcj0iMSI+PEF1dGhvcj5IdWFuZzwvQXV0aG9yPjxZZWFy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Huang et al. (2020)</w:t>
            </w:r>
            <w:r>
              <w:rPr>
                <w:sz w:val="20"/>
                <w:szCs w:val="20"/>
              </w:rPr>
              <w:fldChar w:fldCharType="end"/>
            </w:r>
          </w:p>
        </w:tc>
        <w:tc>
          <w:tcPr>
            <w:tcW w:w="1842" w:type="dxa"/>
          </w:tcPr>
          <w:p w14:paraId="42AC4A8B" w14:textId="77777777" w:rsidR="000B7C18" w:rsidRPr="001D5149" w:rsidRDefault="000B7C1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Pr>
                <w:rFonts w:eastAsia="Times New Roman" w:cs="Times New Roman"/>
                <w:color w:val="000000"/>
                <w:kern w:val="0"/>
                <w:sz w:val="20"/>
                <w:szCs w:val="20"/>
                <w:lang w:eastAsia="en-AU"/>
                <w14:ligatures w14:val="none"/>
              </w:rPr>
              <w:t>LOW</w:t>
            </w:r>
          </w:p>
        </w:tc>
        <w:tc>
          <w:tcPr>
            <w:tcW w:w="1985" w:type="dxa"/>
          </w:tcPr>
          <w:p w14:paraId="66B486E4" w14:textId="77777777" w:rsidR="000B7C18" w:rsidRPr="009136F7" w:rsidRDefault="000B7C1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Pr>
                <w:rFonts w:eastAsia="Times New Roman" w:cs="Times New Roman"/>
                <w:color w:val="000000"/>
                <w:kern w:val="0"/>
                <w:sz w:val="20"/>
                <w:szCs w:val="20"/>
                <w:lang w:eastAsia="en-AU"/>
                <w14:ligatures w14:val="none"/>
              </w:rPr>
              <w:t>LOW</w:t>
            </w:r>
          </w:p>
        </w:tc>
        <w:tc>
          <w:tcPr>
            <w:tcW w:w="1984" w:type="dxa"/>
          </w:tcPr>
          <w:p w14:paraId="36A7D536" w14:textId="77777777" w:rsidR="000B7C18" w:rsidRPr="009136F7" w:rsidRDefault="000B7C1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Pr>
                <w:rFonts w:eastAsia="Times New Roman" w:cs="Times New Roman"/>
                <w:color w:val="000000"/>
                <w:kern w:val="0"/>
                <w:sz w:val="20"/>
                <w:szCs w:val="20"/>
                <w:lang w:eastAsia="en-AU"/>
                <w14:ligatures w14:val="none"/>
              </w:rPr>
              <w:t>LOW</w:t>
            </w:r>
          </w:p>
        </w:tc>
        <w:tc>
          <w:tcPr>
            <w:tcW w:w="1985" w:type="dxa"/>
          </w:tcPr>
          <w:p w14:paraId="5FAB402C" w14:textId="77777777" w:rsidR="000B7C18" w:rsidRPr="001D5149" w:rsidRDefault="000B7C1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Pr>
                <w:rFonts w:eastAsia="Times New Roman" w:cs="Times New Roman"/>
                <w:color w:val="000000"/>
                <w:kern w:val="0"/>
                <w:sz w:val="20"/>
                <w:szCs w:val="20"/>
                <w:lang w:eastAsia="en-AU"/>
                <w14:ligatures w14:val="none"/>
              </w:rPr>
              <w:t>LOW</w:t>
            </w:r>
          </w:p>
        </w:tc>
        <w:tc>
          <w:tcPr>
            <w:tcW w:w="877" w:type="dxa"/>
            <w:vMerge w:val="restart"/>
          </w:tcPr>
          <w:p w14:paraId="47C9C3BB" w14:textId="77777777" w:rsidR="000B7C18" w:rsidRPr="001D5149" w:rsidRDefault="000B7C18">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kern w:val="0"/>
                <w:sz w:val="20"/>
                <w:szCs w:val="20"/>
                <w:lang w:eastAsia="en-AU"/>
                <w14:ligatures w14:val="none"/>
              </w:rPr>
            </w:pPr>
            <w:r>
              <w:rPr>
                <w:rFonts w:eastAsia="Times New Roman" w:cs="Times New Roman"/>
                <w:b/>
                <w:bCs/>
                <w:color w:val="000000"/>
                <w:kern w:val="0"/>
                <w:sz w:val="20"/>
                <w:szCs w:val="20"/>
                <w:lang w:eastAsia="en-AU"/>
                <w14:ligatures w14:val="none"/>
              </w:rPr>
              <w:t>LOW</w:t>
            </w:r>
          </w:p>
        </w:tc>
        <w:tc>
          <w:tcPr>
            <w:tcW w:w="4651" w:type="dxa"/>
            <w:vMerge w:val="restart"/>
          </w:tcPr>
          <w:p w14:paraId="76137827" w14:textId="77777777" w:rsidR="000B7C18" w:rsidRDefault="000B7C18">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Well-conducted systematic review</w:t>
            </w:r>
          </w:p>
          <w:p w14:paraId="56DCA12D" w14:textId="77777777" w:rsidR="00306BAC" w:rsidRDefault="00306BAC">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p>
          <w:p w14:paraId="0FD9789A" w14:textId="77777777" w:rsidR="00306BAC" w:rsidRDefault="00306BAC">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p>
          <w:p w14:paraId="5B261E2F" w14:textId="77777777" w:rsidR="00EE788D" w:rsidRDefault="00EE788D">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p>
          <w:p w14:paraId="2266BE6B" w14:textId="77777777" w:rsidR="00306BAC" w:rsidRPr="001D5149" w:rsidRDefault="00306BAC">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p>
        </w:tc>
      </w:tr>
      <w:tr w:rsidR="000B7C18" w:rsidRPr="001D5149" w14:paraId="3D942D4F" w14:textId="77777777" w:rsidTr="006A4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59326D2E" w14:textId="77777777" w:rsidR="000B7C18" w:rsidRPr="001D5149" w:rsidRDefault="000B7C18">
            <w:pPr>
              <w:rPr>
                <w:rFonts w:eastAsia="Times New Roman" w:cs="Times New Roman"/>
                <w:color w:val="000000"/>
                <w:kern w:val="0"/>
                <w:sz w:val="20"/>
                <w:szCs w:val="20"/>
                <w:lang w:eastAsia="en-AU"/>
                <w14:ligatures w14:val="none"/>
              </w:rPr>
            </w:pPr>
          </w:p>
        </w:tc>
        <w:tc>
          <w:tcPr>
            <w:tcW w:w="1842" w:type="dxa"/>
          </w:tcPr>
          <w:p w14:paraId="7E937225" w14:textId="77777777" w:rsidR="000B7C18" w:rsidRPr="001D5149" w:rsidRDefault="000B7C1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1D5149">
              <w:rPr>
                <w:rFonts w:eastAsia="Times New Roman" w:cs="Times New Roman"/>
                <w:i/>
                <w:iCs/>
                <w:color w:val="000000"/>
                <w:kern w:val="0"/>
                <w:sz w:val="20"/>
                <w:szCs w:val="20"/>
                <w:lang w:eastAsia="en-AU"/>
                <w14:ligatures w14:val="none"/>
              </w:rPr>
              <w:t>No concerns</w:t>
            </w:r>
          </w:p>
        </w:tc>
        <w:tc>
          <w:tcPr>
            <w:tcW w:w="1985" w:type="dxa"/>
          </w:tcPr>
          <w:p w14:paraId="798EFFFB" w14:textId="77777777" w:rsidR="000B7C18" w:rsidRPr="009136F7" w:rsidRDefault="000B7C1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1D5149">
              <w:rPr>
                <w:rFonts w:eastAsia="Times New Roman" w:cs="Times New Roman"/>
                <w:i/>
                <w:iCs/>
                <w:color w:val="000000"/>
                <w:kern w:val="0"/>
                <w:sz w:val="20"/>
                <w:szCs w:val="20"/>
                <w:lang w:eastAsia="en-AU"/>
                <w14:ligatures w14:val="none"/>
              </w:rPr>
              <w:t>No concerns</w:t>
            </w:r>
          </w:p>
        </w:tc>
        <w:tc>
          <w:tcPr>
            <w:tcW w:w="1984" w:type="dxa"/>
          </w:tcPr>
          <w:p w14:paraId="7DFF3AD6" w14:textId="77777777" w:rsidR="000B7C18" w:rsidRPr="009136F7" w:rsidRDefault="000B7C1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1D5149">
              <w:rPr>
                <w:rFonts w:eastAsia="Times New Roman" w:cs="Times New Roman"/>
                <w:i/>
                <w:iCs/>
                <w:color w:val="000000"/>
                <w:kern w:val="0"/>
                <w:sz w:val="20"/>
                <w:szCs w:val="20"/>
                <w:lang w:eastAsia="en-AU"/>
                <w14:ligatures w14:val="none"/>
              </w:rPr>
              <w:t>No concerns</w:t>
            </w:r>
          </w:p>
        </w:tc>
        <w:tc>
          <w:tcPr>
            <w:tcW w:w="1985" w:type="dxa"/>
          </w:tcPr>
          <w:p w14:paraId="43813148" w14:textId="77777777" w:rsidR="000B7C18" w:rsidRPr="001D5149" w:rsidRDefault="000B7C1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1D5149">
              <w:rPr>
                <w:rFonts w:eastAsia="Times New Roman" w:cs="Times New Roman"/>
                <w:i/>
                <w:iCs/>
                <w:color w:val="000000"/>
                <w:kern w:val="0"/>
                <w:sz w:val="20"/>
                <w:szCs w:val="20"/>
                <w:lang w:eastAsia="en-AU"/>
                <w14:ligatures w14:val="none"/>
              </w:rPr>
              <w:t>No concerns</w:t>
            </w:r>
          </w:p>
        </w:tc>
        <w:tc>
          <w:tcPr>
            <w:tcW w:w="877" w:type="dxa"/>
            <w:vMerge/>
          </w:tcPr>
          <w:p w14:paraId="4E4C75A4" w14:textId="77777777" w:rsidR="000B7C18" w:rsidRPr="001D5149" w:rsidRDefault="000B7C18">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 w:val="20"/>
                <w:szCs w:val="20"/>
                <w:lang w:eastAsia="en-AU"/>
                <w14:ligatures w14:val="none"/>
              </w:rPr>
            </w:pPr>
          </w:p>
        </w:tc>
        <w:tc>
          <w:tcPr>
            <w:tcW w:w="4651" w:type="dxa"/>
            <w:vMerge/>
          </w:tcPr>
          <w:p w14:paraId="6649F04A" w14:textId="77777777" w:rsidR="000B7C18" w:rsidRPr="001D5149" w:rsidRDefault="000B7C18">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p>
        </w:tc>
      </w:tr>
      <w:tr w:rsidR="000B7C18" w:rsidRPr="001D5149" w14:paraId="708750C2" w14:textId="77777777" w:rsidTr="006A4BC9">
        <w:tc>
          <w:tcPr>
            <w:cnfStyle w:val="001000000000" w:firstRow="0" w:lastRow="0" w:firstColumn="1" w:lastColumn="0" w:oddVBand="0" w:evenVBand="0" w:oddHBand="0" w:evenHBand="0" w:firstRowFirstColumn="0" w:firstRowLastColumn="0" w:lastRowFirstColumn="0" w:lastRowLastColumn="0"/>
            <w:tcW w:w="14884" w:type="dxa"/>
            <w:gridSpan w:val="7"/>
            <w:shd w:val="clear" w:color="auto" w:fill="C1E4F5" w:themeFill="accent1" w:themeFillTint="33"/>
          </w:tcPr>
          <w:p w14:paraId="789B1526" w14:textId="77777777" w:rsidR="000B7C18" w:rsidRPr="001D5149" w:rsidRDefault="000B7C18">
            <w:pPr>
              <w:keepNext/>
              <w:rPr>
                <w:rFonts w:eastAsia="Times New Roman" w:cs="Times New Roman"/>
                <w:kern w:val="0"/>
                <w:sz w:val="20"/>
                <w:szCs w:val="20"/>
                <w:lang w:eastAsia="en-AU"/>
                <w14:ligatures w14:val="none"/>
              </w:rPr>
            </w:pPr>
            <w:r w:rsidRPr="00E22F5C">
              <w:rPr>
                <w:rFonts w:eastAsia="Times New Roman" w:cs="Times New Roman"/>
                <w:color w:val="000000" w:themeColor="text1"/>
                <w:kern w:val="0"/>
                <w:sz w:val="20"/>
                <w:szCs w:val="20"/>
                <w:lang w:eastAsia="en-AU"/>
                <w14:ligatures w14:val="none"/>
              </w:rPr>
              <w:lastRenderedPageBreak/>
              <w:t xml:space="preserve">Blood pressure in </w:t>
            </w:r>
            <w:r>
              <w:rPr>
                <w:rFonts w:eastAsia="Times New Roman" w:cs="Times New Roman"/>
                <w:color w:val="000000" w:themeColor="text1"/>
                <w:kern w:val="0"/>
                <w:sz w:val="20"/>
                <w:szCs w:val="20"/>
                <w:lang w:eastAsia="en-AU"/>
                <w14:ligatures w14:val="none"/>
              </w:rPr>
              <w:t>children</w:t>
            </w:r>
          </w:p>
        </w:tc>
      </w:tr>
      <w:tr w:rsidR="00306BAC" w:rsidRPr="001D5149" w14:paraId="662327D3" w14:textId="77777777" w:rsidTr="006A4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1232095B" w14:textId="04FE6074" w:rsidR="00306BAC" w:rsidRPr="00BB3F3C" w:rsidRDefault="00306BAC">
            <w:pPr>
              <w:rPr>
                <w:rFonts w:eastAsia="Times New Roman" w:cs="Times New Roman"/>
                <w:color w:val="000000"/>
                <w:kern w:val="0"/>
                <w:sz w:val="20"/>
                <w:szCs w:val="20"/>
                <w:lang w:eastAsia="en-AU"/>
                <w14:ligatures w14:val="none"/>
              </w:rPr>
            </w:pPr>
            <w:r>
              <w:rPr>
                <w:sz w:val="20"/>
                <w:szCs w:val="20"/>
              </w:rPr>
              <w:fldChar w:fldCharType="begin"/>
            </w:r>
            <w:r w:rsidRPr="00042618">
              <w:rPr>
                <w:sz w:val="20"/>
                <w:szCs w:val="20"/>
              </w:rPr>
              <w:instrText xml:space="preserve"> ADDIN EN.CITE &lt;EndNote&gt;&lt;Cite AuthorYear="1"&gt;&lt;Author&gt;Leyvraz&lt;/Author&gt;&lt;Year&gt;2018&lt;/Year&gt;&lt;RecNum&gt;260&lt;/RecNum&gt;&lt;DisplayText&gt;Leyvraz et al. (2018)&lt;/DisplayText&gt;&lt;record&gt;&lt;rec-number&gt;260&lt;/rec-number&gt;&lt;foreign-keys&gt;&lt;key app="EN" db-id="wwsdv2wwp29fenerv0kx5tw9zxtx2fdrprx2" timestamp="1762743452"&gt;260&lt;/key&gt;&lt;/foreign-keys&gt;&lt;ref-type name="Journal Article"&gt;17&lt;/ref-type&gt;&lt;contributors&gt;&lt;authors&gt;&lt;author&gt;Leyvraz, M.&lt;/author&gt;&lt;author&gt;Chatelan, A.&lt;/author&gt;&lt;author&gt;da Costa, B. R.&lt;/author&gt;&lt;author&gt;Taffé, P.&lt;/author&gt;&lt;author&gt;Paradis, G.&lt;/author&gt;&lt;author&gt;Bovet, P.&lt;/author&gt;&lt;author&gt;Bochud, M.&lt;/author&gt;&lt;author&gt;Chiolero, A.&lt;/author&gt;&lt;/authors&gt;&lt;/contributors&gt;&lt;auth-address&gt;Institute of Social and Preventive Medicine (IUMSP), Lausanne University Hospital (CHUV), Lausanne, Switzerland.&amp;#xD;Institute of Primary Health Care (BIHAM), University of Bern, Bern, Switzerland.&amp;#xD;Department of Epidemiology, Biostatistics and Occupational Health, McGill University, Montreal, Canada.&lt;/auth-address&gt;&lt;titles&gt;&lt;title&gt;Sodium intake and blood pressure in children and adolescents: a systematic review and meta-analysis of experimental and observational studies&lt;/title&gt;&lt;secondary-title&gt;Int J Epidemiol&lt;/secondary-title&gt;&lt;/titles&gt;&lt;periodical&gt;&lt;full-title&gt;Int J Epidemiol&lt;/full-title&gt;&lt;/periodical&gt;&lt;pages&gt;1796-1810&lt;/pages&gt;&lt;volume&gt;47&lt;/volume&gt;&lt;number&gt;6&lt;/number&gt;&lt;keywords&gt;&lt;keyword&gt;Adolescent&lt;/keyword&gt;&lt;keyword&gt;*Blood Pressure&lt;/keyword&gt;&lt;keyword&gt;Blood Pressure Determination&lt;/keyword&gt;&lt;keyword&gt;Child&lt;/keyword&gt;&lt;keyword&gt;Humans&lt;/keyword&gt;&lt;keyword&gt;Hypertension/*prevention &amp;amp; control&lt;/keyword&gt;&lt;keyword&gt;Observational Studies as Topic&lt;/keyword&gt;&lt;keyword&gt;Overweight/*etiology&lt;/keyword&gt;&lt;keyword&gt;Sodium Chloride, Dietary/*administration &amp;amp; dosage&lt;/keyword&gt;&lt;/keywords&gt;&lt;dates&gt;&lt;year&gt;2018&lt;/year&gt;&lt;pub-dates&gt;&lt;date&gt;Dec 1&lt;/date&gt;&lt;/pub-dates&gt;&lt;/dates&gt;&lt;isbn&gt;0300-5771&lt;/isbn&gt;&lt;accession-num&gt;29955869&lt;/accession-num&gt;&lt;urls&gt;&lt;/urls&gt;&lt;electronic-resource-num&gt;10.1093/ije/dyy121&lt;/electronic-resource-num&gt;&lt;remote-database-provider&gt;NLM&lt;/remote-database-provider&gt;&lt;language&gt;eng&lt;/language&gt;&lt;/record&gt;&lt;/Cite&gt;&lt;/EndNote&gt;</w:instrText>
            </w:r>
            <w:r>
              <w:rPr>
                <w:sz w:val="20"/>
                <w:szCs w:val="20"/>
              </w:rPr>
              <w:fldChar w:fldCharType="separate"/>
            </w:r>
            <w:r w:rsidRPr="00042618">
              <w:rPr>
                <w:noProof/>
                <w:sz w:val="20"/>
                <w:szCs w:val="20"/>
              </w:rPr>
              <w:t>Leyvraz</w:t>
            </w:r>
            <w:r>
              <w:rPr>
                <w:b w:val="0"/>
                <w:bCs w:val="0"/>
                <w:noProof/>
                <w:sz w:val="20"/>
                <w:szCs w:val="20"/>
              </w:rPr>
              <w:t xml:space="preserve"> </w:t>
            </w:r>
            <w:r w:rsidRPr="00042618">
              <w:rPr>
                <w:noProof/>
                <w:sz w:val="20"/>
                <w:szCs w:val="20"/>
              </w:rPr>
              <w:t>et al. (2018)</w:t>
            </w:r>
            <w:r>
              <w:rPr>
                <w:sz w:val="20"/>
                <w:szCs w:val="20"/>
              </w:rPr>
              <w:fldChar w:fldCharType="end"/>
            </w:r>
          </w:p>
        </w:tc>
        <w:tc>
          <w:tcPr>
            <w:tcW w:w="1842" w:type="dxa"/>
          </w:tcPr>
          <w:p w14:paraId="249DAAAC" w14:textId="7B082649" w:rsidR="00306BAC" w:rsidRPr="00213314" w:rsidRDefault="00306BAC">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213314">
              <w:rPr>
                <w:rFonts w:eastAsia="Times New Roman" w:cs="Times New Roman"/>
                <w:color w:val="000000"/>
                <w:kern w:val="0"/>
                <w:sz w:val="20"/>
                <w:szCs w:val="20"/>
                <w:lang w:eastAsia="en-AU"/>
                <w14:ligatures w14:val="none"/>
              </w:rPr>
              <w:t>HIGH</w:t>
            </w:r>
          </w:p>
        </w:tc>
        <w:tc>
          <w:tcPr>
            <w:tcW w:w="1985" w:type="dxa"/>
          </w:tcPr>
          <w:p w14:paraId="4FA94E51" w14:textId="70E1B0B7" w:rsidR="00306BAC" w:rsidRPr="00213314" w:rsidRDefault="00306BAC">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213314">
              <w:rPr>
                <w:rFonts w:eastAsia="Times New Roman" w:cs="Times New Roman"/>
                <w:color w:val="000000"/>
                <w:kern w:val="0"/>
                <w:sz w:val="20"/>
                <w:szCs w:val="20"/>
                <w:lang w:eastAsia="en-AU"/>
                <w14:ligatures w14:val="none"/>
              </w:rPr>
              <w:t>LOW</w:t>
            </w:r>
          </w:p>
        </w:tc>
        <w:tc>
          <w:tcPr>
            <w:tcW w:w="1984" w:type="dxa"/>
          </w:tcPr>
          <w:p w14:paraId="2D2E5E5B" w14:textId="147D9D06" w:rsidR="00306BAC" w:rsidRPr="00213314" w:rsidRDefault="00306BAC">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213314">
              <w:rPr>
                <w:rFonts w:eastAsia="Times New Roman" w:cs="Times New Roman"/>
                <w:color w:val="000000"/>
                <w:kern w:val="0"/>
                <w:sz w:val="20"/>
                <w:szCs w:val="20"/>
                <w:lang w:eastAsia="en-AU"/>
                <w14:ligatures w14:val="none"/>
              </w:rPr>
              <w:t>LOW</w:t>
            </w:r>
          </w:p>
        </w:tc>
        <w:tc>
          <w:tcPr>
            <w:tcW w:w="1985" w:type="dxa"/>
          </w:tcPr>
          <w:p w14:paraId="66E6963C" w14:textId="1D9D22A9" w:rsidR="00306BAC" w:rsidRPr="00213314" w:rsidRDefault="009C65BE">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UNCLEAR</w:t>
            </w:r>
          </w:p>
        </w:tc>
        <w:tc>
          <w:tcPr>
            <w:tcW w:w="877" w:type="dxa"/>
            <w:vMerge w:val="restart"/>
          </w:tcPr>
          <w:p w14:paraId="371E5915" w14:textId="37960634" w:rsidR="00306BAC" w:rsidRPr="001D5149" w:rsidRDefault="00306BAC">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 w:val="20"/>
                <w:szCs w:val="20"/>
                <w:lang w:eastAsia="en-AU"/>
                <w14:ligatures w14:val="none"/>
              </w:rPr>
            </w:pPr>
            <w:r>
              <w:rPr>
                <w:rFonts w:eastAsia="Times New Roman" w:cs="Times New Roman"/>
                <w:b/>
                <w:bCs/>
                <w:color w:val="000000"/>
                <w:kern w:val="0"/>
                <w:sz w:val="20"/>
                <w:szCs w:val="20"/>
                <w:lang w:eastAsia="en-AU"/>
                <w14:ligatures w14:val="none"/>
              </w:rPr>
              <w:t>HIGH</w:t>
            </w:r>
          </w:p>
        </w:tc>
        <w:tc>
          <w:tcPr>
            <w:tcW w:w="4651" w:type="dxa"/>
            <w:vMerge w:val="restart"/>
          </w:tcPr>
          <w:p w14:paraId="0C2F0FAA" w14:textId="77777777" w:rsidR="00C566DB" w:rsidRDefault="00C566DB" w:rsidP="004950A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 xml:space="preserve">Concerns about </w:t>
            </w:r>
            <w:proofErr w:type="spellStart"/>
            <w:r>
              <w:rPr>
                <w:rFonts w:eastAsia="Times New Roman" w:cs="Times New Roman"/>
                <w:color w:val="000000"/>
                <w:kern w:val="0"/>
                <w:sz w:val="20"/>
                <w:szCs w:val="20"/>
                <w:lang w:eastAsia="en-AU"/>
                <w14:ligatures w14:val="none"/>
              </w:rPr>
              <w:t>RoB</w:t>
            </w:r>
            <w:proofErr w:type="spellEnd"/>
            <w:r>
              <w:rPr>
                <w:rFonts w:eastAsia="Times New Roman" w:cs="Times New Roman"/>
                <w:color w:val="000000"/>
                <w:kern w:val="0"/>
                <w:sz w:val="20"/>
                <w:szCs w:val="20"/>
                <w:lang w:eastAsia="en-AU"/>
                <w14:ligatures w14:val="none"/>
              </w:rPr>
              <w:t xml:space="preserve"> relate to </w:t>
            </w:r>
            <w:r w:rsidR="00306BAC">
              <w:rPr>
                <w:rFonts w:eastAsia="Times New Roman" w:cs="Times New Roman"/>
                <w:color w:val="000000"/>
                <w:kern w:val="0"/>
                <w:sz w:val="20"/>
                <w:szCs w:val="20"/>
                <w:lang w:eastAsia="en-AU"/>
                <w14:ligatures w14:val="none"/>
              </w:rPr>
              <w:t xml:space="preserve">the exclusion of conference abstracts and </w:t>
            </w:r>
            <w:r>
              <w:rPr>
                <w:rFonts w:eastAsia="Times New Roman" w:cs="Times New Roman"/>
                <w:color w:val="000000"/>
                <w:kern w:val="0"/>
                <w:sz w:val="20"/>
                <w:szCs w:val="20"/>
                <w:lang w:eastAsia="en-AU"/>
                <w14:ligatures w14:val="none"/>
              </w:rPr>
              <w:t xml:space="preserve">studies published in languages other than </w:t>
            </w:r>
            <w:r w:rsidR="00306BAC">
              <w:rPr>
                <w:rFonts w:eastAsia="Times New Roman" w:cs="Times New Roman"/>
                <w:color w:val="000000"/>
                <w:kern w:val="0"/>
                <w:sz w:val="20"/>
                <w:szCs w:val="20"/>
                <w:lang w:eastAsia="en-AU"/>
                <w14:ligatures w14:val="none"/>
              </w:rPr>
              <w:t>English</w:t>
            </w:r>
            <w:r>
              <w:rPr>
                <w:rFonts w:eastAsia="Times New Roman" w:cs="Times New Roman"/>
                <w:color w:val="000000"/>
                <w:kern w:val="0"/>
                <w:sz w:val="20"/>
                <w:szCs w:val="20"/>
                <w:lang w:eastAsia="en-AU"/>
                <w14:ligatures w14:val="none"/>
              </w:rPr>
              <w:t xml:space="preserve">, </w:t>
            </w:r>
            <w:r w:rsidR="00306BAC">
              <w:rPr>
                <w:rFonts w:eastAsia="Times New Roman" w:cs="Times New Roman"/>
                <w:color w:val="000000"/>
                <w:kern w:val="0"/>
                <w:sz w:val="20"/>
                <w:szCs w:val="20"/>
                <w:lang w:eastAsia="en-AU"/>
                <w14:ligatures w14:val="none"/>
              </w:rPr>
              <w:t xml:space="preserve">French, German, </w:t>
            </w:r>
            <w:r>
              <w:rPr>
                <w:rFonts w:eastAsia="Times New Roman" w:cs="Times New Roman"/>
                <w:color w:val="000000"/>
                <w:kern w:val="0"/>
                <w:sz w:val="20"/>
                <w:szCs w:val="20"/>
                <w:lang w:eastAsia="en-AU"/>
                <w14:ligatures w14:val="none"/>
              </w:rPr>
              <w:t xml:space="preserve">or </w:t>
            </w:r>
            <w:r w:rsidR="00306BAC">
              <w:rPr>
                <w:rFonts w:eastAsia="Times New Roman" w:cs="Times New Roman"/>
                <w:color w:val="000000"/>
                <w:kern w:val="0"/>
                <w:sz w:val="20"/>
                <w:szCs w:val="20"/>
                <w:lang w:eastAsia="en-AU"/>
                <w14:ligatures w14:val="none"/>
              </w:rPr>
              <w:t>Spanish.</w:t>
            </w:r>
          </w:p>
          <w:p w14:paraId="224C59F1" w14:textId="0EF63922" w:rsidR="00306BAC" w:rsidRPr="001D5149" w:rsidRDefault="00C566DB" w:rsidP="00C566DB">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Given the analytic decisions made (e.g. limiting dose-response to ‘high quality measurement’ rather than more conventional risk of bias judgements), the lack of detail in pre-specified analyses is a major limitation. The review findings should be interpreted with caution in view of the review’s risk of bias.</w:t>
            </w:r>
          </w:p>
        </w:tc>
      </w:tr>
      <w:tr w:rsidR="00306BAC" w:rsidRPr="001D5149" w14:paraId="74C664E1" w14:textId="77777777" w:rsidTr="006A4BC9">
        <w:tc>
          <w:tcPr>
            <w:cnfStyle w:val="001000000000" w:firstRow="0" w:lastRow="0" w:firstColumn="1" w:lastColumn="0" w:oddVBand="0" w:evenVBand="0" w:oddHBand="0" w:evenHBand="0" w:firstRowFirstColumn="0" w:firstRowLastColumn="0" w:lastRowFirstColumn="0" w:lastRowLastColumn="0"/>
            <w:tcW w:w="1560" w:type="dxa"/>
            <w:vMerge/>
          </w:tcPr>
          <w:p w14:paraId="6DBBA91C" w14:textId="77777777" w:rsidR="00306BAC" w:rsidRPr="00BB3F3C" w:rsidRDefault="00306BAC">
            <w:pPr>
              <w:rPr>
                <w:rFonts w:eastAsia="Times New Roman" w:cs="Times New Roman"/>
                <w:color w:val="000000"/>
                <w:kern w:val="0"/>
                <w:sz w:val="20"/>
                <w:szCs w:val="20"/>
                <w:lang w:eastAsia="en-AU"/>
                <w14:ligatures w14:val="none"/>
              </w:rPr>
            </w:pPr>
          </w:p>
        </w:tc>
        <w:tc>
          <w:tcPr>
            <w:tcW w:w="1842" w:type="dxa"/>
          </w:tcPr>
          <w:p w14:paraId="535380BF" w14:textId="626DC93F" w:rsidR="00306BAC" w:rsidRPr="001D5149" w:rsidRDefault="00306BAC">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Pr>
                <w:rFonts w:eastAsia="Times New Roman" w:cs="Times New Roman"/>
                <w:i/>
                <w:iCs/>
                <w:color w:val="000000"/>
                <w:kern w:val="0"/>
                <w:sz w:val="20"/>
                <w:szCs w:val="20"/>
                <w:lang w:eastAsia="en-AU"/>
                <w14:ligatures w14:val="none"/>
              </w:rPr>
              <w:t>Conference proceedings were excluded</w:t>
            </w:r>
            <w:r w:rsidR="00C57358">
              <w:rPr>
                <w:rFonts w:eastAsia="Times New Roman" w:cs="Times New Roman"/>
                <w:i/>
                <w:iCs/>
                <w:color w:val="000000"/>
                <w:kern w:val="0"/>
                <w:sz w:val="20"/>
                <w:szCs w:val="20"/>
                <w:lang w:eastAsia="en-AU"/>
                <w14:ligatures w14:val="none"/>
              </w:rPr>
              <w:t xml:space="preserve"> along with publications not in English, French, German or Spanish.</w:t>
            </w:r>
            <w:r w:rsidR="00C57358">
              <w:rPr>
                <w:rFonts w:eastAsia="Times New Roman" w:cs="Times New Roman"/>
                <w:i/>
                <w:iCs/>
                <w:color w:val="000000"/>
                <w:kern w:val="0"/>
                <w:sz w:val="20"/>
                <w:szCs w:val="20"/>
                <w:lang w:eastAsia="en-AU"/>
                <w14:ligatures w14:val="none"/>
              </w:rPr>
              <w:br/>
            </w:r>
            <w:r w:rsidR="00C57358" w:rsidRPr="00C57358">
              <w:rPr>
                <w:rFonts w:eastAsia="Times New Roman" w:cs="Times New Roman"/>
                <w:i/>
                <w:iCs/>
                <w:color w:val="000000"/>
                <w:kern w:val="0"/>
                <w:sz w:val="20"/>
                <w:szCs w:val="20"/>
                <w:lang w:eastAsia="en-AU"/>
                <w14:ligatures w14:val="none"/>
              </w:rPr>
              <w:t>Detail was missing in the protocol concerning the planned analyses.</w:t>
            </w:r>
          </w:p>
        </w:tc>
        <w:tc>
          <w:tcPr>
            <w:tcW w:w="1985" w:type="dxa"/>
          </w:tcPr>
          <w:p w14:paraId="457EF6AE" w14:textId="77777777" w:rsidR="00306BAC" w:rsidRPr="009136F7" w:rsidRDefault="00306BAC">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p>
        </w:tc>
        <w:tc>
          <w:tcPr>
            <w:tcW w:w="1984" w:type="dxa"/>
          </w:tcPr>
          <w:p w14:paraId="32CA3C24" w14:textId="77777777" w:rsidR="00306BAC" w:rsidRPr="009136F7" w:rsidRDefault="00306BAC">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p>
        </w:tc>
        <w:tc>
          <w:tcPr>
            <w:tcW w:w="1985" w:type="dxa"/>
          </w:tcPr>
          <w:p w14:paraId="1371FD22" w14:textId="642832A1" w:rsidR="00306BAC" w:rsidRPr="001D5149" w:rsidRDefault="009C65BE">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9C65BE">
              <w:rPr>
                <w:rFonts w:eastAsia="Times New Roman" w:cs="Times New Roman"/>
                <w:i/>
                <w:iCs/>
                <w:color w:val="000000"/>
                <w:kern w:val="0"/>
                <w:sz w:val="20"/>
                <w:szCs w:val="20"/>
                <w:lang w:eastAsia="en-AU"/>
                <w14:ligatures w14:val="none"/>
              </w:rPr>
              <w:t>Analys</w:t>
            </w:r>
            <w:r w:rsidR="00C566DB">
              <w:rPr>
                <w:rFonts w:eastAsia="Times New Roman" w:cs="Times New Roman"/>
                <w:i/>
                <w:iCs/>
                <w:color w:val="000000"/>
                <w:kern w:val="0"/>
                <w:sz w:val="20"/>
                <w:szCs w:val="20"/>
                <w:lang w:eastAsia="en-AU"/>
                <w14:ligatures w14:val="none"/>
              </w:rPr>
              <w:t>e</w:t>
            </w:r>
            <w:r w:rsidRPr="009C65BE">
              <w:rPr>
                <w:rFonts w:eastAsia="Times New Roman" w:cs="Times New Roman"/>
                <w:i/>
                <w:iCs/>
                <w:color w:val="000000"/>
                <w:kern w:val="0"/>
                <w:sz w:val="20"/>
                <w:szCs w:val="20"/>
                <w:lang w:eastAsia="en-AU"/>
                <w14:ligatures w14:val="none"/>
              </w:rPr>
              <w:t xml:space="preserve">s </w:t>
            </w:r>
            <w:r w:rsidR="006F5403">
              <w:rPr>
                <w:rFonts w:eastAsia="Times New Roman" w:cs="Times New Roman"/>
                <w:i/>
                <w:iCs/>
                <w:color w:val="000000"/>
                <w:kern w:val="0"/>
                <w:sz w:val="20"/>
                <w:szCs w:val="20"/>
                <w:lang w:eastAsia="en-AU"/>
                <w14:ligatures w14:val="none"/>
              </w:rPr>
              <w:t xml:space="preserve">stated as </w:t>
            </w:r>
            <w:r w:rsidRPr="009C65BE">
              <w:rPr>
                <w:rFonts w:eastAsia="Times New Roman" w:cs="Times New Roman"/>
                <w:i/>
                <w:iCs/>
                <w:color w:val="000000"/>
                <w:kern w:val="0"/>
                <w:sz w:val="20"/>
                <w:szCs w:val="20"/>
                <w:lang w:eastAsia="en-AU"/>
                <w14:ligatures w14:val="none"/>
              </w:rPr>
              <w:t>pre-defined were performed, but detail was missing in the protocol concerning the planned analyse</w:t>
            </w:r>
            <w:r>
              <w:rPr>
                <w:rFonts w:eastAsia="Times New Roman" w:cs="Times New Roman"/>
                <w:i/>
                <w:iCs/>
                <w:color w:val="000000"/>
                <w:kern w:val="0"/>
                <w:sz w:val="20"/>
                <w:szCs w:val="20"/>
                <w:lang w:eastAsia="en-AU"/>
                <w14:ligatures w14:val="none"/>
              </w:rPr>
              <w:t>s.</w:t>
            </w:r>
          </w:p>
        </w:tc>
        <w:tc>
          <w:tcPr>
            <w:tcW w:w="877" w:type="dxa"/>
            <w:vMerge/>
          </w:tcPr>
          <w:p w14:paraId="1708C2D7" w14:textId="77777777" w:rsidR="00306BAC" w:rsidRPr="001D5149" w:rsidRDefault="00306BAC">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kern w:val="0"/>
                <w:sz w:val="20"/>
                <w:szCs w:val="20"/>
                <w:lang w:eastAsia="en-AU"/>
                <w14:ligatures w14:val="none"/>
              </w:rPr>
            </w:pPr>
          </w:p>
        </w:tc>
        <w:tc>
          <w:tcPr>
            <w:tcW w:w="4651" w:type="dxa"/>
            <w:vMerge/>
          </w:tcPr>
          <w:p w14:paraId="46278281" w14:textId="3C8AA85A" w:rsidR="00306BAC" w:rsidRPr="001D5149" w:rsidRDefault="00306BAC" w:rsidP="004950A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p>
        </w:tc>
      </w:tr>
      <w:tr w:rsidR="000B7C18" w:rsidRPr="001D5149" w14:paraId="2B2E8DDB" w14:textId="77777777" w:rsidTr="006A4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4" w:type="dxa"/>
            <w:gridSpan w:val="7"/>
            <w:shd w:val="clear" w:color="auto" w:fill="C1E4F5" w:themeFill="accent1" w:themeFillTint="33"/>
          </w:tcPr>
          <w:p w14:paraId="7A18F9A8" w14:textId="77777777" w:rsidR="000B7C18" w:rsidRPr="00BB3F3C" w:rsidRDefault="000B7C18">
            <w:pPr>
              <w:rPr>
                <w:rFonts w:eastAsia="Times New Roman" w:cs="Times New Roman"/>
                <w:kern w:val="0"/>
                <w:sz w:val="20"/>
                <w:szCs w:val="20"/>
                <w:lang w:eastAsia="en-AU"/>
                <w14:ligatures w14:val="none"/>
              </w:rPr>
            </w:pPr>
            <w:r>
              <w:rPr>
                <w:rFonts w:eastAsia="Times New Roman" w:cs="Times New Roman"/>
                <w:color w:val="000000" w:themeColor="text1"/>
                <w:kern w:val="0"/>
                <w:sz w:val="20"/>
                <w:szCs w:val="20"/>
                <w:lang w:eastAsia="en-AU"/>
                <w14:ligatures w14:val="none"/>
              </w:rPr>
              <w:t>Other cardiovascular outcomes in adults</w:t>
            </w:r>
          </w:p>
        </w:tc>
      </w:tr>
      <w:tr w:rsidR="007E7F25" w:rsidRPr="001D5149" w14:paraId="6C9791FB" w14:textId="77777777" w:rsidTr="006A4BC9">
        <w:tc>
          <w:tcPr>
            <w:cnfStyle w:val="001000000000" w:firstRow="0" w:lastRow="0" w:firstColumn="1" w:lastColumn="0" w:oddVBand="0" w:evenVBand="0" w:oddHBand="0" w:evenHBand="0" w:firstRowFirstColumn="0" w:firstRowLastColumn="0" w:lastRowFirstColumn="0" w:lastRowLastColumn="0"/>
            <w:tcW w:w="1560" w:type="dxa"/>
            <w:vMerge w:val="restart"/>
          </w:tcPr>
          <w:p w14:paraId="07C1D6D3" w14:textId="51E12321" w:rsidR="007E7F25" w:rsidRPr="00284440" w:rsidRDefault="007E7F25">
            <w:pPr>
              <w:rPr>
                <w:rFonts w:eastAsia="Times New Roman" w:cs="Times New Roman"/>
                <w:color w:val="000000"/>
                <w:kern w:val="0"/>
                <w:sz w:val="20"/>
                <w:szCs w:val="20"/>
                <w:lang w:eastAsia="en-AU"/>
                <w14:ligatures w14:val="none"/>
              </w:rPr>
            </w:pPr>
            <w:r w:rsidRPr="00284440">
              <w:rPr>
                <w:sz w:val="20"/>
                <w:szCs w:val="20"/>
              </w:rPr>
              <w:fldChar w:fldCharType="begin">
                <w:fldData xml:space="preserve">PEVuZE5vdGU+PENpdGUgQXV0aG9yWWVhcj0iMSI+PEF1dGhvcj5GaWxpcHBpbmk8L0F1dGhvcj48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</w:fldData>
              </w:fldChar>
            </w:r>
            <w:r w:rsidRPr="00284440">
              <w:rPr>
                <w:sz w:val="20"/>
                <w:szCs w:val="20"/>
              </w:rPr>
              <w:instrText xml:space="preserve"> ADDIN EN.CITE </w:instrText>
            </w:r>
            <w:r w:rsidRPr="00284440">
              <w:rPr>
                <w:sz w:val="20"/>
                <w:szCs w:val="20"/>
              </w:rPr>
              <w:fldChar w:fldCharType="begin">
                <w:fldData xml:space="preserve">PEVuZE5vdGU+PENpdGUgQXV0aG9yWWVhcj0iMSI+PEF1dGhvcj5GaWxpcHBpbmk8L0F1dGhvcj48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</w:fldData>
              </w:fldChar>
            </w:r>
            <w:r w:rsidRPr="00284440">
              <w:rPr>
                <w:sz w:val="20"/>
                <w:szCs w:val="20"/>
              </w:rPr>
              <w:instrText xml:space="preserve"> ADDIN EN.CITE.DATA </w:instrText>
            </w:r>
            <w:r w:rsidRPr="00284440">
              <w:rPr>
                <w:sz w:val="20"/>
                <w:szCs w:val="20"/>
              </w:rPr>
            </w:r>
            <w:r w:rsidRPr="00284440">
              <w:rPr>
                <w:sz w:val="20"/>
                <w:szCs w:val="20"/>
              </w:rPr>
              <w:fldChar w:fldCharType="end"/>
            </w:r>
            <w:r w:rsidRPr="00284440">
              <w:rPr>
                <w:sz w:val="20"/>
                <w:szCs w:val="20"/>
              </w:rPr>
            </w:r>
            <w:r w:rsidRPr="00284440">
              <w:rPr>
                <w:sz w:val="20"/>
                <w:szCs w:val="20"/>
              </w:rPr>
              <w:fldChar w:fldCharType="separate"/>
            </w:r>
            <w:r w:rsidRPr="00284440">
              <w:rPr>
                <w:noProof/>
                <w:sz w:val="20"/>
                <w:szCs w:val="20"/>
              </w:rPr>
              <w:t>Filippini et al. (2022)</w:t>
            </w:r>
            <w:r w:rsidRPr="00284440">
              <w:rPr>
                <w:sz w:val="20"/>
                <w:szCs w:val="20"/>
              </w:rPr>
              <w:fldChar w:fldCharType="end"/>
            </w:r>
          </w:p>
        </w:tc>
        <w:tc>
          <w:tcPr>
            <w:tcW w:w="1842" w:type="dxa"/>
          </w:tcPr>
          <w:p w14:paraId="325B03C4" w14:textId="3B296EEC" w:rsidR="007E7F25" w:rsidRPr="007E7F25" w:rsidRDefault="00747D77">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LOW</w:t>
            </w:r>
          </w:p>
        </w:tc>
        <w:tc>
          <w:tcPr>
            <w:tcW w:w="1985" w:type="dxa"/>
          </w:tcPr>
          <w:p w14:paraId="68AC48FF" w14:textId="10AA58BA" w:rsidR="007E7F25" w:rsidRPr="00747D77" w:rsidRDefault="00747D77">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747D77">
              <w:rPr>
                <w:rFonts w:eastAsia="Times New Roman" w:cs="Times New Roman"/>
                <w:color w:val="000000"/>
                <w:kern w:val="0"/>
                <w:sz w:val="20"/>
                <w:szCs w:val="20"/>
                <w:lang w:eastAsia="en-AU"/>
                <w14:ligatures w14:val="none"/>
              </w:rPr>
              <w:t>HIGH</w:t>
            </w:r>
          </w:p>
        </w:tc>
        <w:tc>
          <w:tcPr>
            <w:tcW w:w="1984" w:type="dxa"/>
          </w:tcPr>
          <w:p w14:paraId="347953D3" w14:textId="2B5E4803" w:rsidR="007E7F25" w:rsidRPr="00747D77" w:rsidRDefault="00747D77">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UNCLEAR</w:t>
            </w:r>
          </w:p>
        </w:tc>
        <w:tc>
          <w:tcPr>
            <w:tcW w:w="1985" w:type="dxa"/>
          </w:tcPr>
          <w:p w14:paraId="2D91A2CA" w14:textId="79CEB969" w:rsidR="007E7F25" w:rsidRPr="00747D77" w:rsidRDefault="00747D77">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LOW</w:t>
            </w:r>
          </w:p>
        </w:tc>
        <w:tc>
          <w:tcPr>
            <w:tcW w:w="877" w:type="dxa"/>
            <w:vMerge w:val="restart"/>
          </w:tcPr>
          <w:p w14:paraId="471EF0C1" w14:textId="49774375" w:rsidR="007E7F25" w:rsidRPr="007E7F25" w:rsidRDefault="007E7F25">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kern w:val="0"/>
                <w:sz w:val="20"/>
                <w:szCs w:val="20"/>
                <w:lang w:eastAsia="en-AU"/>
                <w14:ligatures w14:val="none"/>
              </w:rPr>
            </w:pPr>
            <w:r>
              <w:rPr>
                <w:rFonts w:eastAsia="Times New Roman" w:cs="Times New Roman"/>
                <w:b/>
                <w:bCs/>
                <w:color w:val="000000"/>
                <w:kern w:val="0"/>
                <w:sz w:val="20"/>
                <w:szCs w:val="20"/>
                <w:lang w:eastAsia="en-AU"/>
                <w14:ligatures w14:val="none"/>
              </w:rPr>
              <w:t>HIGH</w:t>
            </w:r>
          </w:p>
        </w:tc>
        <w:tc>
          <w:tcPr>
            <w:tcW w:w="4651" w:type="dxa"/>
            <w:vMerge w:val="restart"/>
          </w:tcPr>
          <w:p w14:paraId="030BE299" w14:textId="1DE9E451" w:rsidR="00DC1AC8" w:rsidRPr="00102B30" w:rsidRDefault="00DC1AC8" w:rsidP="00DC1AC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102B30">
              <w:rPr>
                <w:rFonts w:eastAsia="Times New Roman" w:cs="Times New Roman"/>
                <w:color w:val="000000"/>
                <w:kern w:val="0"/>
                <w:sz w:val="20"/>
                <w:szCs w:val="20"/>
                <w:lang w:eastAsia="en-AU"/>
                <w14:ligatures w14:val="none"/>
              </w:rPr>
              <w:t xml:space="preserve">Concerns about </w:t>
            </w:r>
            <w:proofErr w:type="spellStart"/>
            <w:r w:rsidRPr="00102B30">
              <w:rPr>
                <w:rFonts w:eastAsia="Times New Roman" w:cs="Times New Roman"/>
                <w:color w:val="000000"/>
                <w:kern w:val="0"/>
                <w:sz w:val="20"/>
                <w:szCs w:val="20"/>
                <w:lang w:eastAsia="en-AU"/>
                <w14:ligatures w14:val="none"/>
              </w:rPr>
              <w:t>RoB</w:t>
            </w:r>
            <w:proofErr w:type="spellEnd"/>
            <w:r w:rsidRPr="00102B30">
              <w:rPr>
                <w:rFonts w:eastAsia="Times New Roman" w:cs="Times New Roman"/>
                <w:color w:val="000000"/>
                <w:kern w:val="0"/>
                <w:sz w:val="20"/>
                <w:szCs w:val="20"/>
                <w:lang w:eastAsia="en-AU"/>
                <w14:ligatures w14:val="none"/>
              </w:rPr>
              <w:t xml:space="preserve"> relate to </w:t>
            </w:r>
            <w:r w:rsidR="00657000">
              <w:rPr>
                <w:rFonts w:eastAsia="Times New Roman" w:cs="Times New Roman"/>
                <w:color w:val="000000"/>
                <w:kern w:val="0"/>
                <w:sz w:val="20"/>
                <w:szCs w:val="20"/>
                <w:lang w:eastAsia="en-AU"/>
                <w14:ligatures w14:val="none"/>
              </w:rPr>
              <w:t xml:space="preserve">inadequacies in the </w:t>
            </w:r>
            <w:r w:rsidRPr="00102B30">
              <w:rPr>
                <w:rFonts w:eastAsia="Times New Roman" w:cs="Times New Roman"/>
                <w:color w:val="000000"/>
                <w:kern w:val="0"/>
                <w:sz w:val="20"/>
                <w:szCs w:val="20"/>
                <w:lang w:eastAsia="en-AU"/>
                <w14:ligatures w14:val="none"/>
              </w:rPr>
              <w:t>search</w:t>
            </w:r>
            <w:r w:rsidR="00657000">
              <w:rPr>
                <w:rFonts w:eastAsia="Times New Roman" w:cs="Times New Roman"/>
                <w:color w:val="000000"/>
                <w:kern w:val="0"/>
                <w:sz w:val="20"/>
                <w:szCs w:val="20"/>
                <w:lang w:eastAsia="en-AU"/>
                <w14:ligatures w14:val="none"/>
              </w:rPr>
              <w:t xml:space="preserve"> strategy employed and a lack of clarity about whether duplicate data extraction was undertaken. </w:t>
            </w:r>
          </w:p>
          <w:p w14:paraId="0906FFFF" w14:textId="0170EFB0" w:rsidR="007E7F25" w:rsidRPr="001D5149" w:rsidRDefault="00DC1AC8" w:rsidP="00DC1AC8">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102B30">
              <w:rPr>
                <w:rFonts w:eastAsia="Times New Roman" w:cs="Times New Roman"/>
                <w:color w:val="000000"/>
                <w:kern w:val="0"/>
                <w:sz w:val="20"/>
                <w:szCs w:val="20"/>
                <w:lang w:eastAsia="en-AU"/>
                <w14:ligatures w14:val="none"/>
              </w:rPr>
              <w:t xml:space="preserve">These limitations raise concerns about whether some studies may have been missed (due to search limitations) or the risk of data extraction errors. </w:t>
            </w:r>
            <w:r w:rsidR="00657000">
              <w:rPr>
                <w:rFonts w:eastAsia="Times New Roman" w:cs="Times New Roman"/>
                <w:color w:val="000000"/>
                <w:kern w:val="0"/>
                <w:sz w:val="20"/>
                <w:szCs w:val="20"/>
                <w:lang w:eastAsia="en-AU"/>
                <w14:ligatures w14:val="none"/>
              </w:rPr>
              <w:t>T</w:t>
            </w:r>
            <w:r w:rsidRPr="00102B30">
              <w:rPr>
                <w:rFonts w:eastAsia="Times New Roman" w:cs="Times New Roman"/>
                <w:color w:val="000000"/>
                <w:kern w:val="0"/>
                <w:sz w:val="20"/>
                <w:szCs w:val="20"/>
                <w:lang w:eastAsia="en-AU"/>
                <w14:ligatures w14:val="none"/>
              </w:rPr>
              <w:t>hese concerns are not so significant as to exclude the review entirely</w:t>
            </w:r>
            <w:r w:rsidR="00657000">
              <w:rPr>
                <w:rFonts w:eastAsia="Times New Roman" w:cs="Times New Roman"/>
                <w:color w:val="000000"/>
                <w:kern w:val="0"/>
                <w:sz w:val="20"/>
                <w:szCs w:val="20"/>
                <w:lang w:eastAsia="en-AU"/>
                <w14:ligatures w14:val="none"/>
              </w:rPr>
              <w:t>, although findings should be interpreted with caution in view of the review’s risk of bias.</w:t>
            </w:r>
          </w:p>
        </w:tc>
      </w:tr>
      <w:tr w:rsidR="007E7F25" w:rsidRPr="001D5149" w14:paraId="552B14AD" w14:textId="77777777" w:rsidTr="006A4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0DC83ACE" w14:textId="77777777" w:rsidR="007E7F25" w:rsidRPr="00284440" w:rsidRDefault="007E7F25">
            <w:pPr>
              <w:rPr>
                <w:sz w:val="20"/>
                <w:szCs w:val="20"/>
              </w:rPr>
            </w:pPr>
          </w:p>
        </w:tc>
        <w:tc>
          <w:tcPr>
            <w:tcW w:w="1842" w:type="dxa"/>
          </w:tcPr>
          <w:p w14:paraId="5584A49C" w14:textId="75ECB8A7" w:rsidR="007E7F25" w:rsidRPr="00747D77" w:rsidRDefault="009F0363">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Pr>
                <w:rFonts w:eastAsia="Times New Roman" w:cs="Times New Roman"/>
                <w:i/>
                <w:iCs/>
                <w:color w:val="000000"/>
                <w:kern w:val="0"/>
                <w:sz w:val="20"/>
                <w:szCs w:val="20"/>
                <w:lang w:eastAsia="en-AU"/>
                <w14:ligatures w14:val="none"/>
              </w:rPr>
              <w:t>No concerns</w:t>
            </w:r>
          </w:p>
        </w:tc>
        <w:tc>
          <w:tcPr>
            <w:tcW w:w="1985" w:type="dxa"/>
          </w:tcPr>
          <w:p w14:paraId="5CABE237" w14:textId="348830F3" w:rsidR="007E7F25" w:rsidRPr="009F0363" w:rsidRDefault="009F0363">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Pr>
                <w:rFonts w:eastAsia="Times New Roman" w:cs="Times New Roman"/>
                <w:i/>
                <w:iCs/>
                <w:color w:val="000000"/>
                <w:kern w:val="0"/>
                <w:sz w:val="20"/>
                <w:szCs w:val="20"/>
                <w:lang w:eastAsia="en-AU"/>
                <w14:ligatures w14:val="none"/>
              </w:rPr>
              <w:t>Search strategy deficiencies identified</w:t>
            </w:r>
          </w:p>
        </w:tc>
        <w:tc>
          <w:tcPr>
            <w:tcW w:w="1984" w:type="dxa"/>
          </w:tcPr>
          <w:p w14:paraId="49124740" w14:textId="75F486D7" w:rsidR="007E7F25" w:rsidRPr="004F4CF0" w:rsidRDefault="004F4CF0">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9136F7">
              <w:rPr>
                <w:rFonts w:eastAsia="Times New Roman" w:cs="Times New Roman"/>
                <w:i/>
                <w:iCs/>
                <w:color w:val="000000"/>
                <w:kern w:val="0"/>
                <w:sz w:val="20"/>
                <w:szCs w:val="20"/>
                <w:lang w:eastAsia="en-AU"/>
                <w14:ligatures w14:val="none"/>
              </w:rPr>
              <w:t xml:space="preserve">No. reviewers involved </w:t>
            </w:r>
            <w:r>
              <w:rPr>
                <w:rFonts w:eastAsia="Times New Roman" w:cs="Times New Roman"/>
                <w:i/>
                <w:iCs/>
                <w:color w:val="000000"/>
                <w:kern w:val="0"/>
                <w:sz w:val="20"/>
                <w:szCs w:val="20"/>
                <w:lang w:eastAsia="en-AU"/>
                <w14:ligatures w14:val="none"/>
              </w:rPr>
              <w:t xml:space="preserve">in </w:t>
            </w:r>
            <w:r w:rsidRPr="009136F7">
              <w:rPr>
                <w:rFonts w:eastAsia="Times New Roman" w:cs="Times New Roman"/>
                <w:i/>
                <w:iCs/>
                <w:color w:val="000000"/>
                <w:kern w:val="0"/>
                <w:sz w:val="20"/>
                <w:szCs w:val="20"/>
                <w:lang w:eastAsia="en-AU"/>
                <w14:ligatures w14:val="none"/>
              </w:rPr>
              <w:t>data extraction not reported.</w:t>
            </w:r>
          </w:p>
        </w:tc>
        <w:tc>
          <w:tcPr>
            <w:tcW w:w="1985" w:type="dxa"/>
          </w:tcPr>
          <w:p w14:paraId="5D4431F9" w14:textId="77777777" w:rsidR="007E7F25" w:rsidRPr="00747D77" w:rsidRDefault="007E7F25">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p>
        </w:tc>
        <w:tc>
          <w:tcPr>
            <w:tcW w:w="877" w:type="dxa"/>
            <w:vMerge/>
          </w:tcPr>
          <w:p w14:paraId="1C3E017D" w14:textId="77777777" w:rsidR="007E7F25" w:rsidRPr="001D5149" w:rsidRDefault="007E7F25">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 w:val="20"/>
                <w:szCs w:val="20"/>
                <w:lang w:eastAsia="en-AU"/>
                <w14:ligatures w14:val="none"/>
              </w:rPr>
            </w:pPr>
          </w:p>
        </w:tc>
        <w:tc>
          <w:tcPr>
            <w:tcW w:w="4651" w:type="dxa"/>
            <w:vMerge/>
          </w:tcPr>
          <w:p w14:paraId="11CBDEB2" w14:textId="77777777" w:rsidR="007E7F25" w:rsidRPr="001D5149" w:rsidRDefault="007E7F25">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p>
        </w:tc>
      </w:tr>
      <w:tr w:rsidR="00432704" w:rsidRPr="001D5149" w14:paraId="135DFB4D" w14:textId="77777777" w:rsidTr="006A4BC9">
        <w:tc>
          <w:tcPr>
            <w:cnfStyle w:val="001000000000" w:firstRow="0" w:lastRow="0" w:firstColumn="1" w:lastColumn="0" w:oddVBand="0" w:evenVBand="0" w:oddHBand="0" w:evenHBand="0" w:firstRowFirstColumn="0" w:firstRowLastColumn="0" w:lastRowFirstColumn="0" w:lastRowLastColumn="0"/>
            <w:tcW w:w="1560" w:type="dxa"/>
            <w:vMerge w:val="restart"/>
          </w:tcPr>
          <w:p w14:paraId="2EAF1C63" w14:textId="368785EB" w:rsidR="00432704" w:rsidRDefault="00432704" w:rsidP="00432704">
            <w:pPr>
              <w:rPr>
                <w:sz w:val="20"/>
                <w:szCs w:val="20"/>
              </w:rPr>
            </w:pPr>
            <w:r>
              <w:rPr>
                <w:sz w:val="20"/>
                <w:szCs w:val="20"/>
              </w:rPr>
              <w:fldChar w:fldCharType="begin">
                <w:fldData xml:space="preserve">PEVuZE5vdGU+PENpdGUgQXV0aG9yWWVhcj0iMSI+PEF1dGhvcj5NaWxhamVyZGk8L0F1dGhvcj48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</w:fldData>
              </w:fldChar>
            </w:r>
            <w:r>
              <w:rPr>
                <w:sz w:val="20"/>
                <w:szCs w:val="20"/>
              </w:rPr>
              <w:instrText xml:space="preserve"> ADDIN EN.CITE </w:instrText>
            </w:r>
            <w:r>
              <w:rPr>
                <w:sz w:val="20"/>
                <w:szCs w:val="20"/>
              </w:rPr>
              <w:fldChar w:fldCharType="begin">
                <w:fldData xml:space="preserve">PEVuZE5vdGU+PENpdGUgQXV0aG9yWWVhcj0iMSI+PEF1dGhvcj5NaWxhamVyZGk8L0F1dGhvcj48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Milajerdi et al. (2019)</w:t>
            </w:r>
            <w:r>
              <w:rPr>
                <w:sz w:val="20"/>
                <w:szCs w:val="20"/>
              </w:rPr>
              <w:fldChar w:fldCharType="end"/>
            </w:r>
          </w:p>
        </w:tc>
        <w:tc>
          <w:tcPr>
            <w:tcW w:w="1842" w:type="dxa"/>
          </w:tcPr>
          <w:p w14:paraId="0EE0CF25" w14:textId="082954A7" w:rsidR="00432704"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HIGH</w:t>
            </w:r>
          </w:p>
        </w:tc>
        <w:tc>
          <w:tcPr>
            <w:tcW w:w="1985" w:type="dxa"/>
          </w:tcPr>
          <w:p w14:paraId="617780DD" w14:textId="34A13AB3" w:rsidR="00432704"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UNCLEAR</w:t>
            </w:r>
          </w:p>
        </w:tc>
        <w:tc>
          <w:tcPr>
            <w:tcW w:w="1984" w:type="dxa"/>
          </w:tcPr>
          <w:p w14:paraId="40978C3E" w14:textId="2855A910" w:rsidR="00432704"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UNCLEAR</w:t>
            </w:r>
          </w:p>
        </w:tc>
        <w:tc>
          <w:tcPr>
            <w:tcW w:w="1985" w:type="dxa"/>
          </w:tcPr>
          <w:p w14:paraId="10EC028A" w14:textId="7943A1F3" w:rsidR="00432704"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HIGH</w:t>
            </w:r>
          </w:p>
        </w:tc>
        <w:tc>
          <w:tcPr>
            <w:tcW w:w="877" w:type="dxa"/>
            <w:vMerge w:val="restart"/>
          </w:tcPr>
          <w:p w14:paraId="492A1DB5" w14:textId="32A8F0FF" w:rsidR="00432704"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kern w:val="0"/>
                <w:sz w:val="20"/>
                <w:szCs w:val="20"/>
                <w:lang w:eastAsia="en-AU"/>
                <w14:ligatures w14:val="none"/>
              </w:rPr>
            </w:pPr>
            <w:r>
              <w:rPr>
                <w:rFonts w:eastAsia="Times New Roman" w:cs="Times New Roman"/>
                <w:b/>
                <w:bCs/>
                <w:color w:val="000000"/>
                <w:kern w:val="0"/>
                <w:sz w:val="20"/>
                <w:szCs w:val="20"/>
                <w:lang w:eastAsia="en-AU"/>
                <w14:ligatures w14:val="none"/>
              </w:rPr>
              <w:t>HIGH</w:t>
            </w:r>
          </w:p>
        </w:tc>
        <w:tc>
          <w:tcPr>
            <w:tcW w:w="4651" w:type="dxa"/>
            <w:vMerge w:val="restart"/>
          </w:tcPr>
          <w:p w14:paraId="16323B15" w14:textId="77777777" w:rsidR="00432704"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sidRPr="00102B30">
              <w:rPr>
                <w:rFonts w:eastAsia="Times New Roman" w:cs="Times New Roman"/>
                <w:color w:val="000000"/>
                <w:kern w:val="0"/>
                <w:sz w:val="20"/>
                <w:szCs w:val="20"/>
                <w:lang w:eastAsia="en-AU"/>
                <w14:ligatures w14:val="none"/>
              </w:rPr>
              <w:t xml:space="preserve">Concerns about </w:t>
            </w:r>
            <w:proofErr w:type="spellStart"/>
            <w:r w:rsidRPr="00102B30">
              <w:rPr>
                <w:rFonts w:eastAsia="Times New Roman" w:cs="Times New Roman"/>
                <w:color w:val="000000"/>
                <w:kern w:val="0"/>
                <w:sz w:val="20"/>
                <w:szCs w:val="20"/>
                <w:lang w:eastAsia="en-AU"/>
                <w14:ligatures w14:val="none"/>
              </w:rPr>
              <w:t>RoB</w:t>
            </w:r>
            <w:proofErr w:type="spellEnd"/>
            <w:r w:rsidRPr="00102B30">
              <w:rPr>
                <w:rFonts w:eastAsia="Times New Roman" w:cs="Times New Roman"/>
                <w:color w:val="000000"/>
                <w:kern w:val="0"/>
                <w:sz w:val="20"/>
                <w:szCs w:val="20"/>
                <w:lang w:eastAsia="en-AU"/>
                <w14:ligatures w14:val="none"/>
              </w:rPr>
              <w:t xml:space="preserve"> relate to</w:t>
            </w:r>
            <w:r>
              <w:rPr>
                <w:rFonts w:eastAsia="Times New Roman" w:cs="Times New Roman"/>
                <w:color w:val="000000"/>
                <w:kern w:val="0"/>
                <w:sz w:val="20"/>
                <w:szCs w:val="20"/>
                <w:lang w:eastAsia="en-AU"/>
                <w14:ligatures w14:val="none"/>
              </w:rPr>
              <w:t xml:space="preserve"> the exclusion of non-English language studies, insufficient information about database searches, processes for minimising error in data extraction and risk of bias assessment, and residual unexplained heterogeneity across most outcomes.</w:t>
            </w:r>
          </w:p>
          <w:p w14:paraId="6FC27DB8" w14:textId="2011634E" w:rsidR="00432704" w:rsidRPr="00102B30"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 xml:space="preserve">These limitations raise concerns about </w:t>
            </w:r>
            <w:r w:rsidRPr="00102B30">
              <w:rPr>
                <w:rFonts w:eastAsia="Times New Roman" w:cs="Times New Roman"/>
                <w:color w:val="000000"/>
                <w:kern w:val="0"/>
                <w:sz w:val="20"/>
                <w:szCs w:val="20"/>
                <w:lang w:eastAsia="en-AU"/>
                <w14:ligatures w14:val="none"/>
              </w:rPr>
              <w:t>whether some studies may have been missed or the risk of errors</w:t>
            </w:r>
            <w:r>
              <w:rPr>
                <w:rFonts w:eastAsia="Times New Roman" w:cs="Times New Roman"/>
                <w:color w:val="000000"/>
                <w:kern w:val="0"/>
                <w:sz w:val="20"/>
                <w:szCs w:val="20"/>
                <w:lang w:eastAsia="en-AU"/>
                <w14:ligatures w14:val="none"/>
              </w:rPr>
              <w:t xml:space="preserve"> in data extraction and </w:t>
            </w:r>
            <w:proofErr w:type="spellStart"/>
            <w:r>
              <w:rPr>
                <w:rFonts w:eastAsia="Times New Roman" w:cs="Times New Roman"/>
                <w:color w:val="000000"/>
                <w:kern w:val="0"/>
                <w:sz w:val="20"/>
                <w:szCs w:val="20"/>
                <w:lang w:eastAsia="en-AU"/>
                <w14:ligatures w14:val="none"/>
              </w:rPr>
              <w:t>RoB</w:t>
            </w:r>
            <w:proofErr w:type="spellEnd"/>
            <w:r>
              <w:rPr>
                <w:rFonts w:eastAsia="Times New Roman" w:cs="Times New Roman"/>
                <w:color w:val="000000"/>
                <w:kern w:val="0"/>
                <w:sz w:val="20"/>
                <w:szCs w:val="20"/>
                <w:lang w:eastAsia="en-AU"/>
                <w14:ligatures w14:val="none"/>
              </w:rPr>
              <w:t xml:space="preserve"> assessment</w:t>
            </w:r>
            <w:r w:rsidRPr="00102B30">
              <w:rPr>
                <w:rFonts w:eastAsia="Times New Roman" w:cs="Times New Roman"/>
                <w:color w:val="000000"/>
                <w:kern w:val="0"/>
                <w:sz w:val="20"/>
                <w:szCs w:val="20"/>
                <w:lang w:eastAsia="en-AU"/>
                <w14:ligatures w14:val="none"/>
              </w:rPr>
              <w:t>.</w:t>
            </w:r>
            <w:r>
              <w:rPr>
                <w:rFonts w:eastAsia="Times New Roman" w:cs="Times New Roman"/>
                <w:color w:val="000000"/>
                <w:kern w:val="0"/>
                <w:sz w:val="20"/>
                <w:szCs w:val="20"/>
                <w:lang w:eastAsia="en-AU"/>
                <w14:ligatures w14:val="none"/>
              </w:rPr>
              <w:t xml:space="preserve"> Heterogeneity is also a concern. T</w:t>
            </w:r>
            <w:r w:rsidRPr="00102B30">
              <w:rPr>
                <w:rFonts w:eastAsia="Times New Roman" w:cs="Times New Roman"/>
                <w:color w:val="000000"/>
                <w:kern w:val="0"/>
                <w:sz w:val="20"/>
                <w:szCs w:val="20"/>
                <w:lang w:eastAsia="en-AU"/>
                <w14:ligatures w14:val="none"/>
              </w:rPr>
              <w:t xml:space="preserve">hese concerns </w:t>
            </w:r>
            <w:r w:rsidRPr="00102B30">
              <w:rPr>
                <w:rFonts w:eastAsia="Times New Roman" w:cs="Times New Roman"/>
                <w:color w:val="000000"/>
                <w:kern w:val="0"/>
                <w:sz w:val="20"/>
                <w:szCs w:val="20"/>
                <w:lang w:eastAsia="en-AU"/>
                <w14:ligatures w14:val="none"/>
              </w:rPr>
              <w:lastRenderedPageBreak/>
              <w:t>are not so significant as to exclude the review entirely</w:t>
            </w:r>
            <w:r>
              <w:rPr>
                <w:rFonts w:eastAsia="Times New Roman" w:cs="Times New Roman"/>
                <w:color w:val="000000"/>
                <w:kern w:val="0"/>
                <w:sz w:val="20"/>
                <w:szCs w:val="20"/>
                <w:lang w:eastAsia="en-AU"/>
                <w14:ligatures w14:val="none"/>
              </w:rPr>
              <w:t>, although findings should be interpreted with caution in view of the review’s risk of bias.</w:t>
            </w:r>
          </w:p>
        </w:tc>
      </w:tr>
      <w:tr w:rsidR="00432704" w:rsidRPr="001D5149" w14:paraId="534A905C" w14:textId="77777777" w:rsidTr="006A4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546B1AEA" w14:textId="77777777" w:rsidR="00432704" w:rsidRDefault="00432704" w:rsidP="00432704">
            <w:pPr>
              <w:rPr>
                <w:sz w:val="20"/>
                <w:szCs w:val="20"/>
              </w:rPr>
            </w:pPr>
          </w:p>
        </w:tc>
        <w:tc>
          <w:tcPr>
            <w:tcW w:w="1842" w:type="dxa"/>
          </w:tcPr>
          <w:p w14:paraId="2BF46FBB" w14:textId="3860D347" w:rsidR="00432704"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580C36">
              <w:rPr>
                <w:rFonts w:eastAsia="Times New Roman" w:cs="Times New Roman"/>
                <w:i/>
                <w:iCs/>
                <w:color w:val="000000"/>
                <w:kern w:val="0"/>
                <w:sz w:val="20"/>
                <w:szCs w:val="20"/>
                <w:lang w:eastAsia="en-AU"/>
                <w14:ligatures w14:val="none"/>
              </w:rPr>
              <w:t>Non-English language articles were excluded.</w:t>
            </w:r>
          </w:p>
        </w:tc>
        <w:tc>
          <w:tcPr>
            <w:tcW w:w="1985" w:type="dxa"/>
          </w:tcPr>
          <w:p w14:paraId="5B6F21EA" w14:textId="759618CA" w:rsidR="00432704"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803C96">
              <w:rPr>
                <w:rFonts w:eastAsia="Times New Roman" w:cs="Times New Roman"/>
                <w:i/>
                <w:iCs/>
                <w:color w:val="000000"/>
                <w:kern w:val="0"/>
                <w:sz w:val="20"/>
                <w:szCs w:val="20"/>
                <w:lang w:eastAsia="en-AU"/>
                <w14:ligatures w14:val="none"/>
              </w:rPr>
              <w:t xml:space="preserve">A list of databases </w:t>
            </w:r>
            <w:proofErr w:type="gramStart"/>
            <w:r w:rsidRPr="00803C96">
              <w:rPr>
                <w:rFonts w:eastAsia="Times New Roman" w:cs="Times New Roman"/>
                <w:i/>
                <w:iCs/>
                <w:color w:val="000000"/>
                <w:kern w:val="0"/>
                <w:sz w:val="20"/>
                <w:szCs w:val="20"/>
                <w:lang w:eastAsia="en-AU"/>
                <w14:ligatures w14:val="none"/>
              </w:rPr>
              <w:t>searched</w:t>
            </w:r>
            <w:proofErr w:type="gramEnd"/>
            <w:r w:rsidRPr="00803C96">
              <w:rPr>
                <w:rFonts w:eastAsia="Times New Roman" w:cs="Times New Roman"/>
                <w:i/>
                <w:iCs/>
                <w:color w:val="000000"/>
                <w:kern w:val="0"/>
                <w:sz w:val="20"/>
                <w:szCs w:val="20"/>
                <w:lang w:eastAsia="en-AU"/>
                <w14:ligatures w14:val="none"/>
              </w:rPr>
              <w:t xml:space="preserve"> and search terms were provided, but full search strategies not reported.</w:t>
            </w:r>
          </w:p>
        </w:tc>
        <w:tc>
          <w:tcPr>
            <w:tcW w:w="1984" w:type="dxa"/>
          </w:tcPr>
          <w:p w14:paraId="5174E4B3" w14:textId="1A4200F6" w:rsidR="00432704"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i/>
                <w:iCs/>
                <w:color w:val="000000"/>
                <w:kern w:val="0"/>
                <w:sz w:val="20"/>
                <w:szCs w:val="20"/>
                <w:lang w:eastAsia="en-AU"/>
                <w14:ligatures w14:val="none"/>
              </w:rPr>
              <w:t xml:space="preserve">No. </w:t>
            </w:r>
            <w:r w:rsidRPr="00B41717">
              <w:rPr>
                <w:rFonts w:eastAsia="Times New Roman" w:cs="Times New Roman"/>
                <w:i/>
                <w:iCs/>
                <w:color w:val="000000"/>
                <w:kern w:val="0"/>
                <w:sz w:val="20"/>
                <w:szCs w:val="20"/>
                <w:lang w:eastAsia="en-AU"/>
                <w14:ligatures w14:val="none"/>
              </w:rPr>
              <w:t>reviewers involved in data extraction and risk of bias assessment not reported.</w:t>
            </w:r>
          </w:p>
        </w:tc>
        <w:tc>
          <w:tcPr>
            <w:tcW w:w="1985" w:type="dxa"/>
          </w:tcPr>
          <w:p w14:paraId="0C7686F0" w14:textId="712B8F57" w:rsidR="00432704"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722A7F">
              <w:rPr>
                <w:rFonts w:eastAsia="Times New Roman" w:cs="Times New Roman"/>
                <w:i/>
                <w:iCs/>
                <w:color w:val="000000"/>
                <w:kern w:val="0"/>
                <w:sz w:val="20"/>
                <w:szCs w:val="20"/>
                <w:lang w:eastAsia="en-AU"/>
                <w14:ligatures w14:val="none"/>
              </w:rPr>
              <w:t>Residua</w:t>
            </w:r>
            <w:r>
              <w:rPr>
                <w:rFonts w:eastAsia="Times New Roman" w:cs="Times New Roman"/>
                <w:i/>
                <w:iCs/>
                <w:color w:val="000000"/>
                <w:kern w:val="0"/>
                <w:sz w:val="20"/>
                <w:szCs w:val="20"/>
                <w:lang w:eastAsia="en-AU"/>
                <w14:ligatures w14:val="none"/>
              </w:rPr>
              <w:t>l unexplained</w:t>
            </w:r>
            <w:r w:rsidRPr="00722A7F">
              <w:rPr>
                <w:rFonts w:eastAsia="Times New Roman" w:cs="Times New Roman"/>
                <w:i/>
                <w:iCs/>
                <w:color w:val="000000"/>
                <w:kern w:val="0"/>
                <w:sz w:val="20"/>
                <w:szCs w:val="20"/>
                <w:lang w:eastAsia="en-AU"/>
                <w14:ligatures w14:val="none"/>
              </w:rPr>
              <w:t xml:space="preserve"> heterogeneit</w:t>
            </w:r>
            <w:r>
              <w:rPr>
                <w:rFonts w:eastAsia="Times New Roman" w:cs="Times New Roman"/>
                <w:i/>
                <w:iCs/>
                <w:color w:val="000000"/>
                <w:kern w:val="0"/>
                <w:sz w:val="20"/>
                <w:szCs w:val="20"/>
                <w:lang w:eastAsia="en-AU"/>
                <w14:ligatures w14:val="none"/>
              </w:rPr>
              <w:t>y</w:t>
            </w:r>
            <w:r w:rsidRPr="00722A7F">
              <w:rPr>
                <w:rFonts w:eastAsia="Times New Roman" w:cs="Times New Roman"/>
                <w:i/>
                <w:iCs/>
                <w:color w:val="000000"/>
                <w:kern w:val="0"/>
                <w:sz w:val="20"/>
                <w:szCs w:val="20"/>
                <w:lang w:eastAsia="en-AU"/>
                <w14:ligatures w14:val="none"/>
              </w:rPr>
              <w:t>.</w:t>
            </w:r>
          </w:p>
        </w:tc>
        <w:tc>
          <w:tcPr>
            <w:tcW w:w="877" w:type="dxa"/>
            <w:vMerge/>
          </w:tcPr>
          <w:p w14:paraId="3A236BD8" w14:textId="77777777" w:rsidR="00432704"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 w:val="20"/>
                <w:szCs w:val="20"/>
                <w:lang w:eastAsia="en-AU"/>
                <w14:ligatures w14:val="none"/>
              </w:rPr>
            </w:pPr>
          </w:p>
        </w:tc>
        <w:tc>
          <w:tcPr>
            <w:tcW w:w="4651" w:type="dxa"/>
            <w:vMerge/>
          </w:tcPr>
          <w:p w14:paraId="7BED2252" w14:textId="77777777" w:rsidR="00432704" w:rsidRPr="00102B30"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p>
        </w:tc>
      </w:tr>
      <w:tr w:rsidR="00432704" w:rsidRPr="001D5149" w14:paraId="089868C1" w14:textId="77777777" w:rsidTr="006A4BC9">
        <w:tc>
          <w:tcPr>
            <w:cnfStyle w:val="001000000000" w:firstRow="0" w:lastRow="0" w:firstColumn="1" w:lastColumn="0" w:oddVBand="0" w:evenVBand="0" w:oddHBand="0" w:evenHBand="0" w:firstRowFirstColumn="0" w:firstRowLastColumn="0" w:lastRowFirstColumn="0" w:lastRowLastColumn="0"/>
            <w:tcW w:w="1560" w:type="dxa"/>
            <w:vMerge w:val="restart"/>
          </w:tcPr>
          <w:p w14:paraId="70C50BA8" w14:textId="74D2BA74" w:rsidR="00432704" w:rsidRPr="00284440" w:rsidRDefault="00432704" w:rsidP="00432704">
            <w:pPr>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fldChar w:fldCharType="begin"/>
            </w:r>
            <w:r>
              <w:rPr>
                <w:rFonts w:eastAsia="Times New Roman" w:cs="Times New Roman"/>
                <w:color w:val="000000"/>
                <w:kern w:val="0"/>
                <w:sz w:val="20"/>
                <w:szCs w:val="20"/>
                <w:lang w:eastAsia="en-AU"/>
                <w14:ligatures w14:val="none"/>
              </w:rPr>
              <w:instrText xml:space="preserve"> ADDIN EN.CITE &lt;EndNote&gt;&lt;Cite AuthorYear="1"&gt;&lt;Author&gt;Surma&lt;/Author&gt;&lt;Year&gt;2025&lt;/Year&gt;&lt;RecNum&gt;3366&lt;/RecNum&gt;&lt;DisplayText&gt;Surma et al. (2025)&lt;/DisplayText&gt;&lt;record&gt;&lt;rec-number&gt;3366&lt;/rec-number&gt;&lt;foreign-keys&gt;&lt;key app="EN" db-id="wwsdv2wwp29fenerv0kx5tw9zxtx2fdrprx2" timestamp="1763423052"&gt;3366&lt;/key&gt;&lt;/foreign-keys&gt;&lt;ref-type name="Journal Article"&gt;17&lt;/ref-type&gt;&lt;contributors&gt;&lt;authors&gt;&lt;author&gt;Surma, S.&lt;/author&gt;&lt;author&gt;Surma, S.&lt;/author&gt;&lt;author&gt;Banach, M.&lt;/author&gt;&lt;author&gt;Pruc, M.&lt;/author&gt;&lt;author&gt;Pruc, M.&lt;/author&gt;&lt;author&gt;Szarpak, L.&lt;/author&gt;&lt;author&gt;Szarpak, L.&lt;/author&gt;&lt;author&gt;Banach, M.&lt;/author&gt;&lt;author&gt;Banach, M.&lt;/author&gt;&lt;author&gt;Banach, M.&lt;/author&gt;&lt;/authors&gt;&lt;/contributors&gt;&lt;titles&gt;&lt;title&gt;Dietary salt on vascular function: a meta-analysis&lt;/title&gt;&lt;secondary-title&gt;Arch. Med. Sci.&lt;/secondary-title&gt;&lt;/titles&gt;&lt;periodical&gt;&lt;full-title&gt;Arch. Med. Sci.&lt;/full-title&gt;&lt;/periodical&gt;&lt;pages&gt;1631-1635&lt;/pages&gt;&lt;volume&gt;21&lt;/volume&gt;&lt;number&gt;4&lt;/number&gt;&lt;dates&gt;&lt;year&gt;2025&lt;/year&gt;&lt;pub-dates&gt;&lt;date&gt;2025&lt;/date&gt;&lt;/pub-dates&gt;&lt;/dates&gt;&lt;isbn&gt;1896-9151&lt;/isbn&gt;&lt;urls&gt;&lt;related-urls&gt;&lt;url&gt;http://www.epistemonikos.org/documents/1a657e7927801c713f0a347511d67d7d39117ac7&lt;/url&gt;&lt;/related-urls&gt;&lt;/urls&gt;&lt;electronic-resource-num&gt;10.5114/aoms/209720&lt;/electronic-resource-num&gt;&lt;remote-database-name&gt;EPISTEMONIKOS&lt;/remote-database-name&gt;&lt;language&gt;English&lt;/language&gt;&lt;/record&gt;&lt;/Cite&gt;&lt;/EndNote&gt;</w:instrText>
            </w:r>
            <w:r>
              <w:rPr>
                <w:rFonts w:eastAsia="Times New Roman" w:cs="Times New Roman"/>
                <w:color w:val="000000"/>
                <w:kern w:val="0"/>
                <w:sz w:val="20"/>
                <w:szCs w:val="20"/>
                <w:lang w:eastAsia="en-AU"/>
                <w14:ligatures w14:val="none"/>
              </w:rPr>
              <w:fldChar w:fldCharType="separate"/>
            </w:r>
            <w:r>
              <w:rPr>
                <w:rFonts w:eastAsia="Times New Roman" w:cs="Times New Roman"/>
                <w:noProof/>
                <w:color w:val="000000"/>
                <w:kern w:val="0"/>
                <w:sz w:val="20"/>
                <w:szCs w:val="20"/>
                <w:lang w:eastAsia="en-AU"/>
                <w14:ligatures w14:val="none"/>
              </w:rPr>
              <w:t>Surma et al. (2025)</w:t>
            </w:r>
            <w:r>
              <w:rPr>
                <w:rFonts w:eastAsia="Times New Roman" w:cs="Times New Roman"/>
                <w:color w:val="000000"/>
                <w:kern w:val="0"/>
                <w:sz w:val="20"/>
                <w:szCs w:val="20"/>
                <w:lang w:eastAsia="en-AU"/>
                <w14:ligatures w14:val="none"/>
              </w:rPr>
              <w:fldChar w:fldCharType="end"/>
            </w:r>
          </w:p>
        </w:tc>
        <w:tc>
          <w:tcPr>
            <w:tcW w:w="1842" w:type="dxa"/>
          </w:tcPr>
          <w:p w14:paraId="525D31ED" w14:textId="684CAEB4" w:rsidR="00432704" w:rsidRPr="00747D77"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HIGH</w:t>
            </w:r>
          </w:p>
        </w:tc>
        <w:tc>
          <w:tcPr>
            <w:tcW w:w="1985" w:type="dxa"/>
          </w:tcPr>
          <w:p w14:paraId="5C5141B7" w14:textId="617D8F5E" w:rsidR="00432704" w:rsidRPr="00747D77" w:rsidRDefault="00D42FAA"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HIGH</w:t>
            </w:r>
          </w:p>
        </w:tc>
        <w:tc>
          <w:tcPr>
            <w:tcW w:w="1984" w:type="dxa"/>
          </w:tcPr>
          <w:p w14:paraId="3452E38C" w14:textId="32CB9360" w:rsidR="00432704" w:rsidRPr="00747D77" w:rsidRDefault="00D42FAA"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HIGH</w:t>
            </w:r>
          </w:p>
        </w:tc>
        <w:tc>
          <w:tcPr>
            <w:tcW w:w="1985" w:type="dxa"/>
          </w:tcPr>
          <w:p w14:paraId="6AF03212" w14:textId="4C901782" w:rsidR="00432704" w:rsidRPr="00747D77"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HIGH</w:t>
            </w:r>
          </w:p>
        </w:tc>
        <w:tc>
          <w:tcPr>
            <w:tcW w:w="877" w:type="dxa"/>
            <w:vMerge w:val="restart"/>
          </w:tcPr>
          <w:p w14:paraId="1BBDCFEE" w14:textId="0B44AF5A" w:rsidR="00432704" w:rsidRPr="001D5149"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kern w:val="0"/>
                <w:sz w:val="20"/>
                <w:szCs w:val="20"/>
                <w:lang w:eastAsia="en-AU"/>
                <w14:ligatures w14:val="none"/>
              </w:rPr>
            </w:pPr>
            <w:r>
              <w:rPr>
                <w:rFonts w:eastAsia="Times New Roman" w:cs="Times New Roman"/>
                <w:b/>
                <w:bCs/>
                <w:color w:val="000000"/>
                <w:kern w:val="0"/>
                <w:sz w:val="20"/>
                <w:szCs w:val="20"/>
                <w:lang w:eastAsia="en-AU"/>
                <w14:ligatures w14:val="none"/>
              </w:rPr>
              <w:t>HIGH</w:t>
            </w:r>
          </w:p>
        </w:tc>
        <w:tc>
          <w:tcPr>
            <w:tcW w:w="4651" w:type="dxa"/>
            <w:vMerge w:val="restart"/>
          </w:tcPr>
          <w:p w14:paraId="720CA1CE" w14:textId="7AA7F75B" w:rsidR="00432704" w:rsidRDefault="00D42FAA"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 xml:space="preserve">Significant concerns about the risk of bias </w:t>
            </w:r>
            <w:r w:rsidR="003E3B24">
              <w:rPr>
                <w:rFonts w:eastAsia="Times New Roman" w:cs="Times New Roman"/>
                <w:color w:val="000000"/>
                <w:kern w:val="0"/>
                <w:sz w:val="20"/>
                <w:szCs w:val="20"/>
                <w:lang w:eastAsia="en-AU"/>
                <w14:ligatures w14:val="none"/>
              </w:rPr>
              <w:t xml:space="preserve">including regarding the comprehensiveness of searches, </w:t>
            </w:r>
            <w:r w:rsidR="0084414D">
              <w:rPr>
                <w:rFonts w:eastAsia="Times New Roman" w:cs="Times New Roman"/>
                <w:color w:val="000000"/>
                <w:kern w:val="0"/>
                <w:sz w:val="20"/>
                <w:szCs w:val="20"/>
                <w:lang w:eastAsia="en-AU"/>
                <w14:ligatures w14:val="none"/>
              </w:rPr>
              <w:t xml:space="preserve">methods for extracting data, assessing study methodological quality </w:t>
            </w:r>
            <w:r w:rsidR="00052291">
              <w:rPr>
                <w:rFonts w:eastAsia="Times New Roman" w:cs="Times New Roman"/>
                <w:color w:val="000000"/>
                <w:kern w:val="0"/>
                <w:sz w:val="20"/>
                <w:szCs w:val="20"/>
                <w:lang w:eastAsia="en-AU"/>
                <w14:ligatures w14:val="none"/>
              </w:rPr>
              <w:t xml:space="preserve">and </w:t>
            </w:r>
            <w:r w:rsidR="0084414D">
              <w:rPr>
                <w:rFonts w:eastAsia="Times New Roman" w:cs="Times New Roman"/>
                <w:color w:val="000000"/>
                <w:kern w:val="0"/>
                <w:sz w:val="20"/>
                <w:szCs w:val="20"/>
                <w:lang w:eastAsia="en-AU"/>
                <w14:ligatures w14:val="none"/>
              </w:rPr>
              <w:t xml:space="preserve">the overall </w:t>
            </w:r>
            <w:r w:rsidR="00052291">
              <w:rPr>
                <w:rFonts w:eastAsia="Times New Roman" w:cs="Times New Roman"/>
                <w:color w:val="000000"/>
                <w:kern w:val="0"/>
                <w:sz w:val="20"/>
                <w:szCs w:val="20"/>
                <w:lang w:eastAsia="en-AU"/>
                <w14:ligatures w14:val="none"/>
              </w:rPr>
              <w:t>robustness of</w:t>
            </w:r>
            <w:r w:rsidR="0084414D">
              <w:rPr>
                <w:rFonts w:eastAsia="Times New Roman" w:cs="Times New Roman"/>
                <w:color w:val="000000"/>
                <w:kern w:val="0"/>
                <w:sz w:val="20"/>
                <w:szCs w:val="20"/>
                <w:lang w:eastAsia="en-AU"/>
                <w14:ligatures w14:val="none"/>
              </w:rPr>
              <w:t xml:space="preserve"> review </w:t>
            </w:r>
            <w:r w:rsidR="00052291">
              <w:rPr>
                <w:rFonts w:eastAsia="Times New Roman" w:cs="Times New Roman"/>
                <w:color w:val="000000"/>
                <w:kern w:val="0"/>
                <w:sz w:val="20"/>
                <w:szCs w:val="20"/>
                <w:lang w:eastAsia="en-AU"/>
                <w14:ligatures w14:val="none"/>
              </w:rPr>
              <w:t xml:space="preserve">findings. </w:t>
            </w:r>
          </w:p>
          <w:p w14:paraId="5BDEACCF" w14:textId="25605A1D" w:rsidR="00052291" w:rsidRPr="001D5149" w:rsidRDefault="00052291"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The review is assessed as being of insufficient quality to inform recommendations.</w:t>
            </w:r>
          </w:p>
        </w:tc>
      </w:tr>
      <w:tr w:rsidR="00432704" w:rsidRPr="001D5149" w14:paraId="4D5DB1EE" w14:textId="77777777" w:rsidTr="006A4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475B9D99" w14:textId="77777777" w:rsidR="00432704" w:rsidRPr="00284440" w:rsidRDefault="00432704" w:rsidP="00432704">
            <w:pPr>
              <w:rPr>
                <w:noProof/>
                <w:sz w:val="20"/>
                <w:szCs w:val="20"/>
              </w:rPr>
            </w:pPr>
          </w:p>
        </w:tc>
        <w:tc>
          <w:tcPr>
            <w:tcW w:w="1842" w:type="dxa"/>
          </w:tcPr>
          <w:p w14:paraId="20B9D7C4" w14:textId="2122B0C9" w:rsidR="00432704" w:rsidRPr="00580C36" w:rsidRDefault="001A01E5"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1A01E5">
              <w:rPr>
                <w:rFonts w:eastAsia="Times New Roman" w:cs="Times New Roman"/>
                <w:i/>
                <w:iCs/>
                <w:color w:val="000000"/>
                <w:kern w:val="0"/>
                <w:sz w:val="20"/>
                <w:szCs w:val="20"/>
                <w:lang w:eastAsia="en-AU"/>
                <w14:ligatures w14:val="none"/>
              </w:rPr>
              <w:t>Conference abstracts were excluded.</w:t>
            </w:r>
          </w:p>
        </w:tc>
        <w:tc>
          <w:tcPr>
            <w:tcW w:w="1985" w:type="dxa"/>
          </w:tcPr>
          <w:p w14:paraId="1497443C" w14:textId="2F070F6C" w:rsidR="00432704" w:rsidRPr="00803C96" w:rsidRDefault="001A01E5"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Pr>
                <w:rFonts w:eastAsia="Times New Roman" w:cs="Times New Roman"/>
                <w:i/>
                <w:iCs/>
                <w:color w:val="000000"/>
                <w:kern w:val="0"/>
                <w:sz w:val="20"/>
                <w:szCs w:val="20"/>
                <w:lang w:eastAsia="en-AU"/>
                <w14:ligatures w14:val="none"/>
              </w:rPr>
              <w:t>Did not report f</w:t>
            </w:r>
            <w:r w:rsidRPr="001A01E5">
              <w:rPr>
                <w:rFonts w:eastAsia="Times New Roman" w:cs="Times New Roman"/>
                <w:i/>
                <w:iCs/>
                <w:color w:val="000000"/>
                <w:kern w:val="0"/>
                <w:sz w:val="20"/>
                <w:szCs w:val="20"/>
                <w:lang w:eastAsia="en-AU"/>
                <w14:ligatures w14:val="none"/>
              </w:rPr>
              <w:t xml:space="preserve">ull details of the search strategy </w:t>
            </w:r>
            <w:r>
              <w:rPr>
                <w:rFonts w:eastAsia="Times New Roman" w:cs="Times New Roman"/>
                <w:i/>
                <w:iCs/>
                <w:color w:val="000000"/>
                <w:kern w:val="0"/>
                <w:sz w:val="20"/>
                <w:szCs w:val="20"/>
                <w:lang w:eastAsia="en-AU"/>
                <w14:ligatures w14:val="none"/>
              </w:rPr>
              <w:t xml:space="preserve">or no. </w:t>
            </w:r>
            <w:r w:rsidRPr="001A01E5">
              <w:rPr>
                <w:rFonts w:eastAsia="Times New Roman" w:cs="Times New Roman"/>
                <w:i/>
                <w:iCs/>
                <w:color w:val="000000"/>
                <w:kern w:val="0"/>
                <w:sz w:val="20"/>
                <w:szCs w:val="20"/>
                <w:lang w:eastAsia="en-AU"/>
                <w14:ligatures w14:val="none"/>
              </w:rPr>
              <w:t>reviewers involved in study selection.</w:t>
            </w:r>
          </w:p>
        </w:tc>
        <w:tc>
          <w:tcPr>
            <w:tcW w:w="1984" w:type="dxa"/>
          </w:tcPr>
          <w:p w14:paraId="0A2176F6" w14:textId="655D20D2" w:rsidR="00432704" w:rsidRPr="00803C96"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Pr>
                <w:rFonts w:eastAsia="Times New Roman" w:cs="Times New Roman"/>
                <w:i/>
                <w:iCs/>
                <w:color w:val="000000"/>
                <w:kern w:val="0"/>
                <w:sz w:val="20"/>
                <w:szCs w:val="20"/>
                <w:lang w:eastAsia="en-AU"/>
                <w14:ligatures w14:val="none"/>
              </w:rPr>
              <w:t xml:space="preserve">No. </w:t>
            </w:r>
            <w:r w:rsidRPr="00B41717">
              <w:rPr>
                <w:rFonts w:eastAsia="Times New Roman" w:cs="Times New Roman"/>
                <w:i/>
                <w:iCs/>
                <w:color w:val="000000"/>
                <w:kern w:val="0"/>
                <w:sz w:val="20"/>
                <w:szCs w:val="20"/>
                <w:lang w:eastAsia="en-AU"/>
                <w14:ligatures w14:val="none"/>
              </w:rPr>
              <w:t xml:space="preserve">reviewers involved in data extraction </w:t>
            </w:r>
            <w:r w:rsidR="00F82E0F">
              <w:rPr>
                <w:rFonts w:eastAsia="Times New Roman" w:cs="Times New Roman"/>
                <w:i/>
                <w:iCs/>
                <w:color w:val="000000"/>
                <w:kern w:val="0"/>
                <w:sz w:val="20"/>
                <w:szCs w:val="20"/>
                <w:lang w:eastAsia="en-AU"/>
                <w14:ligatures w14:val="none"/>
              </w:rPr>
              <w:t xml:space="preserve">not reported </w:t>
            </w:r>
            <w:r w:rsidRPr="00B41717">
              <w:rPr>
                <w:rFonts w:eastAsia="Times New Roman" w:cs="Times New Roman"/>
                <w:i/>
                <w:iCs/>
                <w:color w:val="000000"/>
                <w:kern w:val="0"/>
                <w:sz w:val="20"/>
                <w:szCs w:val="20"/>
                <w:lang w:eastAsia="en-AU"/>
                <w14:ligatures w14:val="none"/>
              </w:rPr>
              <w:t>and risk of bias assessment</w:t>
            </w:r>
            <w:r w:rsidR="00F82E0F">
              <w:rPr>
                <w:rFonts w:eastAsia="Times New Roman" w:cs="Times New Roman"/>
                <w:i/>
                <w:iCs/>
                <w:color w:val="000000"/>
                <w:kern w:val="0"/>
                <w:sz w:val="20"/>
                <w:szCs w:val="20"/>
                <w:lang w:eastAsia="en-AU"/>
                <w14:ligatures w14:val="none"/>
              </w:rPr>
              <w:t xml:space="preserve"> not performed</w:t>
            </w:r>
            <w:r w:rsidRPr="00B41717">
              <w:rPr>
                <w:rFonts w:eastAsia="Times New Roman" w:cs="Times New Roman"/>
                <w:i/>
                <w:iCs/>
                <w:color w:val="000000"/>
                <w:kern w:val="0"/>
                <w:sz w:val="20"/>
                <w:szCs w:val="20"/>
                <w:lang w:eastAsia="en-AU"/>
                <w14:ligatures w14:val="none"/>
              </w:rPr>
              <w:t>.</w:t>
            </w:r>
          </w:p>
        </w:tc>
        <w:tc>
          <w:tcPr>
            <w:tcW w:w="1985" w:type="dxa"/>
          </w:tcPr>
          <w:p w14:paraId="40DD6195" w14:textId="49E0123B" w:rsidR="00432704" w:rsidRPr="00803C96" w:rsidRDefault="003F3233"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kern w:val="0"/>
                <w:sz w:val="20"/>
                <w:szCs w:val="20"/>
                <w:lang w:eastAsia="en-AU"/>
                <w14:ligatures w14:val="none"/>
              </w:rPr>
            </w:pPr>
            <w:r>
              <w:rPr>
                <w:rFonts w:eastAsia="Times New Roman" w:cs="Times New Roman"/>
                <w:i/>
                <w:iCs/>
                <w:color w:val="000000"/>
                <w:kern w:val="0"/>
                <w:sz w:val="20"/>
                <w:szCs w:val="20"/>
                <w:lang w:eastAsia="en-AU"/>
                <w14:ligatures w14:val="none"/>
              </w:rPr>
              <w:t>N</w:t>
            </w:r>
            <w:r w:rsidRPr="003F3233">
              <w:rPr>
                <w:rFonts w:eastAsia="Times New Roman" w:cs="Times New Roman"/>
                <w:i/>
                <w:iCs/>
                <w:color w:val="000000"/>
                <w:kern w:val="0"/>
                <w:sz w:val="20"/>
                <w:szCs w:val="20"/>
                <w:lang w:eastAsia="en-AU"/>
                <w14:ligatures w14:val="none"/>
              </w:rPr>
              <w:t xml:space="preserve">o adequate attempts were made to explore high heterogeneity across comparisons. </w:t>
            </w:r>
            <w:r>
              <w:rPr>
                <w:rFonts w:eastAsia="Times New Roman" w:cs="Times New Roman"/>
                <w:i/>
                <w:iCs/>
                <w:color w:val="000000"/>
                <w:kern w:val="0"/>
                <w:sz w:val="20"/>
                <w:szCs w:val="20"/>
                <w:lang w:eastAsia="en-AU"/>
                <w14:ligatures w14:val="none"/>
              </w:rPr>
              <w:t>F</w:t>
            </w:r>
            <w:r w:rsidRPr="003F3233">
              <w:rPr>
                <w:rFonts w:eastAsia="Times New Roman" w:cs="Times New Roman"/>
                <w:i/>
                <w:iCs/>
                <w:color w:val="000000"/>
                <w:kern w:val="0"/>
                <w:sz w:val="20"/>
                <w:szCs w:val="20"/>
                <w:lang w:eastAsia="en-AU"/>
                <w14:ligatures w14:val="none"/>
              </w:rPr>
              <w:t>indings were not robust, and potential biases in included studies not account</w:t>
            </w:r>
            <w:r w:rsidR="0040265E">
              <w:rPr>
                <w:rFonts w:eastAsia="Times New Roman" w:cs="Times New Roman"/>
                <w:i/>
                <w:iCs/>
                <w:color w:val="000000"/>
                <w:kern w:val="0"/>
                <w:sz w:val="20"/>
                <w:szCs w:val="20"/>
                <w:lang w:eastAsia="en-AU"/>
                <w14:ligatures w14:val="none"/>
              </w:rPr>
              <w:t>ed for</w:t>
            </w:r>
            <w:r w:rsidR="00432704" w:rsidRPr="00722A7F">
              <w:rPr>
                <w:rFonts w:eastAsia="Times New Roman" w:cs="Times New Roman"/>
                <w:i/>
                <w:iCs/>
                <w:color w:val="000000"/>
                <w:kern w:val="0"/>
                <w:sz w:val="20"/>
                <w:szCs w:val="20"/>
                <w:lang w:eastAsia="en-AU"/>
                <w14:ligatures w14:val="none"/>
              </w:rPr>
              <w:t>.</w:t>
            </w:r>
          </w:p>
        </w:tc>
        <w:tc>
          <w:tcPr>
            <w:tcW w:w="877" w:type="dxa"/>
            <w:vMerge/>
          </w:tcPr>
          <w:p w14:paraId="07F55D09" w14:textId="77777777" w:rsidR="00432704" w:rsidRPr="001D5149"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 w:val="20"/>
                <w:szCs w:val="20"/>
                <w:lang w:eastAsia="en-AU"/>
                <w14:ligatures w14:val="none"/>
              </w:rPr>
            </w:pPr>
          </w:p>
        </w:tc>
        <w:tc>
          <w:tcPr>
            <w:tcW w:w="4651" w:type="dxa"/>
            <w:vMerge/>
          </w:tcPr>
          <w:p w14:paraId="6AFED5D1" w14:textId="77777777" w:rsidR="00432704" w:rsidRPr="001D5149"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p>
        </w:tc>
      </w:tr>
      <w:tr w:rsidR="00432704" w:rsidRPr="001D5149" w14:paraId="0928893A" w14:textId="77777777" w:rsidTr="006A4BC9">
        <w:tc>
          <w:tcPr>
            <w:cnfStyle w:val="001000000000" w:firstRow="0" w:lastRow="0" w:firstColumn="1" w:lastColumn="0" w:oddVBand="0" w:evenVBand="0" w:oddHBand="0" w:evenHBand="0" w:firstRowFirstColumn="0" w:firstRowLastColumn="0" w:lastRowFirstColumn="0" w:lastRowLastColumn="0"/>
            <w:tcW w:w="1560" w:type="dxa"/>
            <w:vMerge w:val="restart"/>
          </w:tcPr>
          <w:p w14:paraId="38D5366D" w14:textId="209E1A12" w:rsidR="00432704" w:rsidRPr="00284440" w:rsidRDefault="00432704" w:rsidP="00432704">
            <w:pPr>
              <w:rPr>
                <w:noProof/>
                <w:sz w:val="20"/>
                <w:szCs w:val="20"/>
              </w:rPr>
            </w:pPr>
            <w:r>
              <w:rPr>
                <w:sz w:val="20"/>
                <w:szCs w:val="20"/>
              </w:rPr>
              <w:fldChar w:fldCharType="begin"/>
            </w:r>
            <w:r>
              <w:rPr>
                <w:sz w:val="20"/>
                <w:szCs w:val="20"/>
              </w:rPr>
              <w:instrText xml:space="preserve"> ADDIN EN.CITE &lt;EndNote&gt;&lt;Cite AuthorYear="1"&gt;&lt;Author&gt;Zhao&lt;/Author&gt;&lt;Year&gt;2022&lt;/Year&gt;&lt;RecNum&gt;17&lt;/RecNum&gt;&lt;DisplayText&gt;Zhao et al. (2022)&lt;/DisplayText&gt;&lt;record&gt;&lt;rec-number&gt;17&lt;/rec-number&gt;&lt;foreign-keys&gt;&lt;key app="EN" db-id="wwsdv2wwp29fenerv0kx5tw9zxtx2fdrprx2" timestamp="1762740335"&gt;17&lt;/key&gt;&lt;/foreign-keys&gt;&lt;ref-type name="Journal Article"&gt;17&lt;/ref-type&gt;&lt;contributors&gt;&lt;authors&gt;&lt;author&gt;Zhao, D.&lt;/author&gt;&lt;author&gt;Li, H. M.&lt;/author&gt;&lt;author&gt;Li, C. X.&lt;/author&gt;&lt;author&gt;Zhou, B.&lt;/author&gt;&lt;/authors&gt;&lt;/contributors&gt;&lt;auth-address&gt;Department of Clinical Epidemiology and Evidence-Based Medicine, The First Hospital of China Medical University, Shenyang 110000, Liaoning, China;School of Public Health, China Medical University, Shenyang 110000, Liaoning, China.&lt;/auth-address&gt;&lt;titles&gt;&lt;title&gt;24-Hour Urinary Sodium Excretion Association with Cardiovascular Events: A Systematic Review and Dose-Response Meta-Analysis&lt;/title&gt;&lt;secondary-title&gt;Biomed Environ Sci&lt;/secondary-title&gt;&lt;/titles&gt;&lt;periodical&gt;&lt;full-title&gt;Biomed Environ Sci&lt;/full-title&gt;&lt;/periodical&gt;&lt;pages&gt;921-930&lt;/pages&gt;&lt;volume&gt;35&lt;/volume&gt;&lt;number&gt;10&lt;/number&gt;&lt;keywords&gt;&lt;keyword&gt;Humans&lt;/keyword&gt;&lt;keyword&gt;Urinalysis&lt;/keyword&gt;&lt;keyword&gt;Sodium Radioisotopes&lt;/keyword&gt;&lt;keyword&gt;*Cardiovascular Diseases/epidemiology&lt;/keyword&gt;&lt;keyword&gt;*Sodium, Dietary/adverse effects&lt;/keyword&gt;&lt;keyword&gt;24-h urinary sodium excretion&lt;/keyword&gt;&lt;keyword&gt;Cardiovascular events&lt;/keyword&gt;&lt;keyword&gt;Dose-response&lt;/keyword&gt;&lt;keyword&gt;Meta-analysis&lt;/keyword&gt;&lt;keyword&gt;Sodium intake&lt;/keyword&gt;&lt;/keywords&gt;&lt;dates&gt;&lt;year&gt;2022&lt;/year&gt;&lt;pub-dates&gt;&lt;date&gt;Oct 20&lt;/date&gt;&lt;/pub-dates&gt;&lt;/dates&gt;&lt;isbn&gt;0895-3988&lt;/isbn&gt;&lt;accession-num&gt;36443269&lt;/accession-num&gt;&lt;urls&gt;&lt;/urls&gt;&lt;electronic-resource-num&gt;10.3967/bes2022.119&lt;/electronic-resource-num&gt;&lt;remote-database-provider&gt;NLM&lt;/remote-database-provider&gt;&lt;language&gt;eng&lt;/language&gt;&lt;/record&gt;&lt;/Cite&gt;&lt;/EndNote&gt;</w:instrText>
            </w:r>
            <w:r>
              <w:rPr>
                <w:sz w:val="20"/>
                <w:szCs w:val="20"/>
              </w:rPr>
              <w:fldChar w:fldCharType="separate"/>
            </w:r>
            <w:r>
              <w:rPr>
                <w:noProof/>
                <w:sz w:val="20"/>
                <w:szCs w:val="20"/>
              </w:rPr>
              <w:t>Zhao et al. (2022)</w:t>
            </w:r>
            <w:r>
              <w:rPr>
                <w:sz w:val="20"/>
                <w:szCs w:val="20"/>
              </w:rPr>
              <w:fldChar w:fldCharType="end"/>
            </w:r>
          </w:p>
        </w:tc>
        <w:tc>
          <w:tcPr>
            <w:tcW w:w="1842" w:type="dxa"/>
          </w:tcPr>
          <w:p w14:paraId="6695BF33" w14:textId="4585326E" w:rsidR="00432704" w:rsidRPr="00747D77"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HIGH</w:t>
            </w:r>
          </w:p>
        </w:tc>
        <w:tc>
          <w:tcPr>
            <w:tcW w:w="1985" w:type="dxa"/>
          </w:tcPr>
          <w:p w14:paraId="19D4EBEF" w14:textId="08AEEF96" w:rsidR="00432704" w:rsidRPr="00747D77"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HIGH</w:t>
            </w:r>
          </w:p>
        </w:tc>
        <w:tc>
          <w:tcPr>
            <w:tcW w:w="1984" w:type="dxa"/>
          </w:tcPr>
          <w:p w14:paraId="186BF297" w14:textId="2493E71C" w:rsidR="00432704" w:rsidRPr="00747D77"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UNCLEAR</w:t>
            </w:r>
          </w:p>
        </w:tc>
        <w:tc>
          <w:tcPr>
            <w:tcW w:w="1985" w:type="dxa"/>
          </w:tcPr>
          <w:p w14:paraId="00463844" w14:textId="2EDD32F8" w:rsidR="00432704" w:rsidRPr="00747D77"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LOW</w:t>
            </w:r>
          </w:p>
        </w:tc>
        <w:tc>
          <w:tcPr>
            <w:tcW w:w="877" w:type="dxa"/>
            <w:vMerge w:val="restart"/>
          </w:tcPr>
          <w:p w14:paraId="20E93F07" w14:textId="687504C4" w:rsidR="00432704" w:rsidRPr="001D5149"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kern w:val="0"/>
                <w:sz w:val="20"/>
                <w:szCs w:val="20"/>
                <w:lang w:eastAsia="en-AU"/>
                <w14:ligatures w14:val="none"/>
              </w:rPr>
            </w:pPr>
            <w:r>
              <w:rPr>
                <w:rFonts w:eastAsia="Times New Roman" w:cs="Times New Roman"/>
                <w:b/>
                <w:bCs/>
                <w:color w:val="000000"/>
                <w:kern w:val="0"/>
                <w:sz w:val="20"/>
                <w:szCs w:val="20"/>
                <w:lang w:eastAsia="en-AU"/>
                <w14:ligatures w14:val="none"/>
              </w:rPr>
              <w:t>HIGH</w:t>
            </w:r>
          </w:p>
        </w:tc>
        <w:tc>
          <w:tcPr>
            <w:tcW w:w="4651" w:type="dxa"/>
            <w:vMerge w:val="restart"/>
          </w:tcPr>
          <w:p w14:paraId="2F23BD79" w14:textId="3B480665" w:rsidR="00432704" w:rsidRPr="001D5149"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proofErr w:type="spellStart"/>
            <w:r>
              <w:rPr>
                <w:rFonts w:eastAsia="Times New Roman" w:cs="Times New Roman"/>
                <w:color w:val="000000"/>
                <w:kern w:val="0"/>
                <w:sz w:val="20"/>
                <w:szCs w:val="20"/>
                <w:lang w:eastAsia="en-AU"/>
                <w14:ligatures w14:val="none"/>
              </w:rPr>
              <w:t>RoB</w:t>
            </w:r>
            <w:proofErr w:type="spellEnd"/>
            <w:r>
              <w:rPr>
                <w:rFonts w:eastAsia="Times New Roman" w:cs="Times New Roman"/>
                <w:color w:val="000000"/>
                <w:kern w:val="0"/>
                <w:sz w:val="20"/>
                <w:szCs w:val="20"/>
                <w:lang w:eastAsia="en-AU"/>
                <w14:ligatures w14:val="none"/>
              </w:rPr>
              <w:t xml:space="preserve"> assessment raises concerns about </w:t>
            </w:r>
            <w:r w:rsidRPr="00102B30">
              <w:rPr>
                <w:rFonts w:eastAsia="Times New Roman" w:cs="Times New Roman"/>
                <w:color w:val="000000"/>
                <w:kern w:val="0"/>
                <w:sz w:val="20"/>
                <w:szCs w:val="20"/>
                <w:lang w:eastAsia="en-AU"/>
                <w14:ligatures w14:val="none"/>
              </w:rPr>
              <w:t xml:space="preserve">whether some studies may have been missed </w:t>
            </w:r>
            <w:r>
              <w:rPr>
                <w:rFonts w:eastAsia="Times New Roman" w:cs="Times New Roman"/>
                <w:color w:val="000000"/>
                <w:kern w:val="0"/>
                <w:sz w:val="20"/>
                <w:szCs w:val="20"/>
                <w:lang w:eastAsia="en-AU"/>
                <w14:ligatures w14:val="none"/>
              </w:rPr>
              <w:t xml:space="preserve">(due to exclusion of non-English studies and search strategy limitations) </w:t>
            </w:r>
            <w:r w:rsidRPr="00102B30">
              <w:rPr>
                <w:rFonts w:eastAsia="Times New Roman" w:cs="Times New Roman"/>
                <w:color w:val="000000"/>
                <w:kern w:val="0"/>
                <w:sz w:val="20"/>
                <w:szCs w:val="20"/>
                <w:lang w:eastAsia="en-AU"/>
                <w14:ligatures w14:val="none"/>
              </w:rPr>
              <w:t xml:space="preserve">or </w:t>
            </w:r>
            <w:r>
              <w:rPr>
                <w:rFonts w:eastAsia="Times New Roman" w:cs="Times New Roman"/>
                <w:color w:val="000000"/>
                <w:kern w:val="0"/>
                <w:sz w:val="20"/>
                <w:szCs w:val="20"/>
                <w:lang w:eastAsia="en-AU"/>
                <w14:ligatures w14:val="none"/>
              </w:rPr>
              <w:t xml:space="preserve">of </w:t>
            </w:r>
            <w:r w:rsidRPr="00102B30">
              <w:rPr>
                <w:rFonts w:eastAsia="Times New Roman" w:cs="Times New Roman"/>
                <w:color w:val="000000"/>
                <w:kern w:val="0"/>
                <w:sz w:val="20"/>
                <w:szCs w:val="20"/>
                <w:lang w:eastAsia="en-AU"/>
                <w14:ligatures w14:val="none"/>
              </w:rPr>
              <w:t>errors</w:t>
            </w:r>
            <w:r>
              <w:rPr>
                <w:rFonts w:eastAsia="Times New Roman" w:cs="Times New Roman"/>
                <w:color w:val="000000"/>
                <w:kern w:val="0"/>
                <w:sz w:val="20"/>
                <w:szCs w:val="20"/>
                <w:lang w:eastAsia="en-AU"/>
                <w14:ligatures w14:val="none"/>
              </w:rPr>
              <w:t xml:space="preserve"> in </w:t>
            </w:r>
            <w:proofErr w:type="spellStart"/>
            <w:r>
              <w:rPr>
                <w:rFonts w:eastAsia="Times New Roman" w:cs="Times New Roman"/>
                <w:color w:val="000000"/>
                <w:kern w:val="0"/>
                <w:sz w:val="20"/>
                <w:szCs w:val="20"/>
                <w:lang w:eastAsia="en-AU"/>
                <w14:ligatures w14:val="none"/>
              </w:rPr>
              <w:t>RoB</w:t>
            </w:r>
            <w:proofErr w:type="spellEnd"/>
            <w:r>
              <w:rPr>
                <w:rFonts w:eastAsia="Times New Roman" w:cs="Times New Roman"/>
                <w:color w:val="000000"/>
                <w:kern w:val="0"/>
                <w:sz w:val="20"/>
                <w:szCs w:val="20"/>
                <w:lang w:eastAsia="en-AU"/>
                <w14:ligatures w14:val="none"/>
              </w:rPr>
              <w:t xml:space="preserve"> assessment</w:t>
            </w:r>
            <w:r w:rsidRPr="00102B30">
              <w:rPr>
                <w:rFonts w:eastAsia="Times New Roman" w:cs="Times New Roman"/>
                <w:color w:val="000000"/>
                <w:kern w:val="0"/>
                <w:sz w:val="20"/>
                <w:szCs w:val="20"/>
                <w:lang w:eastAsia="en-AU"/>
                <w14:ligatures w14:val="none"/>
              </w:rPr>
              <w:t>.</w:t>
            </w:r>
            <w:r>
              <w:rPr>
                <w:rFonts w:eastAsia="Times New Roman" w:cs="Times New Roman"/>
                <w:color w:val="000000"/>
                <w:kern w:val="0"/>
                <w:sz w:val="20"/>
                <w:szCs w:val="20"/>
                <w:lang w:eastAsia="en-AU"/>
                <w14:ligatures w14:val="none"/>
              </w:rPr>
              <w:t xml:space="preserve"> T</w:t>
            </w:r>
            <w:r w:rsidRPr="00102B30">
              <w:rPr>
                <w:rFonts w:eastAsia="Times New Roman" w:cs="Times New Roman"/>
                <w:color w:val="000000"/>
                <w:kern w:val="0"/>
                <w:sz w:val="20"/>
                <w:szCs w:val="20"/>
                <w:lang w:eastAsia="en-AU"/>
                <w14:ligatures w14:val="none"/>
              </w:rPr>
              <w:t>hese concerns are not so significant as to exclude the review entirely</w:t>
            </w:r>
            <w:r>
              <w:rPr>
                <w:rFonts w:eastAsia="Times New Roman" w:cs="Times New Roman"/>
                <w:color w:val="000000"/>
                <w:kern w:val="0"/>
                <w:sz w:val="20"/>
                <w:szCs w:val="20"/>
                <w:lang w:eastAsia="en-AU"/>
                <w14:ligatures w14:val="none"/>
              </w:rPr>
              <w:t>, although findings should be interpreted with caution in view of the review’s risk of bias.</w:t>
            </w:r>
          </w:p>
        </w:tc>
      </w:tr>
      <w:tr w:rsidR="00432704" w:rsidRPr="001D5149" w14:paraId="298EBAB8" w14:textId="77777777" w:rsidTr="006A4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59F768A3" w14:textId="77777777" w:rsidR="00432704" w:rsidRPr="00BB3F3C" w:rsidRDefault="00432704" w:rsidP="00432704">
            <w:pPr>
              <w:rPr>
                <w:rFonts w:eastAsia="Times New Roman" w:cs="Times New Roman"/>
                <w:color w:val="000000"/>
                <w:kern w:val="0"/>
                <w:sz w:val="20"/>
                <w:szCs w:val="20"/>
                <w:lang w:eastAsia="en-AU"/>
                <w14:ligatures w14:val="none"/>
              </w:rPr>
            </w:pPr>
          </w:p>
        </w:tc>
        <w:tc>
          <w:tcPr>
            <w:tcW w:w="1842" w:type="dxa"/>
          </w:tcPr>
          <w:p w14:paraId="03761BB9" w14:textId="69162AF9" w:rsidR="00432704" w:rsidRPr="00747D77"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sidRPr="00F31394">
              <w:rPr>
                <w:rFonts w:eastAsia="Times New Roman" w:cs="Times New Roman"/>
                <w:color w:val="000000"/>
                <w:kern w:val="0"/>
                <w:sz w:val="20"/>
                <w:szCs w:val="20"/>
                <w:lang w:eastAsia="en-AU"/>
                <w14:ligatures w14:val="none"/>
              </w:rPr>
              <w:t>Non-English publications were excluded</w:t>
            </w:r>
          </w:p>
        </w:tc>
        <w:tc>
          <w:tcPr>
            <w:tcW w:w="1985" w:type="dxa"/>
          </w:tcPr>
          <w:p w14:paraId="651227E6" w14:textId="2E220F48" w:rsidR="00432704" w:rsidRPr="00747D77"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 xml:space="preserve">The </w:t>
            </w:r>
            <w:r w:rsidRPr="00F31394">
              <w:rPr>
                <w:rFonts w:eastAsia="Times New Roman" w:cs="Times New Roman"/>
                <w:color w:val="000000"/>
                <w:kern w:val="0"/>
                <w:sz w:val="20"/>
                <w:szCs w:val="20"/>
                <w:lang w:eastAsia="en-AU"/>
                <w14:ligatures w14:val="none"/>
              </w:rPr>
              <w:t>reported search strategy was inadequate</w:t>
            </w:r>
          </w:p>
        </w:tc>
        <w:tc>
          <w:tcPr>
            <w:tcW w:w="1984" w:type="dxa"/>
          </w:tcPr>
          <w:p w14:paraId="04919C64" w14:textId="127B8134" w:rsidR="00432704" w:rsidRPr="00747D77"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 xml:space="preserve">No. </w:t>
            </w:r>
            <w:r w:rsidRPr="00F31394">
              <w:rPr>
                <w:rFonts w:eastAsia="Times New Roman" w:cs="Times New Roman"/>
                <w:color w:val="000000"/>
                <w:kern w:val="0"/>
                <w:sz w:val="20"/>
                <w:szCs w:val="20"/>
                <w:lang w:eastAsia="en-AU"/>
                <w14:ligatures w14:val="none"/>
              </w:rPr>
              <w:t>reviewers involved in the risk of bias assessment was not reported </w:t>
            </w:r>
          </w:p>
        </w:tc>
        <w:tc>
          <w:tcPr>
            <w:tcW w:w="1985" w:type="dxa"/>
          </w:tcPr>
          <w:p w14:paraId="61296924" w14:textId="77777777" w:rsidR="00432704" w:rsidRPr="00747D77"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p>
        </w:tc>
        <w:tc>
          <w:tcPr>
            <w:tcW w:w="877" w:type="dxa"/>
            <w:vMerge/>
          </w:tcPr>
          <w:p w14:paraId="0CB3687E" w14:textId="77777777" w:rsidR="00432704" w:rsidRPr="001D5149"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 w:val="20"/>
                <w:szCs w:val="20"/>
                <w:lang w:eastAsia="en-AU"/>
                <w14:ligatures w14:val="none"/>
              </w:rPr>
            </w:pPr>
          </w:p>
        </w:tc>
        <w:tc>
          <w:tcPr>
            <w:tcW w:w="4651" w:type="dxa"/>
            <w:vMerge/>
          </w:tcPr>
          <w:p w14:paraId="59BC5827" w14:textId="77777777" w:rsidR="00432704" w:rsidRPr="001D5149"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p>
        </w:tc>
      </w:tr>
      <w:tr w:rsidR="00432704" w:rsidRPr="001D5149" w14:paraId="3B2FC010" w14:textId="77777777" w:rsidTr="006A4BC9">
        <w:tc>
          <w:tcPr>
            <w:cnfStyle w:val="001000000000" w:firstRow="0" w:lastRow="0" w:firstColumn="1" w:lastColumn="0" w:oddVBand="0" w:evenVBand="0" w:oddHBand="0" w:evenHBand="0" w:firstRowFirstColumn="0" w:firstRowLastColumn="0" w:lastRowFirstColumn="0" w:lastRowLastColumn="0"/>
            <w:tcW w:w="14884" w:type="dxa"/>
            <w:gridSpan w:val="7"/>
            <w:shd w:val="clear" w:color="auto" w:fill="C1E4F5" w:themeFill="accent1" w:themeFillTint="33"/>
          </w:tcPr>
          <w:p w14:paraId="639DE38F" w14:textId="77777777" w:rsidR="00432704" w:rsidRPr="00BB3F3C" w:rsidRDefault="00432704" w:rsidP="00432704">
            <w:pPr>
              <w:rPr>
                <w:rFonts w:eastAsia="Times New Roman" w:cs="Times New Roman"/>
                <w:kern w:val="0"/>
                <w:sz w:val="20"/>
                <w:szCs w:val="20"/>
                <w:lang w:eastAsia="en-AU"/>
                <w14:ligatures w14:val="none"/>
              </w:rPr>
            </w:pPr>
            <w:r>
              <w:rPr>
                <w:rFonts w:eastAsia="Times New Roman" w:cs="Times New Roman"/>
                <w:kern w:val="0"/>
                <w:sz w:val="20"/>
                <w:szCs w:val="20"/>
                <w:lang w:eastAsia="en-AU"/>
                <w14:ligatures w14:val="none"/>
              </w:rPr>
              <w:t>Other cardiovascular outcomes in children and adolescents</w:t>
            </w:r>
          </w:p>
        </w:tc>
      </w:tr>
      <w:tr w:rsidR="00432704" w:rsidRPr="001D5149" w14:paraId="587733C5" w14:textId="77777777" w:rsidTr="006A4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31E7FADB" w14:textId="52BA4D98" w:rsidR="00432704" w:rsidRPr="00BB3F3C" w:rsidRDefault="00432704" w:rsidP="00432704">
            <w:pPr>
              <w:rPr>
                <w:rFonts w:eastAsia="Times New Roman" w:cs="Times New Roman"/>
                <w:color w:val="000000"/>
                <w:kern w:val="0"/>
                <w:sz w:val="20"/>
                <w:szCs w:val="20"/>
                <w:lang w:eastAsia="en-AU"/>
                <w14:ligatures w14:val="none"/>
              </w:rPr>
            </w:pPr>
            <w:r>
              <w:rPr>
                <w:sz w:val="20"/>
                <w:szCs w:val="20"/>
              </w:rPr>
              <w:fldChar w:fldCharType="begin">
                <w:fldData xml:space="preserve">PEVuZE5vdGU+PENpdGUgQXV0aG9yWWVhcj0iMSI+PEF1dGhvcj5MZWVkPC9BdXRob3I+PFllYXI+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==
</w:fldData>
              </w:fldChar>
            </w:r>
            <w:r>
              <w:rPr>
                <w:sz w:val="20"/>
                <w:szCs w:val="20"/>
              </w:rPr>
              <w:instrText xml:space="preserve"> ADDIN EN.CITE </w:instrText>
            </w:r>
            <w:r>
              <w:rPr>
                <w:sz w:val="20"/>
                <w:szCs w:val="20"/>
              </w:rPr>
              <w:fldChar w:fldCharType="begin">
                <w:fldData xml:space="preserve">PEVuZE5vdGU+PENpdGUgQXV0aG9yWWVhcj0iMSI+PEF1dGhvcj5MZWVkPC9BdXRob3I+PFllYXI+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==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Leed et al. (2023)</w:t>
            </w:r>
            <w:r>
              <w:rPr>
                <w:sz w:val="20"/>
                <w:szCs w:val="20"/>
              </w:rPr>
              <w:fldChar w:fldCharType="end"/>
            </w:r>
          </w:p>
        </w:tc>
        <w:tc>
          <w:tcPr>
            <w:tcW w:w="1842" w:type="dxa"/>
          </w:tcPr>
          <w:p w14:paraId="2B8F839E" w14:textId="6A6C39DA" w:rsidR="00432704" w:rsidRPr="00747D77"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HIGH</w:t>
            </w:r>
          </w:p>
        </w:tc>
        <w:tc>
          <w:tcPr>
            <w:tcW w:w="1985" w:type="dxa"/>
          </w:tcPr>
          <w:p w14:paraId="3BB918FE" w14:textId="35937856" w:rsidR="00432704" w:rsidRPr="00747D77"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LOW</w:t>
            </w:r>
          </w:p>
        </w:tc>
        <w:tc>
          <w:tcPr>
            <w:tcW w:w="1984" w:type="dxa"/>
          </w:tcPr>
          <w:p w14:paraId="4700A4E2" w14:textId="2F4E6144" w:rsidR="00432704" w:rsidRPr="00747D77"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LOW</w:t>
            </w:r>
          </w:p>
        </w:tc>
        <w:tc>
          <w:tcPr>
            <w:tcW w:w="1985" w:type="dxa"/>
          </w:tcPr>
          <w:p w14:paraId="7EC25F6B" w14:textId="36895000" w:rsidR="00432704" w:rsidRPr="00747D77"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LOW</w:t>
            </w:r>
          </w:p>
        </w:tc>
        <w:tc>
          <w:tcPr>
            <w:tcW w:w="877" w:type="dxa"/>
            <w:vMerge w:val="restart"/>
          </w:tcPr>
          <w:p w14:paraId="01D38C9A" w14:textId="3E5D854C" w:rsidR="00432704" w:rsidRPr="001D5149"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 w:val="20"/>
                <w:szCs w:val="20"/>
                <w:lang w:eastAsia="en-AU"/>
                <w14:ligatures w14:val="none"/>
              </w:rPr>
            </w:pPr>
            <w:r>
              <w:rPr>
                <w:rFonts w:eastAsia="Times New Roman" w:cs="Times New Roman"/>
                <w:b/>
                <w:bCs/>
                <w:color w:val="000000"/>
                <w:kern w:val="0"/>
                <w:sz w:val="20"/>
                <w:szCs w:val="20"/>
                <w:lang w:eastAsia="en-AU"/>
                <w14:ligatures w14:val="none"/>
              </w:rPr>
              <w:t>HIGH</w:t>
            </w:r>
          </w:p>
        </w:tc>
        <w:tc>
          <w:tcPr>
            <w:tcW w:w="4651" w:type="dxa"/>
            <w:vMerge w:val="restart"/>
          </w:tcPr>
          <w:p w14:paraId="2D7D026E" w14:textId="77777777" w:rsidR="00432704"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 xml:space="preserve">The review was well-conducted with the only limitations identified during </w:t>
            </w:r>
            <w:proofErr w:type="spellStart"/>
            <w:r>
              <w:rPr>
                <w:rFonts w:eastAsia="Times New Roman" w:cs="Times New Roman"/>
                <w:color w:val="000000"/>
                <w:kern w:val="0"/>
                <w:sz w:val="20"/>
                <w:szCs w:val="20"/>
                <w:lang w:eastAsia="en-AU"/>
                <w14:ligatures w14:val="none"/>
              </w:rPr>
              <w:t>RoB</w:t>
            </w:r>
            <w:proofErr w:type="spellEnd"/>
            <w:r>
              <w:rPr>
                <w:rFonts w:eastAsia="Times New Roman" w:cs="Times New Roman"/>
                <w:color w:val="000000"/>
                <w:kern w:val="0"/>
                <w:sz w:val="20"/>
                <w:szCs w:val="20"/>
                <w:lang w:eastAsia="en-AU"/>
                <w14:ligatures w14:val="none"/>
              </w:rPr>
              <w:t xml:space="preserve"> assessment being the exclusion of non-English studies and conference abstracts. </w:t>
            </w:r>
          </w:p>
          <w:p w14:paraId="2BC5A5D2" w14:textId="0BC27978" w:rsidR="00432704" w:rsidRPr="001D5149" w:rsidRDefault="00432704" w:rsidP="00432704">
            <w:pPr>
              <w:keepNex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Although these decisions may have led to the omission of relevant studies, these concerns are not significant enough to preclude the use of the review to inform decision making.</w:t>
            </w:r>
          </w:p>
        </w:tc>
      </w:tr>
      <w:tr w:rsidR="00432704" w:rsidRPr="001D5149" w14:paraId="50F771EC" w14:textId="77777777" w:rsidTr="006A4BC9">
        <w:tc>
          <w:tcPr>
            <w:cnfStyle w:val="001000000000" w:firstRow="0" w:lastRow="0" w:firstColumn="1" w:lastColumn="0" w:oddVBand="0" w:evenVBand="0" w:oddHBand="0" w:evenHBand="0" w:firstRowFirstColumn="0" w:firstRowLastColumn="0" w:lastRowFirstColumn="0" w:lastRowLastColumn="0"/>
            <w:tcW w:w="1560" w:type="dxa"/>
            <w:vMerge/>
          </w:tcPr>
          <w:p w14:paraId="7009EC2C" w14:textId="77777777" w:rsidR="00432704" w:rsidRPr="00BB3F3C" w:rsidRDefault="00432704" w:rsidP="00432704">
            <w:pPr>
              <w:rPr>
                <w:rFonts w:eastAsia="Times New Roman" w:cs="Times New Roman"/>
                <w:color w:val="000000"/>
                <w:kern w:val="0"/>
                <w:sz w:val="20"/>
                <w:szCs w:val="20"/>
                <w:lang w:eastAsia="en-AU"/>
                <w14:ligatures w14:val="none"/>
              </w:rPr>
            </w:pPr>
          </w:p>
        </w:tc>
        <w:tc>
          <w:tcPr>
            <w:tcW w:w="1842" w:type="dxa"/>
          </w:tcPr>
          <w:p w14:paraId="47B64B7F" w14:textId="6C213FC7" w:rsidR="00432704" w:rsidRPr="00524533"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kern w:val="0"/>
                <w:sz w:val="20"/>
                <w:szCs w:val="20"/>
                <w:lang w:eastAsia="en-AU"/>
                <w14:ligatures w14:val="none"/>
              </w:rPr>
            </w:pPr>
            <w:r w:rsidRPr="00524533">
              <w:rPr>
                <w:rFonts w:eastAsia="Times New Roman" w:cs="Times New Roman"/>
                <w:i/>
                <w:iCs/>
                <w:color w:val="000000"/>
                <w:kern w:val="0"/>
                <w:sz w:val="20"/>
                <w:szCs w:val="20"/>
                <w:lang w:eastAsia="en-AU"/>
                <w14:ligatures w14:val="none"/>
              </w:rPr>
              <w:t xml:space="preserve">Limited to studies </w:t>
            </w:r>
            <w:r>
              <w:rPr>
                <w:rFonts w:eastAsia="Times New Roman" w:cs="Times New Roman"/>
                <w:i/>
                <w:iCs/>
                <w:color w:val="000000"/>
                <w:kern w:val="0"/>
                <w:sz w:val="20"/>
                <w:szCs w:val="20"/>
                <w:lang w:eastAsia="en-AU"/>
                <w14:ligatures w14:val="none"/>
              </w:rPr>
              <w:t>published in English and excluded conference abstracts</w:t>
            </w:r>
          </w:p>
        </w:tc>
        <w:tc>
          <w:tcPr>
            <w:tcW w:w="1985" w:type="dxa"/>
          </w:tcPr>
          <w:p w14:paraId="377B1630" w14:textId="77777777" w:rsidR="00432704" w:rsidRPr="00747D77"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p>
        </w:tc>
        <w:tc>
          <w:tcPr>
            <w:tcW w:w="1984" w:type="dxa"/>
          </w:tcPr>
          <w:p w14:paraId="080EFB1E" w14:textId="77777777" w:rsidR="00432704" w:rsidRPr="00747D77"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p>
        </w:tc>
        <w:tc>
          <w:tcPr>
            <w:tcW w:w="1985" w:type="dxa"/>
          </w:tcPr>
          <w:p w14:paraId="41C472E8" w14:textId="77777777" w:rsidR="00432704" w:rsidRPr="00747D77"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p>
        </w:tc>
        <w:tc>
          <w:tcPr>
            <w:tcW w:w="877" w:type="dxa"/>
            <w:vMerge/>
          </w:tcPr>
          <w:p w14:paraId="28791349" w14:textId="77777777" w:rsidR="00432704" w:rsidRPr="001D5149"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kern w:val="0"/>
                <w:sz w:val="20"/>
                <w:szCs w:val="20"/>
                <w:lang w:eastAsia="en-AU"/>
                <w14:ligatures w14:val="none"/>
              </w:rPr>
            </w:pPr>
          </w:p>
        </w:tc>
        <w:tc>
          <w:tcPr>
            <w:tcW w:w="4651" w:type="dxa"/>
            <w:vMerge/>
          </w:tcPr>
          <w:p w14:paraId="47E5ABAA" w14:textId="77777777" w:rsidR="00432704" w:rsidRPr="001D5149" w:rsidRDefault="00432704" w:rsidP="00432704">
            <w:pPr>
              <w:keepNex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AU"/>
                <w14:ligatures w14:val="none"/>
              </w:rPr>
            </w:pPr>
          </w:p>
        </w:tc>
      </w:tr>
    </w:tbl>
    <w:p w14:paraId="3FDA4A6B" w14:textId="77777777" w:rsidR="000B7C18" w:rsidRDefault="000B7C18" w:rsidP="000B7C18"/>
    <w:p w14:paraId="10940E14" w14:textId="6EA09269" w:rsidR="00213532" w:rsidRDefault="00213532" w:rsidP="2145493A">
      <w:pPr>
        <w:spacing w:line="360" w:lineRule="auto"/>
      </w:pPr>
    </w:p>
    <w:p w14:paraId="4F8BDD6C" w14:textId="77777777" w:rsidR="000E0B5A" w:rsidRDefault="000E0B5A" w:rsidP="2145493A">
      <w:pPr>
        <w:spacing w:line="360" w:lineRule="auto"/>
        <w:sectPr w:rsidR="000E0B5A" w:rsidSect="00C55CF1">
          <w:headerReference w:type="default" r:id="rId217"/>
          <w:footnotePr>
            <w:pos w:val="beneathText"/>
          </w:footnotePr>
          <w:pgSz w:w="16838" w:h="11906" w:orient="landscape"/>
          <w:pgMar w:top="709" w:right="1440" w:bottom="993" w:left="1440" w:header="708" w:footer="708" w:gutter="0"/>
          <w:cols w:space="708"/>
          <w:docGrid w:linePitch="360"/>
        </w:sectPr>
      </w:pPr>
    </w:p>
    <w:p w14:paraId="30BCC7E5" w14:textId="5CC6524C" w:rsidR="00006F9F" w:rsidRDefault="00B81D0F" w:rsidP="00D61967">
      <w:pPr>
        <w:pStyle w:val="Heading1"/>
        <w:spacing w:before="0" w:after="0"/>
        <w:rPr>
          <w:b/>
          <w:bCs/>
        </w:rPr>
      </w:pPr>
      <w:bookmarkStart w:id="144" w:name="_Toc234960909"/>
      <w:bookmarkStart w:id="145" w:name="_Toc210406419"/>
      <w:r>
        <w:rPr>
          <w:b/>
          <w:bCs/>
        </w:rPr>
        <w:lastRenderedPageBreak/>
        <w:t xml:space="preserve">Appendix </w:t>
      </w:r>
      <w:r w:rsidR="003774E3">
        <w:rPr>
          <w:b/>
          <w:bCs/>
        </w:rPr>
        <w:t>D</w:t>
      </w:r>
      <w:r>
        <w:rPr>
          <w:b/>
          <w:bCs/>
        </w:rPr>
        <w:t xml:space="preserve"> - </w:t>
      </w:r>
      <w:r w:rsidR="00006F9F" w:rsidRPr="005F45FC">
        <w:rPr>
          <w:b/>
          <w:bCs/>
        </w:rPr>
        <w:t xml:space="preserve">Evidence-to-Decision </w:t>
      </w:r>
      <w:r w:rsidR="004F7A92">
        <w:rPr>
          <w:b/>
          <w:bCs/>
        </w:rPr>
        <w:t>Tables</w:t>
      </w:r>
      <w:bookmarkEnd w:id="144"/>
    </w:p>
    <w:p w14:paraId="45349C2A" w14:textId="52931EA6" w:rsidR="002A7D19" w:rsidRPr="00BB3C9A" w:rsidRDefault="002A7D19" w:rsidP="00D61967">
      <w:pPr>
        <w:pStyle w:val="Heading1"/>
        <w:spacing w:before="200"/>
      </w:pPr>
      <w:bookmarkStart w:id="146" w:name="_Toc228804618"/>
      <w:bookmarkStart w:id="147" w:name="_Toc234960910"/>
      <w:bookmarkStart w:id="148" w:name="_Toc228804636"/>
      <w:bookmarkEnd w:id="145"/>
      <w:r>
        <w:t>Evidence-to-Decision Framework – Sodium r</w:t>
      </w:r>
      <w:r w:rsidRPr="00BB3C9A">
        <w:t xml:space="preserve">equirements for </w:t>
      </w:r>
      <w:r>
        <w:t>nutri</w:t>
      </w:r>
      <w:r w:rsidR="006A7761">
        <w:t>tional</w:t>
      </w:r>
      <w:r>
        <w:t xml:space="preserve"> </w:t>
      </w:r>
      <w:bookmarkEnd w:id="146"/>
      <w:r>
        <w:t>adequacy</w:t>
      </w:r>
      <w:bookmarkEnd w:id="147"/>
    </w:p>
    <w:p w14:paraId="0E57C9E8" w14:textId="77777777" w:rsidR="002A7D19" w:rsidRPr="00BB3C9A" w:rsidRDefault="002A7D19" w:rsidP="002A7D19">
      <w:pPr>
        <w:pStyle w:val="Heading2"/>
      </w:pPr>
      <w:bookmarkStart w:id="149" w:name="_Toc228804619"/>
      <w:bookmarkStart w:id="150" w:name="_Toc234960911"/>
      <w:r w:rsidRPr="00BB3C9A">
        <w:t>Background</w:t>
      </w:r>
      <w:bookmarkEnd w:id="149"/>
      <w:bookmarkEnd w:id="150"/>
    </w:p>
    <w:p w14:paraId="58E98A2B" w14:textId="77777777" w:rsidR="002A7D19" w:rsidRPr="00BB3C9A" w:rsidRDefault="002A7D19" w:rsidP="002A7D19">
      <w:pPr>
        <w:pStyle w:val="Heading3"/>
      </w:pPr>
      <w:bookmarkStart w:id="151" w:name="_Toc228804620"/>
      <w:bookmarkStart w:id="152" w:name="_Toc234960912"/>
      <w:r>
        <w:t>Sodium</w:t>
      </w:r>
      <w:r w:rsidRPr="00BB3C9A">
        <w:t xml:space="preserve"> </w:t>
      </w:r>
      <w:r>
        <w:t>-</w:t>
      </w:r>
      <w:r w:rsidRPr="00BB3C9A">
        <w:t xml:space="preserve"> function and dietary sources</w:t>
      </w:r>
      <w:bookmarkEnd w:id="151"/>
      <w:bookmarkEnd w:id="152"/>
    </w:p>
    <w:p w14:paraId="12667901" w14:textId="77777777" w:rsidR="002A7D19" w:rsidRDefault="002A7D19" w:rsidP="002A7D19">
      <w:r w:rsidRPr="003737CB">
        <w:t>Sodium</w:t>
      </w:r>
      <w:r>
        <w:t xml:space="preserve"> is an essential mineral</w:t>
      </w:r>
      <w:r w:rsidRPr="003737CB">
        <w:t xml:space="preserve"> </w:t>
      </w:r>
      <w:r>
        <w:t xml:space="preserve">that plays a central role in maintaining the body’s fluid balance and supporting normal cellular function. </w:t>
      </w:r>
      <w:r w:rsidRPr="00637BB0">
        <w:t>Sodium balance is maintained through closely integrated hormonal and neural control systems</w:t>
      </w:r>
      <w:r>
        <w:t>, with the kidneys playing a central role in homeostasis, adjusting s</w:t>
      </w:r>
      <w:r w:rsidRPr="00637BB0">
        <w:t xml:space="preserve">odium excretion to </w:t>
      </w:r>
      <w:r>
        <w:t>maintain stable plasma sodium concentration despite large day-to-day variation in intake</w:t>
      </w:r>
      <w:r w:rsidRPr="00637BB0">
        <w:t xml:space="preserve">. Hormones such as aldosterone and angiotensin regulate how much sodium is conserved or lost in urine, while thirst and water retention respond to changes in blood concentration and volume. In healthy individuals, these systems are highly effective, </w:t>
      </w:r>
      <w:r>
        <w:t xml:space="preserve">with hyponatraemia (low sodium concentration in blood) typically occurring in the context of disorders of water or electrolyte balance rather than due to inadequate dietary sodium intake </w:t>
      </w:r>
      <w:r>
        <w:fldChar w:fldCharType="begin"/>
      </w:r>
      <w:r>
        <w:instrText xml:space="preserve"> ADDIN EN.CITE &lt;EndNote&gt;&lt;Cite ExcludeAuth="1"&gt;&lt;Author&gt;European Food Safety Authority&lt;/Author&gt;&lt;Year&gt;2019&lt;/Year&gt;&lt;RecNum&gt;1&lt;/RecNum&gt;&lt;Prefix&gt;EFSA`,&lt;/Prefix&gt;&lt;DisplayText&gt;(EFSA,2019)&lt;/DisplayText&gt;&lt;record&gt;&lt;rec-number&gt;1&lt;/rec-number&gt;&lt;foreign-keys&gt;&lt;key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fldChar w:fldCharType="separate"/>
      </w:r>
      <w:r>
        <w:rPr>
          <w:noProof/>
        </w:rPr>
        <w:t>(EFSA,2019)</w:t>
      </w:r>
      <w:r>
        <w:fldChar w:fldCharType="end"/>
      </w:r>
      <w:r>
        <w:t xml:space="preserve">. </w:t>
      </w:r>
      <w:r w:rsidRPr="00637BB0">
        <w:t>In contrast, long</w:t>
      </w:r>
      <w:r w:rsidRPr="00637BB0">
        <w:noBreakHyphen/>
        <w:t xml:space="preserve">term high sodium intake is strongly linked to increased </w:t>
      </w:r>
      <w:r>
        <w:t xml:space="preserve">systolic </w:t>
      </w:r>
      <w:r w:rsidRPr="00637BB0">
        <w:t>blood pressure</w:t>
      </w:r>
      <w:r>
        <w:t xml:space="preserve">, which is an independent risk factor for </w:t>
      </w:r>
      <w:r w:rsidRPr="00637BB0">
        <w:t>cardiovascular disease</w:t>
      </w:r>
      <w:r>
        <w:t xml:space="preserve"> morbidity and mortality</w:t>
      </w:r>
      <w:r w:rsidRPr="00637BB0">
        <w:t>.</w:t>
      </w:r>
    </w:p>
    <w:p w14:paraId="003CC5A1" w14:textId="670E32E5" w:rsidR="002A7D19" w:rsidRDefault="002A7D19" w:rsidP="002A7D19">
      <w:pPr>
        <w:rPr>
          <w:lang w:val="en-NZ"/>
        </w:rPr>
      </w:pPr>
      <w:r w:rsidRPr="00776D7C">
        <w:t>Sodium is present in small amounts in all unprocessed foods, including meat and fish (between 30 and 150mg per 100g) and fruits and vegetables (less than 50mg per 100g)</w:t>
      </w:r>
      <w:r w:rsidRPr="00863A6C">
        <w:t xml:space="preserve"> </w:t>
      </w:r>
      <w:r>
        <w:fldChar w:fldCharType="begin"/>
      </w:r>
      <w:r>
        <w:instrText xml:space="preserve"> ADDIN EN.CITE &lt;EndNote&gt;&lt;Cite ExcludeAuth="1"&gt;&lt;Author&gt;European Food Safety Authority&lt;/Author&gt;&lt;Year&gt;2019&lt;/Year&gt;&lt;RecNum&gt;1&lt;/RecNum&gt;&lt;Prefix&gt;EFSA`,&lt;/Prefix&gt;&lt;DisplayText&gt;(EFSA,2019)&lt;/DisplayText&gt;&lt;record&gt;&lt;rec-number&gt;1&lt;/rec-number&gt;&lt;foreign-keys&gt;&lt;key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fldChar w:fldCharType="separate"/>
      </w:r>
      <w:r>
        <w:rPr>
          <w:noProof/>
        </w:rPr>
        <w:t>(EFSA,2019)</w:t>
      </w:r>
      <w:r>
        <w:fldChar w:fldCharType="end"/>
      </w:r>
      <w:r w:rsidRPr="00776D7C">
        <w:t>.</w:t>
      </w:r>
      <w:r w:rsidRPr="00CF5142">
        <w:t xml:space="preserve"> </w:t>
      </w:r>
      <w:r w:rsidRPr="00776D7C">
        <w:t>However, the predominant source of dietary sodium is through the addition of sodium chloride or ‘salt’ to foods during manufacturing or processing, cooking or at the table</w:t>
      </w:r>
      <w:r>
        <w:t xml:space="preserve">. It has previously been estimated that 80% of Australians’ dietary sodium comes from processed foods, with 20% coming from salt used in cooking or added at the table </w:t>
      </w:r>
      <w:r>
        <w:fldChar w:fldCharType="begin"/>
      </w:r>
      <w:r>
        <w:instrText xml:space="preserve"> ADDIN EN.CITE &lt;EndNote&gt;&lt;Cite&gt;&lt;Author&gt;Boorman&lt;/Author&gt;&lt;Year&gt;2008&lt;/Year&gt;&lt;RecNum&gt;4624&lt;/RecNum&gt;&lt;DisplayText&gt;(Boorman, 2008; FSANZ, 2015)&lt;/DisplayText&gt;&lt;record&gt;&lt;rec-number&gt;4624&lt;/rec-number&gt;&lt;foreign-keys&gt;&lt;key app="EN" db-id="wwsdv2wwp29fenerv0kx5tw9zxtx2fdrprx2" timestamp="1774922789"&gt;4624&lt;/key&gt;&lt;/foreign-keys&gt;&lt;ref-type name="Government Document"&gt;46&lt;/ref-type&gt;&lt;contributors&gt;&lt;authors&gt;&lt;author&gt;Boorman, J., Cunningham, J., Mackerras, D.&lt;/author&gt;&lt;/authors&gt;&lt;secondary-authors&gt;&lt;author&gt;Food Standards Australia New Zealand, FSANZ&lt;/author&gt;&lt;/secondary-authors&gt;&lt;/contributors&gt;&lt;titles&gt;&lt;title&gt;Salt Intake from Processed Food and Discretionary Use in Australia&lt;/title&gt;&lt;/titles&gt;&lt;dates&gt;&lt;year&gt;2008&lt;/year&gt;&lt;/dates&gt;&lt;pub-location&gt;ACT, Australia&lt;/pub-location&gt;&lt;publisher&gt;FSANZ&lt;/publisher&gt;&lt;urls&gt;&lt;related-urls&gt;&lt;url&gt;https://www.foodstandards.gov.au/sites/default/files/consumer/nutrition/salthowmuch/Documents/Salt_Intake_5.pdf&lt;/url&gt;&lt;/related-urls&gt;&lt;/urls&gt;&lt;access-date&gt;31/03/2026&lt;/access-date&gt;&lt;/record&gt;&lt;/Cite&gt;&lt;Cite ExcludeAuth="1"&gt;&lt;Author&gt;Food Standards Australia New Zealand&lt;/Author&gt;&lt;Year&gt;2015&lt;/Year&gt;&lt;RecNum&gt;4623&lt;/RecNum&gt;&lt;Prefix&gt;FSANZ`, &lt;/Prefix&gt;&lt;record&gt;&lt;rec-number&gt;4623&lt;/rec-number&gt;&lt;foreign-keys&gt;&lt;key app="EN" db-id="wwsdv2wwp29fenerv0kx5tw9zxtx2fdrprx2" timestamp="1774922688"&gt;4623&lt;/key&gt;&lt;/foreign-keys&gt;&lt;ref-type name="Web Page"&gt;12&lt;/ref-type&gt;&lt;contributors&gt;&lt;authors&gt;&lt;author&gt;Food Standards Australia New Zealand, FSANZ&lt;/author&gt;&lt;/authors&gt;&lt;/contributors&gt;&lt;titles&gt;&lt;title&gt;How much sodium do Australians eat?&lt;/title&gt;&lt;/titles&gt;&lt;volume&gt;2026&lt;/volume&gt;&lt;number&gt;31/03/2026&lt;/number&gt;&lt;dates&gt;&lt;year&gt;2015&lt;/year&gt;&lt;pub-dates&gt;&lt;date&gt;26/11/2025&lt;/date&gt;&lt;/pub-dates&gt;&lt;/dates&gt;&lt;publisher&gt;FSANZ&lt;/publisher&gt;&lt;urls&gt;&lt;related-urls&gt;&lt;url&gt;https://www.foodstandards.gov.au/consumer/nutrition/sodium-salt/salthowmuch&lt;/url&gt;&lt;/related-urls&gt;&lt;/urls&gt;&lt;/record&gt;&lt;/Cite&gt;&lt;/EndNote&gt;</w:instrText>
      </w:r>
      <w:r>
        <w:fldChar w:fldCharType="separate"/>
      </w:r>
      <w:r>
        <w:rPr>
          <w:noProof/>
        </w:rPr>
        <w:t>(Boorman, 2008; FSANZ, 2015)</w:t>
      </w:r>
      <w:r>
        <w:fldChar w:fldCharType="end"/>
      </w:r>
      <w:r w:rsidRPr="00776D7C">
        <w:t>.</w:t>
      </w:r>
      <w:r>
        <w:t xml:space="preserve"> </w:t>
      </w:r>
      <w:r>
        <w:rPr>
          <w:lang w:val="en-NZ"/>
        </w:rPr>
        <w:t xml:space="preserve">Data from the 2023-24 National Nutrition and Physical Activity Survey </w:t>
      </w:r>
      <w:r>
        <w:t xml:space="preserve">suggests that </w:t>
      </w:r>
      <w:r w:rsidRPr="00766ADB">
        <w:t xml:space="preserve">almost four in five (78.1%) </w:t>
      </w:r>
      <w:r>
        <w:t xml:space="preserve">Australians </w:t>
      </w:r>
      <w:r w:rsidRPr="00766ADB">
        <w:t xml:space="preserve">aged 2 years and over added salt </w:t>
      </w:r>
      <w:r>
        <w:t xml:space="preserve">during food preparation or </w:t>
      </w:r>
      <w:r w:rsidRPr="00766ADB">
        <w:t>cooking, and</w:t>
      </w:r>
      <w:r>
        <w:t xml:space="preserve"> almost half (</w:t>
      </w:r>
      <w:r w:rsidRPr="00766ADB">
        <w:t>45.5%</w:t>
      </w:r>
      <w:r>
        <w:t>)</w:t>
      </w:r>
      <w:r w:rsidRPr="00766ADB">
        <w:t xml:space="preserve"> added salt at the table</w:t>
      </w:r>
      <w:r>
        <w:t xml:space="preserve"> </w:t>
      </w:r>
      <w:r>
        <w:fldChar w:fldCharType="begin"/>
      </w:r>
      <w:r>
        <w:instrText xml:space="preserve"> ADDIN EN.CITE &lt;EndNote&gt;&lt;Cite ExcludeAuth="1"&gt;&lt;Author&gt;Australian Bureau of Statistics&lt;/Author&gt;&lt;Year&gt;2023&lt;/Year&gt;&lt;RecNum&gt;4625&lt;/RecNum&gt;&lt;Prefix&gt;ABS`, &lt;/Prefix&gt;&lt;DisplayText&gt;(ABS, 2023b)&lt;/DisplayText&gt;&lt;record&gt;&lt;rec-number&gt;4625&lt;/rec-number&gt;&lt;foreign-keys&gt;&lt;key app="EN" db-id="wwsdv2wwp29fenerv0kx5tw9zxtx2fdrprx2" timestamp="1774922973"&gt;4625&lt;/key&gt;&lt;/foreign-keys&gt;&lt;ref-type name="Dataset"&gt;59&lt;/ref-type&gt;&lt;contributors&gt;&lt;authors&gt;&lt;author&gt;Australian Bureau of Statistics,&lt;/author&gt;&lt;/authors&gt;&lt;secondary-authors&gt;&lt;author&gt;Australian Bureau of Statistics,&lt;/author&gt;&lt;/secondary-authors&gt;&lt;/contributors&gt;&lt;titles&gt;&lt;title&gt; National Nutrition and Physical Activity Survey: Food and nutrients&lt;/title&gt;&lt;/titles&gt;&lt;section&gt;05/09/2025&lt;/section&gt;&lt;dates&gt;&lt;year&gt;2023&lt;/year&gt;&lt;/dates&gt;&lt;urls&gt;&lt;related-urls&gt;&lt;url&gt;https://www.abs.gov.au/statistics/health/food-and-nutrition/food-and-nutrients/2023&lt;/url&gt;&lt;/related-urls&gt;&lt;/urls&gt;&lt;access-date&gt;31/03/2026&lt;/access-date&gt;&lt;/record&gt;&lt;/Cite&gt;&lt;/EndNote&gt;</w:instrText>
      </w:r>
      <w:r>
        <w:fldChar w:fldCharType="separate"/>
      </w:r>
      <w:r>
        <w:rPr>
          <w:noProof/>
        </w:rPr>
        <w:t>(ABS, 2023b)</w:t>
      </w:r>
      <w:r>
        <w:fldChar w:fldCharType="end"/>
      </w:r>
      <w:r>
        <w:t>.</w:t>
      </w:r>
      <w:r w:rsidRPr="00766ADB">
        <w:t xml:space="preserve"> </w:t>
      </w:r>
      <w:r>
        <w:t>Leading food groups contributing to sodium intake were cereal-based mixed dishes (24.6%), bread and bread rolls (7.0%), processed meat (5.2%), poultry-based mixed dishes (5.2%) and pastries (4.4%)</w:t>
      </w:r>
      <w:r>
        <w:fldChar w:fldCharType="begin"/>
      </w:r>
      <w:r>
        <w:instrText xml:space="preserve"> ADDIN EN.CITE &lt;EndNote&gt;&lt;Cite ExcludeAuth="1"&gt;&lt;Author&gt;Australian Bureau of Statistics&lt;/Author&gt;&lt;Year&gt;2023&lt;/Year&gt;&lt;RecNum&gt;4625&lt;/RecNum&gt;&lt;Prefix&gt;ABS`, &lt;/Prefix&gt;&lt;DisplayText&gt;(ABS, 2023b)&lt;/DisplayText&gt;&lt;record&gt;&lt;rec-number&gt;4625&lt;/rec-number&gt;&lt;foreign-keys&gt;&lt;key app="EN" db-id="wwsdv2wwp29fenerv0kx5tw9zxtx2fdrprx2" timestamp="1774922973"&gt;4625&lt;/key&gt;&lt;/foreign-keys&gt;&lt;ref-type name="Dataset"&gt;59&lt;/ref-type&gt;&lt;contributors&gt;&lt;authors&gt;&lt;author&gt;Australian Bureau of Statistics,&lt;/author&gt;&lt;/authors&gt;&lt;secondary-authors&gt;&lt;author&gt;Australian Bureau of Statistics,&lt;/author&gt;&lt;/secondary-authors&gt;&lt;/contributors&gt;&lt;titles&gt;&lt;title&gt; National Nutrition and Physical Activity Survey: Food and nutrients&lt;/title&gt;&lt;/titles&gt;&lt;section&gt;05/09/2025&lt;/section&gt;&lt;dates&gt;&lt;year&gt;2023&lt;/year&gt;&lt;/dates&gt;&lt;urls&gt;&lt;related-urls&gt;&lt;url&gt;https://www.abs.gov.au/statistics/health/food-and-nutrition/food-and-nutrients/2023&lt;/url&gt;&lt;/related-urls&gt;&lt;/urls&gt;&lt;access-date&gt;31/03/2026&lt;/access-date&gt;&lt;/record&gt;&lt;/Cite&gt;&lt;/EndNote&gt;</w:instrText>
      </w:r>
      <w:r>
        <w:fldChar w:fldCharType="separate"/>
      </w:r>
      <w:r>
        <w:rPr>
          <w:noProof/>
        </w:rPr>
        <w:t>(ABS, 2023b)</w:t>
      </w:r>
      <w:r>
        <w:fldChar w:fldCharType="end"/>
      </w:r>
      <w:r>
        <w:t>.</w:t>
      </w:r>
    </w:p>
    <w:p w14:paraId="36764FAF" w14:textId="77777777" w:rsidR="002A7D19" w:rsidRPr="00BB3C9A" w:rsidRDefault="002A7D19" w:rsidP="002A7D19">
      <w:pPr>
        <w:pStyle w:val="Heading3"/>
      </w:pPr>
      <w:bookmarkStart w:id="153" w:name="_Toc228804621"/>
      <w:bookmarkStart w:id="154" w:name="_Toc234960913"/>
      <w:r w:rsidRPr="00BB3C9A">
        <w:t xml:space="preserve">Criteria for measuring </w:t>
      </w:r>
      <w:r>
        <w:t xml:space="preserve">sodium </w:t>
      </w:r>
      <w:r w:rsidRPr="00BB3C9A">
        <w:t>intake</w:t>
      </w:r>
      <w:bookmarkEnd w:id="153"/>
      <w:bookmarkEnd w:id="154"/>
    </w:p>
    <w:p w14:paraId="73DBCE21" w14:textId="06ADDDA8" w:rsidR="002A7D19" w:rsidRPr="007E13FC" w:rsidRDefault="002A7D19" w:rsidP="002A7D19">
      <w:r w:rsidRPr="00A84E25">
        <w:rPr>
          <w:lang w:val="en-NZ"/>
        </w:rPr>
        <w:t>In healthy people</w:t>
      </w:r>
      <w:r>
        <w:rPr>
          <w:lang w:val="en-NZ"/>
        </w:rPr>
        <w:t>,</w:t>
      </w:r>
      <w:r w:rsidRPr="00A84E25">
        <w:rPr>
          <w:lang w:val="en-NZ"/>
        </w:rPr>
        <w:t xml:space="preserve"> most dietary sodium is excreted via urine (around 90%), with some sodium lost in sweat and faeces </w:t>
      </w:r>
      <w:r w:rsidRPr="00A84E25">
        <w:rPr>
          <w:lang w:val="en-NZ"/>
        </w:rPr>
        <w:fldChar w:fldCharType="begin"/>
      </w:r>
      <w:r>
        <w:rPr>
          <w:lang w:val="en-NZ"/>
        </w:rPr>
        <w:instrText xml:space="preserve"> ADDIN EN.CITE &lt;EndNote&gt;&lt;Cite&gt;&lt;Author&gt;He&lt;/Author&gt;&lt;Year&gt;2010&lt;/Year&gt;&lt;RecNum&gt;2&lt;/RecNum&gt;&lt;DisplayText&gt;(He &amp;amp; MacGregor, 2010)&lt;/DisplayText&gt;&lt;record&gt;&lt;rec-number&gt;2&lt;/rec-number&gt;&lt;foreign-keys&gt;&lt;key app="EN" db-id="s590v22vexrwt2e9f9pxtw9mrep5aa2dr2s0" timestamp="1774919572"&gt;2&lt;/key&gt;&lt;/foreign-keys&gt;&lt;ref-type name="Journal Article"&gt;17&lt;/ref-type&gt;&lt;contributors&gt;&lt;authors&gt;&lt;author&gt;He, F. J.&lt;/author&gt;&lt;author&gt;MacGregor, G. A.&lt;/author&gt;&lt;/authors&gt;&lt;/contributors&gt;&lt;auth-address&gt;Wolfson Institute of Preventive Medicine, Barts and The London School of Medicine and Dentistry, Queen Mary University of London, London, UK. f.he@qmul.ac.uk&lt;/auth-address&gt;&lt;titles&gt;&lt;title&gt;Reducing population salt intake worldwide: from evidence to implementation&lt;/title&gt;&lt;secondary-title&gt;Prog Cardiovasc Dis&lt;/secondary-title&gt;&lt;/titles&gt;&lt;periodical&gt;&lt;full-title&gt;Prog Cardiovasc Dis&lt;/full-title&gt;&lt;/periodical&gt;&lt;pages&gt;363-82&lt;/pages&gt;&lt;volume&gt;52&lt;/volume&gt;&lt;number&gt;5&lt;/number&gt;&lt;keywords&gt;&lt;keyword&gt;Animals&lt;/keyword&gt;&lt;keyword&gt;Blood Pressure&lt;/keyword&gt;&lt;keyword&gt;Cardiovascular Diseases/economics/etiology/physiopathology/*prevention &amp;amp; control&lt;/keyword&gt;&lt;keyword&gt;Cost-Benefit Analysis&lt;/keyword&gt;&lt;keyword&gt;*Diet, Sodium-Restricted/economics&lt;/keyword&gt;&lt;keyword&gt;Evidence-Based Medicine&lt;/keyword&gt;&lt;keyword&gt;Food Industry&lt;/keyword&gt;&lt;keyword&gt;*Global Health&lt;/keyword&gt;&lt;keyword&gt;Health Care Costs&lt;/keyword&gt;&lt;keyword&gt;Health Promotion&lt;/keyword&gt;&lt;keyword&gt;Humans&lt;/keyword&gt;&lt;keyword&gt;Hypertension/economics/etiology/physiopathology/*prevention &amp;amp; control&lt;/keyword&gt;&lt;keyword&gt;*Nutrition Policy&lt;/keyword&gt;&lt;keyword&gt;Public Health&lt;/keyword&gt;&lt;keyword&gt;Risk Assessment&lt;/keyword&gt;&lt;keyword&gt;Risk Factors&lt;/keyword&gt;&lt;keyword&gt;Risk Reduction Behavior&lt;/keyword&gt;&lt;keyword&gt;Sodium Chloride, Dietary/*adverse effects&lt;/keyword&gt;&lt;/keywords&gt;&lt;dates&gt;&lt;year&gt;2010&lt;/year&gt;&lt;pub-dates&gt;&lt;date&gt;Mar-Apr&lt;/date&gt;&lt;/pub-dates&gt;&lt;/dates&gt;&lt;isbn&gt;0033-0620&lt;/isbn&gt;&lt;accession-num&gt;20226955&lt;/accession-num&gt;&lt;urls&gt;&lt;/urls&gt;&lt;electronic-resource-num&gt;10.1016/j.pcad.2009.12.006&lt;/electronic-resource-num&gt;&lt;remote-database-provider&gt;NLM&lt;/remote-database-provider&gt;&lt;language&gt;eng&lt;/language&gt;&lt;/record&gt;&lt;/Cite&gt;&lt;/EndNote&gt;</w:instrText>
      </w:r>
      <w:r w:rsidRPr="00A84E25">
        <w:rPr>
          <w:lang w:val="en-NZ"/>
        </w:rPr>
        <w:fldChar w:fldCharType="separate"/>
      </w:r>
      <w:r w:rsidRPr="00A84E25">
        <w:rPr>
          <w:noProof/>
          <w:lang w:val="en-NZ"/>
        </w:rPr>
        <w:t>(He &amp; MacGregor, 2010)</w:t>
      </w:r>
      <w:r w:rsidRPr="00A84E25">
        <w:rPr>
          <w:lang w:val="en-NZ"/>
        </w:rPr>
        <w:fldChar w:fldCharType="end"/>
      </w:r>
      <w:r w:rsidRPr="00A84E25">
        <w:rPr>
          <w:lang w:val="en-NZ"/>
        </w:rPr>
        <w:t xml:space="preserve">. Estimating sodium </w:t>
      </w:r>
      <w:r>
        <w:rPr>
          <w:lang w:val="en-NZ"/>
        </w:rPr>
        <w:t xml:space="preserve">intake based on sodium excretion </w:t>
      </w:r>
      <w:r w:rsidRPr="00A84E25">
        <w:rPr>
          <w:lang w:val="en-NZ"/>
        </w:rPr>
        <w:t xml:space="preserve">from a 24-hour urine sample is generally considered to be the </w:t>
      </w:r>
      <w:r>
        <w:rPr>
          <w:lang w:val="en-NZ"/>
        </w:rPr>
        <w:t xml:space="preserve">most robust </w:t>
      </w:r>
      <w:r w:rsidRPr="00A84E25">
        <w:rPr>
          <w:lang w:val="en-NZ"/>
        </w:rPr>
        <w:t xml:space="preserve">method </w:t>
      </w:r>
      <w:r w:rsidRPr="00A84E25">
        <w:rPr>
          <w:lang w:val="en-NZ"/>
        </w:rPr>
        <w:fldChar w:fldCharType="begin">
          <w:fldData xml:space="preserve">PEVuZE5vdGU+PENpdGU+PEF1dGhvcj5NY0xlYW48L0F1dGhvcj48WWVhcj4yMDE4PC9ZZWFyPjxS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</w:fldData>
        </w:fldChar>
      </w:r>
      <w:r>
        <w:rPr>
          <w:lang w:val="en-NZ"/>
        </w:rPr>
        <w:instrText xml:space="preserve"> ADDIN EN.CITE </w:instrText>
      </w:r>
      <w:r>
        <w:rPr>
          <w:lang w:val="en-NZ"/>
        </w:rPr>
        <w:fldChar w:fldCharType="begin">
          <w:fldData xml:space="preserve">PEVuZE5vdGU+PENpdGU+PEF1dGhvcj5NY0xlYW48L0F1dGhvcj48WWVhcj4yMDE4PC9ZZWFyPjxS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</w:fldData>
        </w:fldChar>
      </w:r>
      <w:r>
        <w:rPr>
          <w:lang w:val="en-NZ"/>
        </w:rPr>
        <w:instrText xml:space="preserve"> ADDIN EN.CITE.DATA </w:instrText>
      </w:r>
      <w:r>
        <w:rPr>
          <w:lang w:val="en-NZ"/>
        </w:rPr>
      </w:r>
      <w:r>
        <w:rPr>
          <w:lang w:val="en-NZ"/>
        </w:rPr>
        <w:fldChar w:fldCharType="end"/>
      </w:r>
      <w:r w:rsidRPr="00A84E25">
        <w:rPr>
          <w:lang w:val="en-NZ"/>
        </w:rPr>
      </w:r>
      <w:r w:rsidRPr="00A84E25">
        <w:rPr>
          <w:lang w:val="en-NZ"/>
        </w:rPr>
        <w:fldChar w:fldCharType="separate"/>
      </w:r>
      <w:r>
        <w:rPr>
          <w:noProof/>
          <w:lang w:val="en-NZ"/>
        </w:rPr>
        <w:t>(McLean, Farmer, et al., 2018)</w:t>
      </w:r>
      <w:r w:rsidRPr="00A84E25">
        <w:rPr>
          <w:lang w:val="en-NZ"/>
        </w:rPr>
        <w:fldChar w:fldCharType="end"/>
      </w:r>
      <w:r w:rsidRPr="00A84E25">
        <w:rPr>
          <w:lang w:val="en-NZ"/>
        </w:rPr>
        <w:t xml:space="preserve">. </w:t>
      </w:r>
      <w:r>
        <w:rPr>
          <w:lang w:val="en-NZ"/>
        </w:rPr>
        <w:t>M</w:t>
      </w:r>
      <w:r w:rsidRPr="00A84E25">
        <w:rPr>
          <w:lang w:val="en-NZ"/>
        </w:rPr>
        <w:t xml:space="preserve">ethods such as spot </w:t>
      </w:r>
      <w:r>
        <w:rPr>
          <w:lang w:val="en-NZ"/>
        </w:rPr>
        <w:t xml:space="preserve">urine </w:t>
      </w:r>
      <w:r w:rsidRPr="00A84E25">
        <w:rPr>
          <w:lang w:val="en-NZ"/>
        </w:rPr>
        <w:t>collection or timed collection (for example, overnight) are subject to greater intra-person variability than 24-h</w:t>
      </w:r>
      <w:r>
        <w:rPr>
          <w:lang w:val="en-NZ"/>
        </w:rPr>
        <w:t>our</w:t>
      </w:r>
      <w:r w:rsidRPr="00A84E25">
        <w:rPr>
          <w:lang w:val="en-NZ"/>
        </w:rPr>
        <w:t xml:space="preserve"> </w:t>
      </w:r>
      <w:r>
        <w:rPr>
          <w:lang w:val="en-NZ"/>
        </w:rPr>
        <w:t xml:space="preserve">urine </w:t>
      </w:r>
      <w:r w:rsidRPr="00A84E25">
        <w:rPr>
          <w:lang w:val="en-NZ"/>
        </w:rPr>
        <w:t>collections</w:t>
      </w:r>
      <w:r>
        <w:rPr>
          <w:lang w:val="en-NZ"/>
        </w:rPr>
        <w:t xml:space="preserve"> and are </w:t>
      </w:r>
      <w:r w:rsidRPr="00A84E25">
        <w:rPr>
          <w:lang w:val="en-NZ"/>
        </w:rPr>
        <w:t xml:space="preserve">not considered to be reliable </w:t>
      </w:r>
      <w:r w:rsidRPr="007E13FC">
        <w:rPr>
          <w:lang w:val="en-NZ"/>
        </w:rPr>
        <w:t xml:space="preserve">biomarkers of individual sodium intake </w:t>
      </w:r>
      <w:r w:rsidRPr="007E13FC">
        <w:rPr>
          <w:lang w:val="en-NZ"/>
        </w:rPr>
        <w:fldChar w:fldCharType="begin">
          <w:fldData xml:space="preserve">PEVuZE5vdGU+PENpdGU+PEF1dGhvcj5DYW1wYmVsbDwvQXV0aG9yPjxZZWFyPjIwMTk8L1llYXI+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==
</w:fldData>
        </w:fldChar>
      </w:r>
      <w:r>
        <w:rPr>
          <w:lang w:val="en-NZ"/>
        </w:rPr>
        <w:instrText xml:space="preserve"> ADDIN EN.CITE </w:instrText>
      </w:r>
      <w:r>
        <w:rPr>
          <w:lang w:val="en-NZ"/>
        </w:rPr>
        <w:fldChar w:fldCharType="begin">
          <w:fldData xml:space="preserve">PEVuZE5vdGU+PENpdGU+PEF1dGhvcj5DYW1wYmVsbDwvQXV0aG9yPjxZZWFyPjIwMTk8L1llYXI+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==
</w:fldData>
        </w:fldChar>
      </w:r>
      <w:r>
        <w:rPr>
          <w:lang w:val="en-NZ"/>
        </w:rPr>
        <w:instrText xml:space="preserve"> ADDIN EN.CITE.DATA </w:instrText>
      </w:r>
      <w:r>
        <w:rPr>
          <w:lang w:val="en-NZ"/>
        </w:rPr>
      </w:r>
      <w:r>
        <w:rPr>
          <w:lang w:val="en-NZ"/>
        </w:rPr>
        <w:fldChar w:fldCharType="end"/>
      </w:r>
      <w:r w:rsidRPr="007E13FC">
        <w:rPr>
          <w:lang w:val="en-NZ"/>
        </w:rPr>
      </w:r>
      <w:r w:rsidRPr="007E13FC">
        <w:rPr>
          <w:lang w:val="en-NZ"/>
        </w:rPr>
        <w:fldChar w:fldCharType="separate"/>
      </w:r>
      <w:r w:rsidRPr="007E13FC">
        <w:rPr>
          <w:noProof/>
          <w:lang w:val="en-NZ"/>
        </w:rPr>
        <w:t>(Campbell et al., 2019)</w:t>
      </w:r>
      <w:r w:rsidRPr="007E13FC">
        <w:rPr>
          <w:lang w:val="en-NZ"/>
        </w:rPr>
        <w:fldChar w:fldCharType="end"/>
      </w:r>
      <w:r w:rsidRPr="007E13FC">
        <w:rPr>
          <w:lang w:val="en-NZ"/>
        </w:rPr>
        <w:t>.  </w:t>
      </w:r>
    </w:p>
    <w:p w14:paraId="02886F0C" w14:textId="7896DE36" w:rsidR="00B116F1" w:rsidRDefault="002A7D19">
      <w:pPr>
        <w:rPr>
          <w:rFonts w:eastAsiaTheme="majorEastAsia" w:cstheme="majorBidi"/>
          <w:color w:val="0F4761" w:themeColor="accent1" w:themeShade="BF"/>
          <w:sz w:val="32"/>
          <w:szCs w:val="32"/>
        </w:rPr>
      </w:pPr>
      <w:r>
        <w:rPr>
          <w:lang w:val="en-NZ"/>
        </w:rPr>
        <w:t xml:space="preserve">Dietary assessment methods have known limitations for estimating nutrient intake, including potential for recall or social desirability bias </w:t>
      </w:r>
      <w:r w:rsidRPr="004166F7">
        <w:rPr>
          <w:lang w:val="en-NZ"/>
        </w:rPr>
        <w:fldChar w:fldCharType="begin">
          <w:fldData xml:space="preserve">PEVuZE5vdGU+PENpdGU+PEF1dGhvcj5TaGltPC9BdXRob3I+PFllYXI+MjAxNDwvWWVhcj48UmVj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</w:fldData>
        </w:fldChar>
      </w:r>
      <w:r>
        <w:rPr>
          <w:lang w:val="en-NZ"/>
        </w:rPr>
        <w:instrText xml:space="preserve"> ADDIN EN.CITE </w:instrText>
      </w:r>
      <w:r>
        <w:rPr>
          <w:lang w:val="en-NZ"/>
        </w:rPr>
        <w:fldChar w:fldCharType="begin">
          <w:fldData xml:space="preserve">PEVuZE5vdGU+PENpdGU+PEF1dGhvcj5TaGltPC9BdXRob3I+PFllYXI+MjAxNDwvWWVhcj48UmVj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</w:fldData>
        </w:fldChar>
      </w:r>
      <w:r>
        <w:rPr>
          <w:lang w:val="en-NZ"/>
        </w:rPr>
        <w:instrText xml:space="preserve"> ADDIN EN.CITE.DATA </w:instrText>
      </w:r>
      <w:r>
        <w:rPr>
          <w:lang w:val="en-NZ"/>
        </w:rPr>
      </w:r>
      <w:r>
        <w:rPr>
          <w:lang w:val="en-NZ"/>
        </w:rPr>
        <w:fldChar w:fldCharType="end"/>
      </w:r>
      <w:r w:rsidRPr="004166F7">
        <w:rPr>
          <w:lang w:val="en-NZ"/>
        </w:rPr>
      </w:r>
      <w:r w:rsidRPr="004166F7">
        <w:rPr>
          <w:lang w:val="en-NZ"/>
        </w:rPr>
        <w:fldChar w:fldCharType="separate"/>
      </w:r>
      <w:r w:rsidRPr="004166F7">
        <w:rPr>
          <w:noProof/>
          <w:lang w:val="en-NZ"/>
        </w:rPr>
        <w:t>(Shim et al., 2014; Subar et al., 2015)</w:t>
      </w:r>
      <w:r w:rsidRPr="004166F7">
        <w:rPr>
          <w:lang w:val="en-NZ"/>
        </w:rPr>
        <w:fldChar w:fldCharType="end"/>
      </w:r>
      <w:r>
        <w:rPr>
          <w:lang w:val="en-NZ"/>
        </w:rPr>
        <w:t>. In addition to these known limitations, t</w:t>
      </w:r>
      <w:r w:rsidRPr="004166F7">
        <w:rPr>
          <w:lang w:val="en-NZ"/>
        </w:rPr>
        <w:t>here are specific challenges with dietary assessment of sodium. Dietary surveys often fail to include or accurately quantify sodium chloride added to foods during cooking and at the table. Food composition tables may not reflect the sodium content of all foods available in the food supply, including new products and product reformulation.</w:t>
      </w:r>
      <w:bookmarkStart w:id="155" w:name="_Toc210406420"/>
      <w:bookmarkStart w:id="156" w:name="_Toc212567923"/>
      <w:r w:rsidR="00B116F1">
        <w:rPr>
          <w:sz w:val="32"/>
          <w:szCs w:val="32"/>
        </w:rPr>
        <w:br w:type="page"/>
      </w:r>
    </w:p>
    <w:p w14:paraId="0A721A16" w14:textId="60BB0A56" w:rsidR="002A7D19" w:rsidRPr="00626B35" w:rsidRDefault="002A7D19" w:rsidP="002A7D19">
      <w:pPr>
        <w:pStyle w:val="Heading3"/>
        <w:rPr>
          <w:sz w:val="32"/>
          <w:szCs w:val="32"/>
        </w:rPr>
      </w:pPr>
      <w:bookmarkStart w:id="157" w:name="_Toc234960914"/>
      <w:r w:rsidRPr="00626B35">
        <w:rPr>
          <w:sz w:val="32"/>
          <w:szCs w:val="32"/>
        </w:rPr>
        <w:lastRenderedPageBreak/>
        <w:t>Evidence to decision tables</w:t>
      </w:r>
      <w:bookmarkEnd w:id="155"/>
      <w:bookmarkEnd w:id="156"/>
      <w:r>
        <w:rPr>
          <w:sz w:val="32"/>
          <w:szCs w:val="32"/>
        </w:rPr>
        <w:t xml:space="preserve">: </w:t>
      </w:r>
      <w:r w:rsidRPr="00702AB9">
        <w:rPr>
          <w:sz w:val="32"/>
          <w:szCs w:val="32"/>
        </w:rPr>
        <w:t>Requirements for avoiding deficiency</w:t>
      </w:r>
      <w:bookmarkEnd w:id="157"/>
    </w:p>
    <w:p w14:paraId="565F7B6F" w14:textId="77777777" w:rsidR="002A7D19" w:rsidRPr="003435D4" w:rsidRDefault="002A7D19" w:rsidP="002A7D19">
      <w:pPr>
        <w:pStyle w:val="Heading4"/>
        <w:pBdr>
          <w:top w:val="single" w:sz="4" w:space="1" w:color="auto"/>
          <w:left w:val="single" w:sz="4" w:space="4" w:color="auto"/>
          <w:bottom w:val="single" w:sz="4" w:space="1" w:color="auto"/>
          <w:right w:val="single" w:sz="4" w:space="4" w:color="auto"/>
        </w:pBdr>
        <w:spacing w:after="0"/>
        <w:rPr>
          <w:i w:val="0"/>
          <w:iCs w:val="0"/>
          <w:sz w:val="28"/>
          <w:szCs w:val="28"/>
        </w:rPr>
      </w:pPr>
      <w:r w:rsidRPr="003435D4">
        <w:rPr>
          <w:i w:val="0"/>
          <w:iCs w:val="0"/>
          <w:sz w:val="28"/>
          <w:szCs w:val="28"/>
        </w:rPr>
        <w:t>ADULTS</w:t>
      </w:r>
    </w:p>
    <w:p w14:paraId="280F2911" w14:textId="77777777" w:rsidR="002A7D19" w:rsidRPr="00C33341" w:rsidRDefault="002A7D19" w:rsidP="002A7D19">
      <w:pPr>
        <w:spacing w:after="0" w:line="280" w:lineRule="atLeast"/>
        <w:ind w:left="1151" w:right="1151"/>
        <w:rPr>
          <w:rFonts w:ascii="Arial" w:eastAsia="SimHei" w:hAnsi="Arial" w:cs="Arial"/>
          <w:iCs/>
          <w:color w:val="77BCD9"/>
          <w:kern w:val="0"/>
          <w:sz w:val="20"/>
          <w:szCs w:val="18"/>
          <w:lang w:eastAsia="en-AU"/>
          <w14:ligatures w14:val="none"/>
        </w:rPr>
      </w:pPr>
    </w:p>
    <w:p w14:paraId="68A73F8C" w14:textId="77777777" w:rsidR="002A7D19" w:rsidRPr="00C33341" w:rsidRDefault="002A7D19" w:rsidP="002A7D19">
      <w:pPr>
        <w:keepNext/>
        <w:keepLines/>
        <w:shd w:val="clear" w:color="auto" w:fill="005F85"/>
        <w:spacing w:after="120" w:line="280" w:lineRule="atLeast"/>
        <w:outlineLvl w:val="4"/>
        <w:rPr>
          <w:rFonts w:ascii="Gotham Medium" w:eastAsia="SimHei" w:hAnsi="Gotham Medium" w:cs="Arial"/>
          <w:i/>
          <w:iCs/>
          <w:color w:val="FFFFFF"/>
          <w:kern w:val="0"/>
          <w:lang w:eastAsia="en-AU"/>
          <w14:ligatures w14:val="none"/>
        </w:rPr>
      </w:pPr>
      <w:r>
        <w:rPr>
          <w:rFonts w:ascii="Gotham Medium" w:eastAsia="SimHei" w:hAnsi="Gotham Medium" w:cs="Arial"/>
          <w:i/>
          <w:iCs/>
          <w:color w:val="FFFFFF"/>
          <w:kern w:val="0"/>
          <w:lang w:eastAsia="en-AU"/>
          <w14:ligatures w14:val="none"/>
        </w:rPr>
        <w:t>Options for recommendations under consideration</w:t>
      </w:r>
    </w:p>
    <w:tbl>
      <w:tblPr>
        <w:tblStyle w:val="DefaultTable12"/>
        <w:tblW w:w="5000" w:type="pc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3"/>
        <w:gridCol w:w="2447"/>
        <w:gridCol w:w="2367"/>
        <w:gridCol w:w="2523"/>
        <w:gridCol w:w="2444"/>
        <w:gridCol w:w="2444"/>
      </w:tblGrid>
      <w:tr w:rsidR="002A7D19" w:rsidRPr="00C12A6C" w14:paraId="56ED5B05" w14:textId="77777777" w:rsidTr="003A3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pct"/>
            <w:gridSpan w:val="3"/>
            <w:tcBorders>
              <w:top w:val="single" w:sz="4" w:space="0" w:color="156082" w:themeColor="accent1"/>
              <w:left w:val="single" w:sz="4" w:space="0" w:color="156082" w:themeColor="accent1"/>
              <w:bottom w:val="single" w:sz="4" w:space="0" w:color="156082" w:themeColor="accent1"/>
              <w:right w:val="single" w:sz="4" w:space="0" w:color="A6A6A6"/>
            </w:tcBorders>
            <w:shd w:val="clear" w:color="auto" w:fill="C8E4EF"/>
          </w:tcPr>
          <w:p w14:paraId="733DDDE9" w14:textId="77777777" w:rsidR="002A7D19" w:rsidRPr="00C12A6C" w:rsidRDefault="002A7D19" w:rsidP="003A31ED">
            <w:pPr>
              <w:spacing w:line="276" w:lineRule="auto"/>
              <w:ind w:left="142"/>
              <w:rPr>
                <w:rFonts w:ascii="Gotham Book" w:eastAsia="Times New Roman" w:hAnsi="Gotham Book" w:cs="Times New Roman"/>
                <w:color w:val="004663"/>
                <w:sz w:val="20"/>
                <w:szCs w:val="20"/>
              </w:rPr>
            </w:pPr>
            <w:r w:rsidRPr="00C12A6C">
              <w:rPr>
                <w:rFonts w:ascii="Gotham Book" w:eastAsia="Times New Roman" w:hAnsi="Gotham Book" w:cs="Arial"/>
                <w:color w:val="004663"/>
                <w:sz w:val="20"/>
                <w:szCs w:val="20"/>
                <w:u w:val="single"/>
              </w:rPr>
              <w:t>OPTION 1</w:t>
            </w:r>
            <w:r w:rsidRPr="00C12A6C">
              <w:rPr>
                <w:rFonts w:ascii="Gotham Book" w:eastAsia="Times New Roman" w:hAnsi="Gotham Book" w:cs="Arial"/>
                <w:color w:val="004663"/>
                <w:sz w:val="20"/>
                <w:szCs w:val="20"/>
              </w:rPr>
              <w:t>:</w:t>
            </w:r>
            <w:r w:rsidRPr="00C12A6C">
              <w:rPr>
                <w:rFonts w:ascii="Gotham Book" w:eastAsia="Times New Roman" w:hAnsi="Gotham Book" w:cs="Times New Roman"/>
                <w:color w:val="004663"/>
                <w:sz w:val="20"/>
                <w:szCs w:val="20"/>
              </w:rPr>
              <w:t xml:space="preserve"> </w:t>
            </w:r>
          </w:p>
          <w:p w14:paraId="27771DBF" w14:textId="77777777" w:rsidR="002A7D19" w:rsidRPr="00C12A6C" w:rsidRDefault="002A7D19" w:rsidP="003A31ED">
            <w:pPr>
              <w:spacing w:line="276" w:lineRule="auto"/>
              <w:ind w:left="142"/>
              <w:rPr>
                <w:rFonts w:ascii="Gotham Book" w:eastAsia="Arial" w:hAnsi="Gotham Book" w:cs="Arial"/>
                <w:color w:val="004663"/>
                <w:sz w:val="20"/>
              </w:rPr>
            </w:pPr>
            <w:r w:rsidRPr="0014323B">
              <w:rPr>
                <w:rFonts w:ascii="Gotham Book" w:eastAsia="Times New Roman" w:hAnsi="Gotham Book" w:cs="Arial"/>
                <w:color w:val="004663"/>
                <w:sz w:val="20"/>
                <w:szCs w:val="20"/>
              </w:rPr>
              <w:t xml:space="preserve">Maintain current </w:t>
            </w:r>
            <w:r>
              <w:rPr>
                <w:rFonts w:ascii="Gotham Book" w:eastAsia="Times New Roman" w:hAnsi="Gotham Book" w:cs="Arial"/>
                <w:color w:val="004663"/>
                <w:sz w:val="20"/>
                <w:szCs w:val="20"/>
              </w:rPr>
              <w:t>AI r</w:t>
            </w:r>
            <w:r w:rsidRPr="0014323B">
              <w:rPr>
                <w:rFonts w:ascii="Gotham Book" w:eastAsia="Times New Roman" w:hAnsi="Gotham Book" w:cs="Arial"/>
                <w:color w:val="004663"/>
                <w:sz w:val="20"/>
                <w:szCs w:val="20"/>
              </w:rPr>
              <w:t>ecommendations</w:t>
            </w:r>
            <w:r>
              <w:rPr>
                <w:rFonts w:ascii="Gotham Book" w:eastAsia="Times New Roman" w:hAnsi="Gotham Book" w:cs="Arial"/>
                <w:color w:val="004663"/>
                <w:sz w:val="20"/>
                <w:szCs w:val="20"/>
              </w:rPr>
              <w:t>, updating adult age groupings to align with new reference groups</w:t>
            </w:r>
          </w:p>
        </w:tc>
        <w:tc>
          <w:tcPr>
            <w:tcW w:w="2526" w:type="pct"/>
            <w:gridSpan w:val="3"/>
            <w:tcBorders>
              <w:top w:val="single" w:sz="4" w:space="0" w:color="156082" w:themeColor="accent1"/>
              <w:bottom w:val="single" w:sz="4" w:space="0" w:color="156082" w:themeColor="accent1"/>
              <w:right w:val="single" w:sz="4" w:space="0" w:color="156082" w:themeColor="accent1"/>
            </w:tcBorders>
            <w:shd w:val="clear" w:color="auto" w:fill="C8E4EF"/>
          </w:tcPr>
          <w:p w14:paraId="1FBCE3A8" w14:textId="77777777" w:rsidR="002A7D19" w:rsidRPr="00C12A6C" w:rsidRDefault="002A7D19" w:rsidP="003A31ED">
            <w:pPr>
              <w:spacing w:line="276" w:lineRule="auto"/>
              <w:ind w:left="136"/>
              <w:cnfStyle w:val="100000000000" w:firstRow="1" w:lastRow="0" w:firstColumn="0" w:lastColumn="0" w:oddVBand="0" w:evenVBand="0" w:oddHBand="0" w:evenHBand="0" w:firstRowFirstColumn="0" w:firstRowLastColumn="0" w:lastRowFirstColumn="0" w:lastRowLastColumn="0"/>
              <w:rPr>
                <w:rFonts w:ascii="Gotham Book" w:eastAsia="Times New Roman" w:hAnsi="Gotham Book" w:cs="Arial"/>
                <w:color w:val="004663"/>
                <w:sz w:val="20"/>
                <w:szCs w:val="20"/>
              </w:rPr>
            </w:pPr>
            <w:r w:rsidRPr="00C12A6C">
              <w:rPr>
                <w:rFonts w:ascii="Gotham Book" w:eastAsia="Times New Roman" w:hAnsi="Gotham Book" w:cs="Arial"/>
                <w:color w:val="004663"/>
                <w:sz w:val="20"/>
                <w:szCs w:val="20"/>
                <w:u w:val="single"/>
              </w:rPr>
              <w:t>OPTION 2</w:t>
            </w:r>
            <w:r w:rsidRPr="00C12A6C">
              <w:rPr>
                <w:rFonts w:ascii="Gotham Book" w:eastAsia="Times New Roman" w:hAnsi="Gotham Book" w:cs="Arial"/>
                <w:color w:val="004663"/>
                <w:sz w:val="20"/>
                <w:szCs w:val="20"/>
              </w:rPr>
              <w:t>:</w:t>
            </w:r>
          </w:p>
          <w:p w14:paraId="2C767182" w14:textId="77777777" w:rsidR="002A7D19" w:rsidRPr="00C12A6C" w:rsidRDefault="002A7D19" w:rsidP="003A31ED">
            <w:pPr>
              <w:spacing w:line="276" w:lineRule="auto"/>
              <w:ind w:left="136"/>
              <w:cnfStyle w:val="100000000000" w:firstRow="1" w:lastRow="0" w:firstColumn="0" w:lastColumn="0" w:oddVBand="0" w:evenVBand="0" w:oddHBand="0" w:evenHBand="0" w:firstRowFirstColumn="0" w:firstRowLastColumn="0" w:lastRowFirstColumn="0" w:lastRowLastColumn="0"/>
              <w:rPr>
                <w:rFonts w:ascii="Gotham Book" w:eastAsia="Arial" w:hAnsi="Gotham Book" w:cs="Arial"/>
                <w:color w:val="004663"/>
                <w:sz w:val="20"/>
              </w:rPr>
            </w:pPr>
            <w:r>
              <w:rPr>
                <w:rFonts w:ascii="Gotham Book" w:eastAsia="Times New Roman" w:hAnsi="Gotham Book" w:cs="Arial"/>
                <w:color w:val="004663"/>
                <w:sz w:val="20"/>
                <w:szCs w:val="20"/>
              </w:rPr>
              <w:t xml:space="preserve">Increased AI and updates to adult age groupings to align with new reference groups, </w:t>
            </w:r>
            <w:proofErr w:type="gramStart"/>
            <w:r w:rsidRPr="001E1B25">
              <w:rPr>
                <w:rFonts w:ascii="Gotham Book" w:eastAsia="Times New Roman" w:hAnsi="Gotham Book" w:cs="Arial"/>
                <w:i/>
                <w:iCs/>
                <w:color w:val="004663"/>
                <w:sz w:val="20"/>
                <w:szCs w:val="20"/>
              </w:rPr>
              <w:t>E.g.</w:t>
            </w:r>
            <w:proofErr w:type="gramEnd"/>
            <w:r w:rsidRPr="001E1B25">
              <w:rPr>
                <w:rFonts w:ascii="Gotham Book" w:eastAsia="Times New Roman" w:hAnsi="Gotham Book" w:cs="Arial"/>
                <w:i/>
                <w:iCs/>
                <w:color w:val="004663"/>
                <w:sz w:val="20"/>
                <w:szCs w:val="20"/>
              </w:rPr>
              <w:t xml:space="preserve"> could select a single value from 1,000 to 1,500 or maintain a range </w:t>
            </w:r>
            <w:proofErr w:type="gramStart"/>
            <w:r w:rsidRPr="001E1B25">
              <w:rPr>
                <w:rFonts w:ascii="Gotham Book" w:eastAsia="Times New Roman" w:hAnsi="Gotham Book" w:cs="Arial"/>
                <w:i/>
                <w:iCs/>
                <w:color w:val="004663"/>
                <w:sz w:val="20"/>
                <w:szCs w:val="20"/>
              </w:rPr>
              <w:t>similar to</w:t>
            </w:r>
            <w:proofErr w:type="gramEnd"/>
            <w:r w:rsidRPr="001E1B25">
              <w:rPr>
                <w:rFonts w:ascii="Gotham Book" w:eastAsia="Times New Roman" w:hAnsi="Gotham Book" w:cs="Arial"/>
                <w:i/>
                <w:iCs/>
                <w:color w:val="004663"/>
                <w:sz w:val="20"/>
                <w:szCs w:val="20"/>
              </w:rPr>
              <w:t xml:space="preserve"> current recommendations.</w:t>
            </w:r>
          </w:p>
        </w:tc>
      </w:tr>
      <w:tr w:rsidR="002A7D19" w:rsidRPr="00C12A6C" w14:paraId="750BD065"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6AC9C401" w14:textId="77777777" w:rsidR="002A7D19" w:rsidRPr="00053541" w:rsidRDefault="002A7D19" w:rsidP="003A31ED">
            <w:pPr>
              <w:spacing w:line="280" w:lineRule="atLeast"/>
              <w:ind w:left="142"/>
              <w:rPr>
                <w:rFonts w:ascii="Gotham Book" w:eastAsia="Arial" w:hAnsi="Gotham Book" w:cs="Arial"/>
                <w:color w:val="000000" w:themeColor="text1"/>
                <w:sz w:val="20"/>
              </w:rPr>
            </w:pPr>
            <w:r w:rsidRPr="00053541">
              <w:rPr>
                <w:rFonts w:ascii="Gotham Book" w:eastAsia="Arial" w:hAnsi="Gotham Book" w:cs="Arial"/>
                <w:color w:val="000000" w:themeColor="text1"/>
                <w:sz w:val="20"/>
              </w:rPr>
              <w:t>Males</w:t>
            </w:r>
          </w:p>
        </w:tc>
        <w:tc>
          <w:tcPr>
            <w:tcW w:w="83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971377F" w14:textId="77777777" w:rsidR="002A7D19" w:rsidRPr="00C12A6C" w:rsidRDefault="002A7D19" w:rsidP="003A31ED">
            <w:pPr>
              <w:spacing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Pr>
                <w:rFonts w:ascii="Gotham Book" w:eastAsia="Arial" w:hAnsi="Gotham Book" w:cs="Arial"/>
                <w:b/>
                <w:sz w:val="20"/>
              </w:rPr>
              <w:t>AI (mg/day)</w:t>
            </w:r>
          </w:p>
        </w:tc>
        <w:tc>
          <w:tcPr>
            <w:tcW w:w="807"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76AFAF2" w14:textId="77777777" w:rsidR="002A7D19" w:rsidRPr="00C12A6C" w:rsidRDefault="002A7D19" w:rsidP="003A31ED">
            <w:pPr>
              <w:spacing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Pr>
                <w:rFonts w:ascii="Gotham Book" w:eastAsia="Arial" w:hAnsi="Gotham Book" w:cs="Arial"/>
                <w:b/>
                <w:sz w:val="20"/>
              </w:rPr>
              <w:t>AI (mmol/day)</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E2A00C4" w14:textId="77777777" w:rsidR="002A7D19" w:rsidRPr="00C12A6C" w:rsidRDefault="002A7D19" w:rsidP="003A31ED">
            <w:pPr>
              <w:spacing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b/>
                <w:sz w:val="20"/>
              </w:rPr>
            </w:pPr>
            <w:r w:rsidRPr="00C12A6C">
              <w:rPr>
                <w:rFonts w:ascii="Gotham Book" w:eastAsia="Arial" w:hAnsi="Gotham Book" w:cs="Arial"/>
                <w:b/>
                <w:sz w:val="20"/>
              </w:rPr>
              <w:t>Males</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C6C136D" w14:textId="77777777" w:rsidR="002A7D19" w:rsidRDefault="002A7D19" w:rsidP="003A31ED">
            <w:pPr>
              <w:spacing w:after="0"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b/>
                <w:sz w:val="20"/>
              </w:rPr>
            </w:pPr>
            <w:r>
              <w:rPr>
                <w:rFonts w:ascii="Gotham Book" w:eastAsia="Arial" w:hAnsi="Gotham Book" w:cs="Arial"/>
                <w:b/>
                <w:sz w:val="20"/>
              </w:rPr>
              <w:t>AI (mg/day)</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9322D97" w14:textId="77777777" w:rsidR="002A7D19" w:rsidRPr="00C12A6C" w:rsidRDefault="002A7D19" w:rsidP="003A31ED">
            <w:pPr>
              <w:spacing w:after="0"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Pr>
                <w:rFonts w:ascii="Gotham Book" w:eastAsia="Arial" w:hAnsi="Gotham Book" w:cs="Arial"/>
                <w:b/>
                <w:sz w:val="20"/>
              </w:rPr>
              <w:t>AI (mmol/day)</w:t>
            </w:r>
          </w:p>
        </w:tc>
      </w:tr>
      <w:tr w:rsidR="002A7D19" w:rsidRPr="00C12A6C" w14:paraId="25EFE69C"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6146AB06" w14:textId="77777777" w:rsidR="002A7D19" w:rsidRPr="00766A24" w:rsidRDefault="002A7D19" w:rsidP="003A31ED">
            <w:pPr>
              <w:spacing w:line="280" w:lineRule="atLeast"/>
              <w:ind w:left="142"/>
              <w:rPr>
                <w:rFonts w:ascii="Gotham Book" w:eastAsia="Arial" w:hAnsi="Gotham Book" w:cs="Arial"/>
                <w:b w:val="0"/>
                <w:bCs w:val="0"/>
                <w:color w:val="000000" w:themeColor="text1"/>
                <w:sz w:val="20"/>
              </w:rPr>
            </w:pPr>
            <w:r w:rsidRPr="00766A24">
              <w:rPr>
                <w:rFonts w:ascii="Gotham Book" w:eastAsia="Times New Roman" w:hAnsi="Gotham Book" w:cs="Arial"/>
                <w:b w:val="0"/>
                <w:bCs w:val="0"/>
                <w:color w:val="000000" w:themeColor="text1"/>
                <w:sz w:val="20"/>
                <w:szCs w:val="20"/>
              </w:rPr>
              <w:t>18 to under 30 years</w:t>
            </w:r>
          </w:p>
        </w:tc>
        <w:tc>
          <w:tcPr>
            <w:tcW w:w="834" w:type="pct"/>
            <w:tcBorders>
              <w:top w:val="single" w:sz="4" w:space="0" w:color="156082" w:themeColor="accent1"/>
              <w:left w:val="single" w:sz="4" w:space="0" w:color="156082" w:themeColor="accent1"/>
              <w:right w:val="single" w:sz="4" w:space="0" w:color="156082" w:themeColor="accent1"/>
            </w:tcBorders>
            <w:shd w:val="clear" w:color="auto" w:fill="FFFFFF"/>
          </w:tcPr>
          <w:p w14:paraId="6F1BFA97" w14:textId="77777777" w:rsidR="002A7D19" w:rsidRPr="00C12A6C" w:rsidRDefault="002A7D19" w:rsidP="003A31ED">
            <w:pPr>
              <w:spacing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sidRPr="00E8087A">
              <w:rPr>
                <w:rFonts w:ascii="Gotham Book" w:eastAsia="Arial" w:hAnsi="Gotham Book" w:cs="Arial"/>
                <w:i/>
                <w:sz w:val="20"/>
              </w:rPr>
              <w:t>460 - 920</w:t>
            </w:r>
          </w:p>
        </w:tc>
        <w:tc>
          <w:tcPr>
            <w:tcW w:w="807" w:type="pct"/>
            <w:tcBorders>
              <w:top w:val="single" w:sz="4" w:space="0" w:color="156082" w:themeColor="accent1"/>
              <w:left w:val="single" w:sz="4" w:space="0" w:color="156082" w:themeColor="accent1"/>
              <w:right w:val="single" w:sz="4" w:space="0" w:color="156082" w:themeColor="accent1"/>
            </w:tcBorders>
            <w:shd w:val="clear" w:color="auto" w:fill="FFFFFF"/>
          </w:tcPr>
          <w:p w14:paraId="1F6964E6" w14:textId="77777777" w:rsidR="002A7D19" w:rsidRPr="00C12A6C" w:rsidRDefault="002A7D19" w:rsidP="003A31ED">
            <w:pPr>
              <w:spacing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sidRPr="00E8087A">
              <w:rPr>
                <w:rFonts w:ascii="Gotham Book" w:eastAsia="Arial" w:hAnsi="Gotham Book" w:cs="Arial"/>
                <w:i/>
                <w:sz w:val="20"/>
              </w:rPr>
              <w:t>20-40</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295090B7" w14:textId="77777777" w:rsidR="002A7D19" w:rsidRPr="00C12A6C" w:rsidRDefault="002A7D19" w:rsidP="003A31ED">
            <w:pPr>
              <w:spacing w:line="280" w:lineRule="atLeast"/>
              <w:ind w:left="136"/>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C12A6C">
              <w:rPr>
                <w:rFonts w:ascii="Gotham Book" w:eastAsia="Times New Roman" w:hAnsi="Gotham Book" w:cs="Arial"/>
                <w:sz w:val="20"/>
                <w:szCs w:val="20"/>
              </w:rPr>
              <w:t>18 to under 30 years</w:t>
            </w:r>
          </w:p>
        </w:tc>
        <w:tc>
          <w:tcPr>
            <w:tcW w:w="833" w:type="pct"/>
            <w:tcBorders>
              <w:top w:val="single" w:sz="4" w:space="0" w:color="156082" w:themeColor="accent1"/>
              <w:left w:val="single" w:sz="4" w:space="0" w:color="156082" w:themeColor="accent1"/>
              <w:right w:val="single" w:sz="4" w:space="0" w:color="156082" w:themeColor="accent1"/>
            </w:tcBorders>
            <w:shd w:val="clear" w:color="auto" w:fill="auto"/>
          </w:tcPr>
          <w:p w14:paraId="12CC890F" w14:textId="77777777" w:rsidR="002A7D19" w:rsidRPr="00C12A6C" w:rsidRDefault="002A7D19" w:rsidP="003A31ED">
            <w:pPr>
              <w:spacing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Pr>
                <w:rFonts w:ascii="Gotham Book" w:eastAsia="Arial" w:hAnsi="Gotham Book" w:cs="Arial"/>
                <w:i/>
                <w:sz w:val="20"/>
              </w:rPr>
              <w:t>1,000</w:t>
            </w:r>
          </w:p>
        </w:tc>
        <w:tc>
          <w:tcPr>
            <w:tcW w:w="833" w:type="pct"/>
            <w:tcBorders>
              <w:top w:val="single" w:sz="4" w:space="0" w:color="156082" w:themeColor="accent1"/>
              <w:left w:val="single" w:sz="4" w:space="0" w:color="156082" w:themeColor="accent1"/>
              <w:right w:val="single" w:sz="4" w:space="0" w:color="156082" w:themeColor="accent1"/>
            </w:tcBorders>
            <w:shd w:val="clear" w:color="auto" w:fill="auto"/>
          </w:tcPr>
          <w:p w14:paraId="4BB2D05A" w14:textId="77777777" w:rsidR="002A7D19" w:rsidRPr="00DA7133" w:rsidRDefault="002A7D19" w:rsidP="003A31ED">
            <w:pPr>
              <w:spacing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Pr>
                <w:rFonts w:ascii="Gotham Book" w:eastAsia="Arial" w:hAnsi="Gotham Book" w:cs="Arial"/>
                <w:i/>
                <w:sz w:val="20"/>
              </w:rPr>
              <w:t>43</w:t>
            </w:r>
          </w:p>
        </w:tc>
      </w:tr>
      <w:tr w:rsidR="002A7D19" w:rsidRPr="00C12A6C" w14:paraId="69208D16"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7F6EC74F" w14:textId="77777777" w:rsidR="002A7D19" w:rsidRPr="00766A24" w:rsidRDefault="002A7D19" w:rsidP="003A31ED">
            <w:pPr>
              <w:spacing w:line="280" w:lineRule="atLeast"/>
              <w:ind w:left="142"/>
              <w:rPr>
                <w:rFonts w:ascii="Gotham Book" w:eastAsia="Arial" w:hAnsi="Gotham Book" w:cs="Arial"/>
                <w:b w:val="0"/>
                <w:bCs w:val="0"/>
                <w:color w:val="000000" w:themeColor="text1"/>
                <w:sz w:val="20"/>
              </w:rPr>
            </w:pPr>
            <w:r w:rsidRPr="00766A24">
              <w:rPr>
                <w:rFonts w:ascii="Gotham Book" w:eastAsia="Times New Roman" w:hAnsi="Gotham Book" w:cs="Arial"/>
                <w:b w:val="0"/>
                <w:bCs w:val="0"/>
                <w:color w:val="000000" w:themeColor="text1"/>
                <w:sz w:val="20"/>
                <w:szCs w:val="20"/>
              </w:rPr>
              <w:t>30 to under 50 years</w:t>
            </w:r>
          </w:p>
        </w:tc>
        <w:tc>
          <w:tcPr>
            <w:tcW w:w="834" w:type="pct"/>
            <w:tcBorders>
              <w:left w:val="single" w:sz="4" w:space="0" w:color="156082" w:themeColor="accent1"/>
              <w:right w:val="single" w:sz="4" w:space="0" w:color="156082" w:themeColor="accent1"/>
            </w:tcBorders>
            <w:shd w:val="clear" w:color="auto" w:fill="FFFFFF"/>
          </w:tcPr>
          <w:p w14:paraId="57E11D54" w14:textId="77777777" w:rsidR="002A7D19" w:rsidRPr="00C12A6C" w:rsidRDefault="002A7D19" w:rsidP="003A31ED">
            <w:pPr>
              <w:spacing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sidRPr="00D66972">
              <w:rPr>
                <w:rFonts w:ascii="Gotham Book" w:eastAsia="Arial" w:hAnsi="Gotham Book" w:cs="Arial"/>
                <w:i/>
                <w:sz w:val="20"/>
              </w:rPr>
              <w:t>460 - 920</w:t>
            </w:r>
          </w:p>
        </w:tc>
        <w:tc>
          <w:tcPr>
            <w:tcW w:w="807" w:type="pct"/>
            <w:tcBorders>
              <w:left w:val="single" w:sz="4" w:space="0" w:color="156082" w:themeColor="accent1"/>
              <w:right w:val="single" w:sz="4" w:space="0" w:color="156082" w:themeColor="accent1"/>
            </w:tcBorders>
            <w:shd w:val="clear" w:color="auto" w:fill="FFFFFF"/>
          </w:tcPr>
          <w:p w14:paraId="722F14A0" w14:textId="77777777" w:rsidR="002A7D19" w:rsidRPr="00C12A6C" w:rsidRDefault="002A7D19" w:rsidP="003A31ED">
            <w:pPr>
              <w:spacing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sidRPr="00341CAF">
              <w:rPr>
                <w:rFonts w:ascii="Gotham Book" w:eastAsia="Arial" w:hAnsi="Gotham Book" w:cs="Arial"/>
                <w:i/>
                <w:sz w:val="20"/>
              </w:rPr>
              <w:t>20-40</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3373AA9" w14:textId="77777777" w:rsidR="002A7D19" w:rsidRPr="00C12A6C" w:rsidRDefault="002A7D19" w:rsidP="003A31ED">
            <w:pPr>
              <w:spacing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sidRPr="00C12A6C">
              <w:rPr>
                <w:rFonts w:ascii="Gotham Book" w:eastAsia="Times New Roman" w:hAnsi="Gotham Book" w:cs="Arial"/>
                <w:sz w:val="20"/>
                <w:szCs w:val="20"/>
              </w:rPr>
              <w:t>30 to under 50 years</w:t>
            </w:r>
          </w:p>
        </w:tc>
        <w:tc>
          <w:tcPr>
            <w:tcW w:w="833" w:type="pct"/>
            <w:tcBorders>
              <w:left w:val="single" w:sz="4" w:space="0" w:color="156082" w:themeColor="accent1"/>
              <w:right w:val="single" w:sz="4" w:space="0" w:color="156082" w:themeColor="accent1"/>
            </w:tcBorders>
            <w:shd w:val="clear" w:color="auto" w:fill="auto"/>
          </w:tcPr>
          <w:p w14:paraId="48D214AD" w14:textId="77777777" w:rsidR="002A7D19" w:rsidRPr="00C12A6C" w:rsidRDefault="002A7D19" w:rsidP="003A31ED">
            <w:pPr>
              <w:spacing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iCs/>
                <w:sz w:val="20"/>
              </w:rPr>
            </w:pPr>
            <w:r w:rsidRPr="002F4FCC">
              <w:rPr>
                <w:rFonts w:ascii="Gotham Book" w:eastAsia="Arial" w:hAnsi="Gotham Book" w:cs="Arial"/>
                <w:i/>
                <w:sz w:val="20"/>
              </w:rPr>
              <w:t>1,00</w:t>
            </w:r>
            <w:r>
              <w:rPr>
                <w:rFonts w:ascii="Gotham Book" w:eastAsia="Arial" w:hAnsi="Gotham Book" w:cs="Arial"/>
                <w:i/>
                <w:sz w:val="20"/>
              </w:rPr>
              <w:t>0</w:t>
            </w:r>
          </w:p>
        </w:tc>
        <w:tc>
          <w:tcPr>
            <w:tcW w:w="833" w:type="pct"/>
            <w:tcBorders>
              <w:left w:val="single" w:sz="4" w:space="0" w:color="156082" w:themeColor="accent1"/>
              <w:right w:val="single" w:sz="4" w:space="0" w:color="156082" w:themeColor="accent1"/>
            </w:tcBorders>
            <w:shd w:val="clear" w:color="auto" w:fill="auto"/>
          </w:tcPr>
          <w:p w14:paraId="3E6FFBED" w14:textId="77777777" w:rsidR="002A7D19" w:rsidRPr="00C12A6C" w:rsidRDefault="002A7D19" w:rsidP="003A31ED">
            <w:pPr>
              <w:spacing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sidRPr="00042779">
              <w:rPr>
                <w:rFonts w:ascii="Gotham Book" w:eastAsia="Arial" w:hAnsi="Gotham Book" w:cs="Arial"/>
                <w:i/>
                <w:sz w:val="20"/>
              </w:rPr>
              <w:t>43</w:t>
            </w:r>
          </w:p>
        </w:tc>
      </w:tr>
      <w:tr w:rsidR="002A7D19" w:rsidRPr="00C12A6C" w14:paraId="033926F2"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20D1649A" w14:textId="77777777" w:rsidR="002A7D19" w:rsidRPr="00766A24" w:rsidRDefault="002A7D19" w:rsidP="003A31ED">
            <w:pPr>
              <w:spacing w:line="280" w:lineRule="atLeast"/>
              <w:ind w:left="142"/>
              <w:rPr>
                <w:rFonts w:ascii="Gotham Book" w:eastAsia="Arial" w:hAnsi="Gotham Book" w:cs="Arial"/>
                <w:b w:val="0"/>
                <w:bCs w:val="0"/>
                <w:color w:val="000000" w:themeColor="text1"/>
                <w:sz w:val="20"/>
              </w:rPr>
            </w:pPr>
            <w:r w:rsidRPr="00766A24">
              <w:rPr>
                <w:rFonts w:ascii="Gotham Book" w:eastAsia="Times New Roman" w:hAnsi="Gotham Book" w:cs="Arial"/>
                <w:b w:val="0"/>
                <w:bCs w:val="0"/>
                <w:color w:val="000000" w:themeColor="text1"/>
                <w:sz w:val="20"/>
                <w:szCs w:val="20"/>
              </w:rPr>
              <w:t>50 to under 65 years</w:t>
            </w:r>
          </w:p>
        </w:tc>
        <w:tc>
          <w:tcPr>
            <w:tcW w:w="834" w:type="pct"/>
            <w:tcBorders>
              <w:left w:val="single" w:sz="4" w:space="0" w:color="156082" w:themeColor="accent1"/>
              <w:right w:val="single" w:sz="4" w:space="0" w:color="156082" w:themeColor="accent1"/>
            </w:tcBorders>
            <w:shd w:val="clear" w:color="auto" w:fill="FFFFFF"/>
          </w:tcPr>
          <w:p w14:paraId="1C0D3918" w14:textId="77777777" w:rsidR="002A7D19" w:rsidRPr="00C12A6C" w:rsidRDefault="002A7D19" w:rsidP="003A31ED">
            <w:pPr>
              <w:spacing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D66972">
              <w:rPr>
                <w:rFonts w:ascii="Gotham Book" w:eastAsia="Arial" w:hAnsi="Gotham Book" w:cs="Arial"/>
                <w:i/>
                <w:sz w:val="20"/>
              </w:rPr>
              <w:t>460 - 920</w:t>
            </w:r>
          </w:p>
        </w:tc>
        <w:tc>
          <w:tcPr>
            <w:tcW w:w="807" w:type="pct"/>
            <w:tcBorders>
              <w:left w:val="single" w:sz="4" w:space="0" w:color="156082" w:themeColor="accent1"/>
              <w:right w:val="single" w:sz="4" w:space="0" w:color="156082" w:themeColor="accent1"/>
            </w:tcBorders>
            <w:shd w:val="clear" w:color="auto" w:fill="FFFFFF"/>
          </w:tcPr>
          <w:p w14:paraId="42541CB1" w14:textId="77777777" w:rsidR="002A7D19" w:rsidRPr="00C12A6C" w:rsidRDefault="002A7D19" w:rsidP="003A31ED">
            <w:pPr>
              <w:spacing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341CAF">
              <w:rPr>
                <w:rFonts w:ascii="Gotham Book" w:eastAsia="Arial" w:hAnsi="Gotham Book" w:cs="Arial"/>
                <w:i/>
                <w:sz w:val="20"/>
              </w:rPr>
              <w:t>20-40</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2FDD9D60" w14:textId="77777777" w:rsidR="002A7D19" w:rsidRPr="00C12A6C" w:rsidRDefault="002A7D19" w:rsidP="003A31ED">
            <w:pPr>
              <w:spacing w:line="280" w:lineRule="atLeast"/>
              <w:ind w:left="136"/>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C12A6C">
              <w:rPr>
                <w:rFonts w:ascii="Gotham Book" w:eastAsia="Times New Roman" w:hAnsi="Gotham Book" w:cs="Arial"/>
                <w:sz w:val="20"/>
                <w:szCs w:val="20"/>
              </w:rPr>
              <w:t>50 to under 65 years</w:t>
            </w:r>
          </w:p>
        </w:tc>
        <w:tc>
          <w:tcPr>
            <w:tcW w:w="833" w:type="pct"/>
            <w:tcBorders>
              <w:left w:val="single" w:sz="4" w:space="0" w:color="156082" w:themeColor="accent1"/>
              <w:right w:val="single" w:sz="4" w:space="0" w:color="156082" w:themeColor="accent1"/>
            </w:tcBorders>
            <w:shd w:val="clear" w:color="auto" w:fill="auto"/>
          </w:tcPr>
          <w:p w14:paraId="63EB3501" w14:textId="77777777" w:rsidR="002A7D19" w:rsidRPr="00C12A6C" w:rsidRDefault="002A7D19" w:rsidP="003A31ED">
            <w:pPr>
              <w:spacing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iCs/>
                <w:sz w:val="20"/>
              </w:rPr>
            </w:pPr>
            <w:r w:rsidRPr="00027EBF">
              <w:rPr>
                <w:rFonts w:ascii="Gotham Book" w:eastAsia="Arial" w:hAnsi="Gotham Book" w:cs="Arial"/>
                <w:i/>
                <w:sz w:val="20"/>
              </w:rPr>
              <w:t>1,000</w:t>
            </w:r>
          </w:p>
        </w:tc>
        <w:tc>
          <w:tcPr>
            <w:tcW w:w="833" w:type="pct"/>
            <w:tcBorders>
              <w:left w:val="single" w:sz="4" w:space="0" w:color="156082" w:themeColor="accent1"/>
              <w:right w:val="single" w:sz="4" w:space="0" w:color="156082" w:themeColor="accent1"/>
            </w:tcBorders>
            <w:shd w:val="clear" w:color="auto" w:fill="auto"/>
          </w:tcPr>
          <w:p w14:paraId="515D4BFE" w14:textId="77777777" w:rsidR="002A7D19" w:rsidRPr="00C12A6C" w:rsidRDefault="002A7D19" w:rsidP="003A31ED">
            <w:pPr>
              <w:spacing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042779">
              <w:rPr>
                <w:rFonts w:ascii="Gotham Book" w:eastAsia="Arial" w:hAnsi="Gotham Book" w:cs="Arial"/>
                <w:i/>
                <w:sz w:val="20"/>
              </w:rPr>
              <w:t>43</w:t>
            </w:r>
          </w:p>
        </w:tc>
      </w:tr>
      <w:tr w:rsidR="002A7D19" w:rsidRPr="00C12A6C" w14:paraId="5535790F"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4297B2F5" w14:textId="77777777" w:rsidR="002A7D19" w:rsidRPr="00766A24" w:rsidRDefault="002A7D19" w:rsidP="003A31ED">
            <w:pPr>
              <w:spacing w:line="280" w:lineRule="atLeast"/>
              <w:ind w:left="142"/>
              <w:rPr>
                <w:rFonts w:ascii="Gotham Book" w:eastAsia="Times New Roman" w:hAnsi="Gotham Book" w:cs="Arial"/>
                <w:b w:val="0"/>
                <w:bCs w:val="0"/>
                <w:color w:val="000000" w:themeColor="text1"/>
                <w:sz w:val="20"/>
                <w:szCs w:val="20"/>
              </w:rPr>
            </w:pPr>
            <w:r w:rsidRPr="00766A24">
              <w:rPr>
                <w:rFonts w:ascii="Gotham Book" w:eastAsia="Times New Roman" w:hAnsi="Gotham Book" w:cs="Arial"/>
                <w:b w:val="0"/>
                <w:bCs w:val="0"/>
                <w:color w:val="000000" w:themeColor="text1"/>
                <w:sz w:val="20"/>
                <w:szCs w:val="20"/>
              </w:rPr>
              <w:t>65 to under 75 years</w:t>
            </w:r>
          </w:p>
        </w:tc>
        <w:tc>
          <w:tcPr>
            <w:tcW w:w="834" w:type="pct"/>
            <w:tcBorders>
              <w:left w:val="single" w:sz="4" w:space="0" w:color="156082" w:themeColor="accent1"/>
              <w:right w:val="single" w:sz="4" w:space="0" w:color="156082" w:themeColor="accent1"/>
            </w:tcBorders>
            <w:shd w:val="clear" w:color="auto" w:fill="FFFFFF"/>
          </w:tcPr>
          <w:p w14:paraId="50B93ED1" w14:textId="77777777" w:rsidR="002A7D19" w:rsidRPr="00C12A6C" w:rsidRDefault="002A7D19" w:rsidP="003A31ED">
            <w:pPr>
              <w:spacing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sidRPr="00D66972">
              <w:rPr>
                <w:rFonts w:ascii="Gotham Book" w:eastAsia="Arial" w:hAnsi="Gotham Book" w:cs="Arial"/>
                <w:i/>
                <w:sz w:val="20"/>
              </w:rPr>
              <w:t>460 - 920</w:t>
            </w:r>
          </w:p>
        </w:tc>
        <w:tc>
          <w:tcPr>
            <w:tcW w:w="807" w:type="pct"/>
            <w:tcBorders>
              <w:left w:val="single" w:sz="4" w:space="0" w:color="156082" w:themeColor="accent1"/>
              <w:right w:val="single" w:sz="4" w:space="0" w:color="156082" w:themeColor="accent1"/>
            </w:tcBorders>
            <w:shd w:val="clear" w:color="auto" w:fill="FFFFFF"/>
          </w:tcPr>
          <w:p w14:paraId="6DABB249" w14:textId="77777777" w:rsidR="002A7D19" w:rsidRPr="00C12A6C" w:rsidRDefault="002A7D19" w:rsidP="003A31ED">
            <w:pPr>
              <w:spacing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sidRPr="00341CAF">
              <w:rPr>
                <w:rFonts w:ascii="Gotham Book" w:eastAsia="Arial" w:hAnsi="Gotham Book" w:cs="Arial"/>
                <w:i/>
                <w:sz w:val="20"/>
              </w:rPr>
              <w:t>20-40</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EE39CF8" w14:textId="77777777" w:rsidR="002A7D19" w:rsidRPr="00C12A6C" w:rsidRDefault="002A7D19" w:rsidP="003A31ED">
            <w:pPr>
              <w:spacing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sidRPr="00C12A6C">
              <w:rPr>
                <w:rFonts w:ascii="Gotham Book" w:eastAsia="Times New Roman" w:hAnsi="Gotham Book" w:cs="Arial"/>
                <w:sz w:val="20"/>
                <w:szCs w:val="20"/>
              </w:rPr>
              <w:t>65 to under 75 years</w:t>
            </w:r>
          </w:p>
        </w:tc>
        <w:tc>
          <w:tcPr>
            <w:tcW w:w="833" w:type="pct"/>
            <w:tcBorders>
              <w:left w:val="single" w:sz="4" w:space="0" w:color="156082" w:themeColor="accent1"/>
              <w:right w:val="single" w:sz="4" w:space="0" w:color="156082" w:themeColor="accent1"/>
            </w:tcBorders>
            <w:shd w:val="clear" w:color="auto" w:fill="auto"/>
          </w:tcPr>
          <w:p w14:paraId="2D09B913" w14:textId="77777777" w:rsidR="002A7D19" w:rsidRPr="00C12A6C" w:rsidRDefault="002A7D19" w:rsidP="003A31ED">
            <w:pPr>
              <w:spacing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iCs/>
                <w:sz w:val="20"/>
              </w:rPr>
            </w:pPr>
            <w:r w:rsidRPr="00027EBF">
              <w:rPr>
                <w:rFonts w:ascii="Gotham Book" w:eastAsia="Arial" w:hAnsi="Gotham Book" w:cs="Arial"/>
                <w:i/>
                <w:sz w:val="20"/>
              </w:rPr>
              <w:t>1,000</w:t>
            </w:r>
          </w:p>
        </w:tc>
        <w:tc>
          <w:tcPr>
            <w:tcW w:w="833" w:type="pct"/>
            <w:tcBorders>
              <w:left w:val="single" w:sz="4" w:space="0" w:color="156082" w:themeColor="accent1"/>
              <w:right w:val="single" w:sz="4" w:space="0" w:color="156082" w:themeColor="accent1"/>
            </w:tcBorders>
            <w:shd w:val="clear" w:color="auto" w:fill="auto"/>
          </w:tcPr>
          <w:p w14:paraId="690DE5CB" w14:textId="77777777" w:rsidR="002A7D19" w:rsidRPr="00C12A6C" w:rsidRDefault="002A7D19" w:rsidP="003A31ED">
            <w:pPr>
              <w:spacing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sidRPr="00042779">
              <w:rPr>
                <w:rFonts w:ascii="Gotham Book" w:eastAsia="Arial" w:hAnsi="Gotham Book" w:cs="Arial"/>
                <w:i/>
                <w:sz w:val="20"/>
              </w:rPr>
              <w:t>43</w:t>
            </w:r>
          </w:p>
        </w:tc>
      </w:tr>
      <w:tr w:rsidR="002A7D19" w:rsidRPr="00C12A6C" w14:paraId="3EBEFEB1"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7F7205E5" w14:textId="77777777" w:rsidR="002A7D19" w:rsidRPr="00766A24" w:rsidRDefault="002A7D19" w:rsidP="003A31ED">
            <w:pPr>
              <w:spacing w:line="280" w:lineRule="atLeast"/>
              <w:ind w:left="142"/>
              <w:rPr>
                <w:rFonts w:ascii="Gotham Book" w:eastAsia="Arial" w:hAnsi="Gotham Book" w:cs="Arial"/>
                <w:b w:val="0"/>
                <w:bCs w:val="0"/>
                <w:color w:val="000000" w:themeColor="text1"/>
                <w:sz w:val="20"/>
              </w:rPr>
            </w:pPr>
            <w:r w:rsidRPr="00766A24">
              <w:rPr>
                <w:rFonts w:ascii="Gotham Book" w:eastAsia="Times New Roman" w:hAnsi="Gotham Book" w:cs="Arial"/>
                <w:b w:val="0"/>
                <w:bCs w:val="0"/>
                <w:color w:val="000000" w:themeColor="text1"/>
                <w:sz w:val="20"/>
                <w:szCs w:val="20"/>
              </w:rPr>
              <w:t>75 years and older</w:t>
            </w:r>
          </w:p>
        </w:tc>
        <w:tc>
          <w:tcPr>
            <w:tcW w:w="834" w:type="pct"/>
            <w:tcBorders>
              <w:left w:val="single" w:sz="4" w:space="0" w:color="156082" w:themeColor="accent1"/>
              <w:bottom w:val="single" w:sz="4" w:space="0" w:color="156082" w:themeColor="accent1"/>
              <w:right w:val="single" w:sz="4" w:space="0" w:color="156082" w:themeColor="accent1"/>
            </w:tcBorders>
            <w:shd w:val="clear" w:color="auto" w:fill="FFFFFF"/>
          </w:tcPr>
          <w:p w14:paraId="54590D0A" w14:textId="77777777" w:rsidR="002A7D19" w:rsidRPr="00C12A6C" w:rsidRDefault="002A7D19" w:rsidP="003A31ED">
            <w:pPr>
              <w:spacing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D66972">
              <w:rPr>
                <w:rFonts w:ascii="Gotham Book" w:eastAsia="Arial" w:hAnsi="Gotham Book" w:cs="Arial"/>
                <w:i/>
                <w:sz w:val="20"/>
              </w:rPr>
              <w:t>460 - 920</w:t>
            </w:r>
          </w:p>
        </w:tc>
        <w:tc>
          <w:tcPr>
            <w:tcW w:w="807" w:type="pct"/>
            <w:tcBorders>
              <w:left w:val="single" w:sz="4" w:space="0" w:color="156082" w:themeColor="accent1"/>
              <w:bottom w:val="single" w:sz="4" w:space="0" w:color="156082" w:themeColor="accent1"/>
              <w:right w:val="single" w:sz="4" w:space="0" w:color="156082" w:themeColor="accent1"/>
            </w:tcBorders>
            <w:shd w:val="clear" w:color="auto" w:fill="FFFFFF"/>
          </w:tcPr>
          <w:p w14:paraId="7756135E" w14:textId="77777777" w:rsidR="002A7D19" w:rsidRPr="00C12A6C" w:rsidRDefault="002A7D19" w:rsidP="003A31ED">
            <w:pPr>
              <w:spacing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341CAF">
              <w:rPr>
                <w:rFonts w:ascii="Gotham Book" w:eastAsia="Arial" w:hAnsi="Gotham Book" w:cs="Arial"/>
                <w:i/>
                <w:sz w:val="20"/>
              </w:rPr>
              <w:t>20-40</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3C31FC14" w14:textId="77777777" w:rsidR="002A7D19" w:rsidRPr="00C12A6C" w:rsidRDefault="002A7D19" w:rsidP="003A31ED">
            <w:pPr>
              <w:spacing w:line="280" w:lineRule="atLeast"/>
              <w:ind w:left="136"/>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C12A6C">
              <w:rPr>
                <w:rFonts w:ascii="Gotham Book" w:eastAsia="Times New Roman" w:hAnsi="Gotham Book" w:cs="Arial"/>
                <w:sz w:val="20"/>
                <w:szCs w:val="20"/>
              </w:rPr>
              <w:t>75 years and older</w:t>
            </w:r>
          </w:p>
        </w:tc>
        <w:tc>
          <w:tcPr>
            <w:tcW w:w="833" w:type="pct"/>
            <w:tcBorders>
              <w:left w:val="single" w:sz="4" w:space="0" w:color="156082" w:themeColor="accent1"/>
              <w:bottom w:val="single" w:sz="4" w:space="0" w:color="156082" w:themeColor="accent1"/>
              <w:right w:val="single" w:sz="4" w:space="0" w:color="156082" w:themeColor="accent1"/>
            </w:tcBorders>
            <w:shd w:val="clear" w:color="auto" w:fill="auto"/>
          </w:tcPr>
          <w:p w14:paraId="64A059B7" w14:textId="77777777" w:rsidR="002A7D19" w:rsidRPr="00C12A6C" w:rsidRDefault="002A7D19" w:rsidP="003A31ED">
            <w:pPr>
              <w:spacing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iCs/>
                <w:sz w:val="20"/>
              </w:rPr>
            </w:pPr>
            <w:r w:rsidRPr="00027EBF">
              <w:rPr>
                <w:rFonts w:ascii="Gotham Book" w:eastAsia="Arial" w:hAnsi="Gotham Book" w:cs="Arial"/>
                <w:i/>
                <w:sz w:val="20"/>
              </w:rPr>
              <w:t>1,000</w:t>
            </w:r>
          </w:p>
        </w:tc>
        <w:tc>
          <w:tcPr>
            <w:tcW w:w="833" w:type="pct"/>
            <w:tcBorders>
              <w:left w:val="single" w:sz="4" w:space="0" w:color="156082" w:themeColor="accent1"/>
              <w:bottom w:val="single" w:sz="4" w:space="0" w:color="156082" w:themeColor="accent1"/>
              <w:right w:val="single" w:sz="4" w:space="0" w:color="156082" w:themeColor="accent1"/>
            </w:tcBorders>
            <w:shd w:val="clear" w:color="auto" w:fill="auto"/>
          </w:tcPr>
          <w:p w14:paraId="769EA223" w14:textId="77777777" w:rsidR="002A7D19" w:rsidRPr="00C12A6C" w:rsidRDefault="002A7D19" w:rsidP="003A31ED">
            <w:pPr>
              <w:spacing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042779">
              <w:rPr>
                <w:rFonts w:ascii="Gotham Book" w:eastAsia="Arial" w:hAnsi="Gotham Book" w:cs="Arial"/>
                <w:i/>
                <w:sz w:val="20"/>
              </w:rPr>
              <w:t>43</w:t>
            </w:r>
          </w:p>
        </w:tc>
      </w:tr>
      <w:tr w:rsidR="002A7D19" w:rsidRPr="00C12A6C" w14:paraId="6C7412C0"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403DAE62" w14:textId="77777777" w:rsidR="002A7D19" w:rsidRPr="00053541" w:rsidRDefault="002A7D19" w:rsidP="003A31ED">
            <w:pPr>
              <w:spacing w:line="280" w:lineRule="atLeast"/>
              <w:ind w:left="142"/>
              <w:rPr>
                <w:rFonts w:ascii="Gotham Book" w:eastAsia="Times New Roman" w:hAnsi="Gotham Book" w:cs="Arial"/>
                <w:color w:val="000000" w:themeColor="text1"/>
                <w:sz w:val="20"/>
                <w:szCs w:val="20"/>
              </w:rPr>
            </w:pPr>
            <w:r w:rsidRPr="00053541">
              <w:rPr>
                <w:rFonts w:ascii="Gotham Book" w:eastAsia="Times New Roman" w:hAnsi="Gotham Book" w:cs="Arial"/>
                <w:color w:val="000000" w:themeColor="text1"/>
                <w:sz w:val="20"/>
                <w:szCs w:val="20"/>
              </w:rPr>
              <w:t>Females</w:t>
            </w:r>
          </w:p>
        </w:tc>
        <w:tc>
          <w:tcPr>
            <w:tcW w:w="83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957B687" w14:textId="77777777" w:rsidR="002A7D19" w:rsidRPr="00C12A6C" w:rsidRDefault="002A7D19" w:rsidP="003A31ED">
            <w:pPr>
              <w:spacing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Pr>
                <w:rFonts w:ascii="Gotham Book" w:eastAsia="Arial" w:hAnsi="Gotham Book" w:cs="Arial"/>
                <w:b/>
                <w:sz w:val="20"/>
              </w:rPr>
              <w:t>AI (mg/day)</w:t>
            </w:r>
          </w:p>
        </w:tc>
        <w:tc>
          <w:tcPr>
            <w:tcW w:w="807"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502131D" w14:textId="77777777" w:rsidR="002A7D19" w:rsidRPr="00C12A6C" w:rsidRDefault="002A7D19" w:rsidP="003A31ED">
            <w:pPr>
              <w:spacing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Pr>
                <w:rFonts w:ascii="Gotham Book" w:eastAsia="Arial" w:hAnsi="Gotham Book" w:cs="Arial"/>
                <w:b/>
                <w:sz w:val="20"/>
              </w:rPr>
              <w:t>AI (mmol/day)</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4BA4109B" w14:textId="77777777" w:rsidR="002A7D19" w:rsidRPr="00C12A6C" w:rsidRDefault="002A7D19" w:rsidP="003A31ED">
            <w:pPr>
              <w:spacing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Times New Roman" w:hAnsi="Gotham Book" w:cs="Arial"/>
                <w:b/>
                <w:sz w:val="20"/>
                <w:szCs w:val="20"/>
              </w:rPr>
            </w:pPr>
            <w:r w:rsidRPr="00C12A6C">
              <w:rPr>
                <w:rFonts w:ascii="Gotham Book" w:eastAsia="Times New Roman" w:hAnsi="Gotham Book" w:cs="Arial"/>
                <w:b/>
                <w:sz w:val="20"/>
                <w:szCs w:val="20"/>
              </w:rPr>
              <w:t>Females</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01DF8AD" w14:textId="77777777" w:rsidR="002A7D19" w:rsidRDefault="002A7D19" w:rsidP="003A31ED">
            <w:pPr>
              <w:spacing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b/>
                <w:sz w:val="20"/>
              </w:rPr>
            </w:pPr>
            <w:r>
              <w:rPr>
                <w:rFonts w:ascii="Gotham Book" w:eastAsia="Arial" w:hAnsi="Gotham Book" w:cs="Arial"/>
                <w:b/>
                <w:sz w:val="20"/>
              </w:rPr>
              <w:t>AI (mg/day)</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48D9F40B" w14:textId="77777777" w:rsidR="002A7D19" w:rsidRPr="00C12A6C" w:rsidRDefault="002A7D19" w:rsidP="003A31ED">
            <w:pPr>
              <w:spacing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Pr>
                <w:rFonts w:ascii="Gotham Book" w:eastAsia="Arial" w:hAnsi="Gotham Book" w:cs="Arial"/>
                <w:b/>
                <w:sz w:val="20"/>
              </w:rPr>
              <w:t>AI (mg/day)</w:t>
            </w:r>
          </w:p>
        </w:tc>
      </w:tr>
      <w:tr w:rsidR="002A7D19" w:rsidRPr="00C12A6C" w14:paraId="04F54BB7"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3C0037E7" w14:textId="77777777" w:rsidR="002A7D19" w:rsidRPr="00766A24" w:rsidRDefault="002A7D19" w:rsidP="003A31ED">
            <w:pPr>
              <w:spacing w:line="280" w:lineRule="atLeast"/>
              <w:ind w:left="142"/>
              <w:rPr>
                <w:rFonts w:ascii="Gotham Book" w:eastAsia="Times New Roman" w:hAnsi="Gotham Book" w:cs="Arial"/>
                <w:b w:val="0"/>
                <w:bCs w:val="0"/>
                <w:color w:val="000000" w:themeColor="text1"/>
                <w:sz w:val="20"/>
                <w:szCs w:val="20"/>
              </w:rPr>
            </w:pPr>
            <w:r w:rsidRPr="00766A24">
              <w:rPr>
                <w:rFonts w:ascii="Gotham Book" w:eastAsia="Times New Roman" w:hAnsi="Gotham Book" w:cs="Arial"/>
                <w:b w:val="0"/>
                <w:bCs w:val="0"/>
                <w:color w:val="000000" w:themeColor="text1"/>
                <w:sz w:val="20"/>
                <w:szCs w:val="20"/>
              </w:rPr>
              <w:t>18 to under 30 years</w:t>
            </w:r>
          </w:p>
        </w:tc>
        <w:tc>
          <w:tcPr>
            <w:tcW w:w="834" w:type="pct"/>
            <w:tcBorders>
              <w:top w:val="single" w:sz="4" w:space="0" w:color="156082" w:themeColor="accent1"/>
              <w:left w:val="single" w:sz="4" w:space="0" w:color="156082" w:themeColor="accent1"/>
              <w:right w:val="single" w:sz="4" w:space="0" w:color="156082" w:themeColor="accent1"/>
            </w:tcBorders>
            <w:shd w:val="clear" w:color="auto" w:fill="FFFFFF"/>
          </w:tcPr>
          <w:p w14:paraId="6F6D5EF9" w14:textId="77777777" w:rsidR="002A7D19" w:rsidRPr="00C12A6C" w:rsidRDefault="002A7D19" w:rsidP="003A31ED">
            <w:pPr>
              <w:spacing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0738A3">
              <w:rPr>
                <w:rFonts w:ascii="Gotham Book" w:eastAsia="Arial" w:hAnsi="Gotham Book" w:cs="Arial"/>
                <w:i/>
                <w:sz w:val="20"/>
              </w:rPr>
              <w:t>460 - 920</w:t>
            </w:r>
          </w:p>
        </w:tc>
        <w:tc>
          <w:tcPr>
            <w:tcW w:w="807" w:type="pct"/>
            <w:tcBorders>
              <w:top w:val="single" w:sz="4" w:space="0" w:color="156082" w:themeColor="accent1"/>
              <w:left w:val="single" w:sz="4" w:space="0" w:color="156082" w:themeColor="accent1"/>
              <w:right w:val="single" w:sz="4" w:space="0" w:color="156082" w:themeColor="accent1"/>
            </w:tcBorders>
            <w:shd w:val="clear" w:color="auto" w:fill="FFFFFF"/>
          </w:tcPr>
          <w:p w14:paraId="51E1704A" w14:textId="77777777" w:rsidR="002A7D19" w:rsidRPr="00C12A6C" w:rsidRDefault="002A7D19" w:rsidP="003A31ED">
            <w:pPr>
              <w:spacing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6645B1">
              <w:rPr>
                <w:rFonts w:ascii="Gotham Book" w:eastAsia="Arial" w:hAnsi="Gotham Book" w:cs="Arial"/>
                <w:i/>
                <w:sz w:val="20"/>
              </w:rPr>
              <w:t>20-40</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509DAE35" w14:textId="77777777" w:rsidR="002A7D19" w:rsidRPr="00C12A6C" w:rsidRDefault="002A7D19" w:rsidP="003A31ED">
            <w:pPr>
              <w:spacing w:line="280" w:lineRule="atLeast"/>
              <w:ind w:left="136"/>
              <w:cnfStyle w:val="000000010000" w:firstRow="0" w:lastRow="0" w:firstColumn="0" w:lastColumn="0" w:oddVBand="0" w:evenVBand="0" w:oddHBand="0" w:evenHBand="1" w:firstRowFirstColumn="0" w:firstRowLastColumn="0" w:lastRowFirstColumn="0" w:lastRowLastColumn="0"/>
              <w:rPr>
                <w:rFonts w:ascii="Gotham Book" w:eastAsia="Times New Roman" w:hAnsi="Gotham Book" w:cs="Arial"/>
                <w:sz w:val="20"/>
                <w:szCs w:val="20"/>
              </w:rPr>
            </w:pPr>
            <w:r w:rsidRPr="00C12A6C">
              <w:rPr>
                <w:rFonts w:ascii="Gotham Book" w:eastAsia="Times New Roman" w:hAnsi="Gotham Book" w:cs="Arial"/>
                <w:sz w:val="20"/>
                <w:szCs w:val="20"/>
              </w:rPr>
              <w:t>18 to under 30 years</w:t>
            </w:r>
          </w:p>
        </w:tc>
        <w:tc>
          <w:tcPr>
            <w:tcW w:w="833" w:type="pct"/>
            <w:tcBorders>
              <w:top w:val="single" w:sz="4" w:space="0" w:color="156082" w:themeColor="accent1"/>
              <w:left w:val="single" w:sz="4" w:space="0" w:color="156082" w:themeColor="accent1"/>
              <w:right w:val="single" w:sz="4" w:space="0" w:color="156082" w:themeColor="accent1"/>
            </w:tcBorders>
            <w:shd w:val="clear" w:color="auto" w:fill="auto"/>
          </w:tcPr>
          <w:p w14:paraId="4C31139A" w14:textId="77777777" w:rsidR="002A7D19" w:rsidRPr="00C12A6C" w:rsidRDefault="002A7D19" w:rsidP="003A31ED">
            <w:pPr>
              <w:spacing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iCs/>
                <w:sz w:val="20"/>
              </w:rPr>
            </w:pPr>
            <w:r w:rsidRPr="00966DB2">
              <w:rPr>
                <w:rFonts w:ascii="Gotham Book" w:eastAsia="Arial" w:hAnsi="Gotham Book" w:cs="Arial"/>
                <w:i/>
                <w:sz w:val="20"/>
              </w:rPr>
              <w:t>1,000</w:t>
            </w:r>
          </w:p>
        </w:tc>
        <w:tc>
          <w:tcPr>
            <w:tcW w:w="833" w:type="pct"/>
            <w:tcBorders>
              <w:top w:val="single" w:sz="4" w:space="0" w:color="156082" w:themeColor="accent1"/>
              <w:left w:val="single" w:sz="4" w:space="0" w:color="156082" w:themeColor="accent1"/>
              <w:right w:val="single" w:sz="4" w:space="0" w:color="156082" w:themeColor="accent1"/>
            </w:tcBorders>
            <w:shd w:val="clear" w:color="auto" w:fill="auto"/>
          </w:tcPr>
          <w:p w14:paraId="11C9C773" w14:textId="77777777" w:rsidR="002A7D19" w:rsidRPr="00C12A6C" w:rsidRDefault="002A7D19" w:rsidP="003A31ED">
            <w:pPr>
              <w:spacing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AF50C7">
              <w:rPr>
                <w:rFonts w:ascii="Gotham Book" w:eastAsia="Arial" w:hAnsi="Gotham Book" w:cs="Arial"/>
                <w:i/>
                <w:sz w:val="20"/>
              </w:rPr>
              <w:t>43</w:t>
            </w:r>
          </w:p>
        </w:tc>
      </w:tr>
      <w:tr w:rsidR="002A7D19" w:rsidRPr="00C12A6C" w14:paraId="49CC66D2"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51666327" w14:textId="77777777" w:rsidR="002A7D19" w:rsidRPr="00766A24" w:rsidRDefault="002A7D19" w:rsidP="003A31ED">
            <w:pPr>
              <w:spacing w:line="280" w:lineRule="atLeast"/>
              <w:ind w:left="142"/>
              <w:rPr>
                <w:rFonts w:ascii="Gotham Book" w:eastAsia="Times New Roman" w:hAnsi="Gotham Book" w:cs="Arial"/>
                <w:b w:val="0"/>
                <w:bCs w:val="0"/>
                <w:color w:val="000000" w:themeColor="text1"/>
                <w:sz w:val="20"/>
                <w:szCs w:val="20"/>
              </w:rPr>
            </w:pPr>
            <w:r w:rsidRPr="00766A24">
              <w:rPr>
                <w:rFonts w:ascii="Gotham Book" w:eastAsia="Times New Roman" w:hAnsi="Gotham Book" w:cs="Arial"/>
                <w:b w:val="0"/>
                <w:bCs w:val="0"/>
                <w:color w:val="000000" w:themeColor="text1"/>
                <w:sz w:val="20"/>
                <w:szCs w:val="20"/>
              </w:rPr>
              <w:t>30 to under 50 years</w:t>
            </w:r>
          </w:p>
        </w:tc>
        <w:tc>
          <w:tcPr>
            <w:tcW w:w="834" w:type="pct"/>
            <w:tcBorders>
              <w:left w:val="single" w:sz="4" w:space="0" w:color="156082" w:themeColor="accent1"/>
              <w:right w:val="single" w:sz="4" w:space="0" w:color="156082" w:themeColor="accent1"/>
            </w:tcBorders>
            <w:shd w:val="clear" w:color="auto" w:fill="FFFFFF"/>
          </w:tcPr>
          <w:p w14:paraId="5FF6A76F" w14:textId="77777777" w:rsidR="002A7D19" w:rsidRPr="00C12A6C" w:rsidRDefault="002A7D19" w:rsidP="003A31ED">
            <w:pPr>
              <w:spacing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sidRPr="000738A3">
              <w:rPr>
                <w:rFonts w:ascii="Gotham Book" w:eastAsia="Arial" w:hAnsi="Gotham Book" w:cs="Arial"/>
                <w:i/>
                <w:sz w:val="20"/>
              </w:rPr>
              <w:t>460 - 920</w:t>
            </w:r>
          </w:p>
        </w:tc>
        <w:tc>
          <w:tcPr>
            <w:tcW w:w="807" w:type="pct"/>
            <w:tcBorders>
              <w:left w:val="single" w:sz="4" w:space="0" w:color="156082" w:themeColor="accent1"/>
              <w:right w:val="single" w:sz="4" w:space="0" w:color="156082" w:themeColor="accent1"/>
            </w:tcBorders>
            <w:shd w:val="clear" w:color="auto" w:fill="FFFFFF"/>
          </w:tcPr>
          <w:p w14:paraId="1482261E" w14:textId="77777777" w:rsidR="002A7D19" w:rsidRPr="00C12A6C" w:rsidRDefault="002A7D19" w:rsidP="003A31ED">
            <w:pPr>
              <w:spacing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sidRPr="006645B1">
              <w:rPr>
                <w:rFonts w:ascii="Gotham Book" w:eastAsia="Arial" w:hAnsi="Gotham Book" w:cs="Arial"/>
                <w:i/>
                <w:sz w:val="20"/>
              </w:rPr>
              <w:t>20-40</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FFD09BD" w14:textId="77777777" w:rsidR="002A7D19" w:rsidRPr="00C12A6C" w:rsidRDefault="002A7D19" w:rsidP="003A31ED">
            <w:pPr>
              <w:spacing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Times New Roman" w:hAnsi="Gotham Book" w:cs="Arial"/>
                <w:sz w:val="20"/>
                <w:szCs w:val="20"/>
              </w:rPr>
            </w:pPr>
            <w:r w:rsidRPr="00C12A6C">
              <w:rPr>
                <w:rFonts w:ascii="Gotham Book" w:eastAsia="Times New Roman" w:hAnsi="Gotham Book" w:cs="Arial"/>
                <w:sz w:val="20"/>
                <w:szCs w:val="20"/>
              </w:rPr>
              <w:t>30 to under 50 years</w:t>
            </w:r>
          </w:p>
        </w:tc>
        <w:tc>
          <w:tcPr>
            <w:tcW w:w="833" w:type="pct"/>
            <w:tcBorders>
              <w:left w:val="single" w:sz="4" w:space="0" w:color="156082" w:themeColor="accent1"/>
              <w:right w:val="single" w:sz="4" w:space="0" w:color="156082" w:themeColor="accent1"/>
            </w:tcBorders>
            <w:shd w:val="clear" w:color="auto" w:fill="auto"/>
          </w:tcPr>
          <w:p w14:paraId="096B8462" w14:textId="77777777" w:rsidR="002A7D19" w:rsidRPr="00C12A6C" w:rsidRDefault="002A7D19" w:rsidP="003A31ED">
            <w:pPr>
              <w:spacing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iCs/>
                <w:sz w:val="20"/>
              </w:rPr>
            </w:pPr>
            <w:r w:rsidRPr="00966DB2">
              <w:rPr>
                <w:rFonts w:ascii="Gotham Book" w:eastAsia="Arial" w:hAnsi="Gotham Book" w:cs="Arial"/>
                <w:i/>
                <w:sz w:val="20"/>
              </w:rPr>
              <w:t>1,000</w:t>
            </w:r>
          </w:p>
        </w:tc>
        <w:tc>
          <w:tcPr>
            <w:tcW w:w="833" w:type="pct"/>
            <w:tcBorders>
              <w:left w:val="single" w:sz="4" w:space="0" w:color="156082" w:themeColor="accent1"/>
              <w:right w:val="single" w:sz="4" w:space="0" w:color="156082" w:themeColor="accent1"/>
            </w:tcBorders>
            <w:shd w:val="clear" w:color="auto" w:fill="auto"/>
          </w:tcPr>
          <w:p w14:paraId="7CC26C94" w14:textId="77777777" w:rsidR="002A7D19" w:rsidRPr="00C12A6C" w:rsidRDefault="002A7D19" w:rsidP="003A31ED">
            <w:pPr>
              <w:spacing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sidRPr="00AF50C7">
              <w:rPr>
                <w:rFonts w:ascii="Gotham Book" w:eastAsia="Arial" w:hAnsi="Gotham Book" w:cs="Arial"/>
                <w:i/>
                <w:sz w:val="20"/>
              </w:rPr>
              <w:t>43</w:t>
            </w:r>
          </w:p>
        </w:tc>
      </w:tr>
      <w:tr w:rsidR="002A7D19" w:rsidRPr="00C12A6C" w14:paraId="195BC4A5"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41916646" w14:textId="77777777" w:rsidR="002A7D19" w:rsidRPr="00766A24" w:rsidRDefault="002A7D19" w:rsidP="003A31ED">
            <w:pPr>
              <w:spacing w:line="280" w:lineRule="atLeast"/>
              <w:ind w:left="142"/>
              <w:rPr>
                <w:rFonts w:ascii="Gotham Book" w:eastAsia="Times New Roman" w:hAnsi="Gotham Book" w:cs="Arial"/>
                <w:b w:val="0"/>
                <w:bCs w:val="0"/>
                <w:color w:val="000000" w:themeColor="text1"/>
                <w:sz w:val="20"/>
                <w:szCs w:val="20"/>
              </w:rPr>
            </w:pPr>
            <w:r w:rsidRPr="00766A24">
              <w:rPr>
                <w:rFonts w:ascii="Gotham Book" w:eastAsia="Times New Roman" w:hAnsi="Gotham Book" w:cs="Arial"/>
                <w:b w:val="0"/>
                <w:bCs w:val="0"/>
                <w:color w:val="000000" w:themeColor="text1"/>
                <w:sz w:val="20"/>
                <w:szCs w:val="20"/>
              </w:rPr>
              <w:t>50 to under 65 years</w:t>
            </w:r>
          </w:p>
        </w:tc>
        <w:tc>
          <w:tcPr>
            <w:tcW w:w="834" w:type="pct"/>
            <w:tcBorders>
              <w:left w:val="single" w:sz="4" w:space="0" w:color="156082" w:themeColor="accent1"/>
              <w:right w:val="single" w:sz="4" w:space="0" w:color="156082" w:themeColor="accent1"/>
            </w:tcBorders>
            <w:shd w:val="clear" w:color="auto" w:fill="FFFFFF"/>
          </w:tcPr>
          <w:p w14:paraId="020D590F" w14:textId="77777777" w:rsidR="002A7D19" w:rsidRPr="00C12A6C" w:rsidRDefault="002A7D19" w:rsidP="003A31ED">
            <w:pPr>
              <w:spacing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0738A3">
              <w:rPr>
                <w:rFonts w:ascii="Gotham Book" w:eastAsia="Arial" w:hAnsi="Gotham Book" w:cs="Arial"/>
                <w:i/>
                <w:sz w:val="20"/>
              </w:rPr>
              <w:t>460 - 920</w:t>
            </w:r>
          </w:p>
        </w:tc>
        <w:tc>
          <w:tcPr>
            <w:tcW w:w="807" w:type="pct"/>
            <w:tcBorders>
              <w:left w:val="single" w:sz="4" w:space="0" w:color="156082" w:themeColor="accent1"/>
              <w:right w:val="single" w:sz="4" w:space="0" w:color="156082" w:themeColor="accent1"/>
            </w:tcBorders>
            <w:shd w:val="clear" w:color="auto" w:fill="FFFFFF"/>
          </w:tcPr>
          <w:p w14:paraId="551E4ED1" w14:textId="77777777" w:rsidR="002A7D19" w:rsidRPr="00C12A6C" w:rsidRDefault="002A7D19" w:rsidP="003A31ED">
            <w:pPr>
              <w:spacing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6645B1">
              <w:rPr>
                <w:rFonts w:ascii="Gotham Book" w:eastAsia="Arial" w:hAnsi="Gotham Book" w:cs="Arial"/>
                <w:i/>
                <w:sz w:val="20"/>
              </w:rPr>
              <w:t>20-40</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06C294E1" w14:textId="77777777" w:rsidR="002A7D19" w:rsidRPr="00C12A6C" w:rsidRDefault="002A7D19" w:rsidP="003A31ED">
            <w:pPr>
              <w:spacing w:line="280" w:lineRule="atLeast"/>
              <w:ind w:left="136"/>
              <w:cnfStyle w:val="000000010000" w:firstRow="0" w:lastRow="0" w:firstColumn="0" w:lastColumn="0" w:oddVBand="0" w:evenVBand="0" w:oddHBand="0" w:evenHBand="1" w:firstRowFirstColumn="0" w:firstRowLastColumn="0" w:lastRowFirstColumn="0" w:lastRowLastColumn="0"/>
              <w:rPr>
                <w:rFonts w:ascii="Gotham Book" w:eastAsia="Times New Roman" w:hAnsi="Gotham Book" w:cs="Arial"/>
                <w:sz w:val="20"/>
                <w:szCs w:val="20"/>
              </w:rPr>
            </w:pPr>
            <w:r w:rsidRPr="00C12A6C">
              <w:rPr>
                <w:rFonts w:ascii="Gotham Book" w:eastAsia="Times New Roman" w:hAnsi="Gotham Book" w:cs="Arial"/>
                <w:sz w:val="20"/>
                <w:szCs w:val="20"/>
              </w:rPr>
              <w:t>50 to under 65 years</w:t>
            </w:r>
          </w:p>
        </w:tc>
        <w:tc>
          <w:tcPr>
            <w:tcW w:w="833" w:type="pct"/>
            <w:tcBorders>
              <w:left w:val="single" w:sz="4" w:space="0" w:color="156082" w:themeColor="accent1"/>
              <w:right w:val="single" w:sz="4" w:space="0" w:color="156082" w:themeColor="accent1"/>
            </w:tcBorders>
            <w:shd w:val="clear" w:color="auto" w:fill="auto"/>
          </w:tcPr>
          <w:p w14:paraId="71D623E6" w14:textId="77777777" w:rsidR="002A7D19" w:rsidRPr="00C12A6C" w:rsidRDefault="002A7D19" w:rsidP="003A31ED">
            <w:pPr>
              <w:spacing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iCs/>
                <w:sz w:val="20"/>
              </w:rPr>
            </w:pPr>
            <w:r w:rsidRPr="00966DB2">
              <w:rPr>
                <w:rFonts w:ascii="Gotham Book" w:eastAsia="Arial" w:hAnsi="Gotham Book" w:cs="Arial"/>
                <w:i/>
                <w:sz w:val="20"/>
              </w:rPr>
              <w:t>1,000</w:t>
            </w:r>
          </w:p>
        </w:tc>
        <w:tc>
          <w:tcPr>
            <w:tcW w:w="833" w:type="pct"/>
            <w:tcBorders>
              <w:left w:val="single" w:sz="4" w:space="0" w:color="156082" w:themeColor="accent1"/>
              <w:right w:val="single" w:sz="4" w:space="0" w:color="156082" w:themeColor="accent1"/>
            </w:tcBorders>
            <w:shd w:val="clear" w:color="auto" w:fill="auto"/>
          </w:tcPr>
          <w:p w14:paraId="3F2C162E" w14:textId="77777777" w:rsidR="002A7D19" w:rsidRPr="00C12A6C" w:rsidRDefault="002A7D19" w:rsidP="003A31ED">
            <w:pPr>
              <w:spacing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AF50C7">
              <w:rPr>
                <w:rFonts w:ascii="Gotham Book" w:eastAsia="Arial" w:hAnsi="Gotham Book" w:cs="Arial"/>
                <w:i/>
                <w:sz w:val="20"/>
              </w:rPr>
              <w:t>43</w:t>
            </w:r>
          </w:p>
        </w:tc>
      </w:tr>
      <w:tr w:rsidR="002A7D19" w:rsidRPr="00C12A6C" w14:paraId="4DB0433D"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7093B0ED" w14:textId="77777777" w:rsidR="002A7D19" w:rsidRPr="00766A24" w:rsidRDefault="002A7D19" w:rsidP="003A31ED">
            <w:pPr>
              <w:spacing w:line="280" w:lineRule="atLeast"/>
              <w:ind w:left="142"/>
              <w:rPr>
                <w:rFonts w:ascii="Gotham Book" w:eastAsia="Times New Roman" w:hAnsi="Gotham Book" w:cs="Arial"/>
                <w:b w:val="0"/>
                <w:bCs w:val="0"/>
                <w:color w:val="000000" w:themeColor="text1"/>
                <w:sz w:val="20"/>
                <w:szCs w:val="20"/>
              </w:rPr>
            </w:pPr>
            <w:r w:rsidRPr="00766A24">
              <w:rPr>
                <w:rFonts w:ascii="Gotham Book" w:eastAsia="Times New Roman" w:hAnsi="Gotham Book" w:cs="Arial"/>
                <w:b w:val="0"/>
                <w:bCs w:val="0"/>
                <w:color w:val="000000" w:themeColor="text1"/>
                <w:sz w:val="20"/>
                <w:szCs w:val="20"/>
              </w:rPr>
              <w:t>65 to under 75 years</w:t>
            </w:r>
          </w:p>
        </w:tc>
        <w:tc>
          <w:tcPr>
            <w:tcW w:w="834" w:type="pct"/>
            <w:tcBorders>
              <w:left w:val="single" w:sz="4" w:space="0" w:color="156082" w:themeColor="accent1"/>
              <w:right w:val="single" w:sz="4" w:space="0" w:color="156082" w:themeColor="accent1"/>
            </w:tcBorders>
            <w:shd w:val="clear" w:color="auto" w:fill="FFFFFF"/>
          </w:tcPr>
          <w:p w14:paraId="6CF75CC5" w14:textId="77777777" w:rsidR="002A7D19" w:rsidRPr="00C12A6C" w:rsidRDefault="002A7D19" w:rsidP="003A31ED">
            <w:pPr>
              <w:spacing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sidRPr="000738A3">
              <w:rPr>
                <w:rFonts w:ascii="Gotham Book" w:eastAsia="Arial" w:hAnsi="Gotham Book" w:cs="Arial"/>
                <w:i/>
                <w:sz w:val="20"/>
              </w:rPr>
              <w:t>460 - 920</w:t>
            </w:r>
          </w:p>
        </w:tc>
        <w:tc>
          <w:tcPr>
            <w:tcW w:w="807" w:type="pct"/>
            <w:tcBorders>
              <w:left w:val="single" w:sz="4" w:space="0" w:color="156082" w:themeColor="accent1"/>
              <w:right w:val="single" w:sz="4" w:space="0" w:color="156082" w:themeColor="accent1"/>
            </w:tcBorders>
            <w:shd w:val="clear" w:color="auto" w:fill="FFFFFF"/>
          </w:tcPr>
          <w:p w14:paraId="68AEE853" w14:textId="77777777" w:rsidR="002A7D19" w:rsidRPr="00C12A6C" w:rsidRDefault="002A7D19" w:rsidP="003A31ED">
            <w:pPr>
              <w:spacing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sidRPr="006645B1">
              <w:rPr>
                <w:rFonts w:ascii="Gotham Book" w:eastAsia="Arial" w:hAnsi="Gotham Book" w:cs="Arial"/>
                <w:i/>
                <w:sz w:val="20"/>
              </w:rPr>
              <w:t>20-40</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913B49C" w14:textId="77777777" w:rsidR="002A7D19" w:rsidRPr="00C12A6C" w:rsidRDefault="002A7D19" w:rsidP="003A31ED">
            <w:pPr>
              <w:spacing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Times New Roman" w:hAnsi="Gotham Book" w:cs="Arial"/>
                <w:sz w:val="20"/>
                <w:szCs w:val="20"/>
              </w:rPr>
            </w:pPr>
            <w:r w:rsidRPr="00C12A6C">
              <w:rPr>
                <w:rFonts w:ascii="Gotham Book" w:eastAsia="Times New Roman" w:hAnsi="Gotham Book" w:cs="Arial"/>
                <w:sz w:val="20"/>
                <w:szCs w:val="20"/>
              </w:rPr>
              <w:t>65 to under 75 years</w:t>
            </w:r>
          </w:p>
        </w:tc>
        <w:tc>
          <w:tcPr>
            <w:tcW w:w="833" w:type="pct"/>
            <w:tcBorders>
              <w:left w:val="single" w:sz="4" w:space="0" w:color="156082" w:themeColor="accent1"/>
              <w:right w:val="single" w:sz="4" w:space="0" w:color="156082" w:themeColor="accent1"/>
            </w:tcBorders>
            <w:shd w:val="clear" w:color="auto" w:fill="auto"/>
          </w:tcPr>
          <w:p w14:paraId="24049333" w14:textId="77777777" w:rsidR="002A7D19" w:rsidRPr="00C12A6C" w:rsidRDefault="002A7D19" w:rsidP="003A31ED">
            <w:pPr>
              <w:spacing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iCs/>
                <w:sz w:val="20"/>
              </w:rPr>
            </w:pPr>
            <w:r w:rsidRPr="00966DB2">
              <w:rPr>
                <w:rFonts w:ascii="Gotham Book" w:eastAsia="Arial" w:hAnsi="Gotham Book" w:cs="Arial"/>
                <w:i/>
                <w:sz w:val="20"/>
              </w:rPr>
              <w:t>1,000</w:t>
            </w:r>
          </w:p>
        </w:tc>
        <w:tc>
          <w:tcPr>
            <w:tcW w:w="833" w:type="pct"/>
            <w:tcBorders>
              <w:left w:val="single" w:sz="4" w:space="0" w:color="156082" w:themeColor="accent1"/>
              <w:right w:val="single" w:sz="4" w:space="0" w:color="156082" w:themeColor="accent1"/>
            </w:tcBorders>
            <w:shd w:val="clear" w:color="auto" w:fill="auto"/>
          </w:tcPr>
          <w:p w14:paraId="5E8FCCCA" w14:textId="77777777" w:rsidR="002A7D19" w:rsidRPr="00C12A6C" w:rsidRDefault="002A7D19" w:rsidP="003A31ED">
            <w:pPr>
              <w:spacing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sidRPr="00AF50C7">
              <w:rPr>
                <w:rFonts w:ascii="Gotham Book" w:eastAsia="Arial" w:hAnsi="Gotham Book" w:cs="Arial"/>
                <w:i/>
                <w:sz w:val="20"/>
              </w:rPr>
              <w:t>43</w:t>
            </w:r>
          </w:p>
        </w:tc>
      </w:tr>
      <w:tr w:rsidR="002A7D19" w:rsidRPr="00C12A6C" w14:paraId="38B8E6DB"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7E105D8A" w14:textId="77777777" w:rsidR="002A7D19" w:rsidRPr="00766A24" w:rsidRDefault="002A7D19" w:rsidP="003A31ED">
            <w:pPr>
              <w:spacing w:line="280" w:lineRule="atLeast"/>
              <w:ind w:left="142"/>
              <w:rPr>
                <w:rFonts w:ascii="Gotham Book" w:eastAsia="Times New Roman" w:hAnsi="Gotham Book" w:cs="Arial"/>
                <w:b w:val="0"/>
                <w:bCs w:val="0"/>
                <w:color w:val="000000" w:themeColor="text1"/>
                <w:sz w:val="20"/>
                <w:szCs w:val="20"/>
              </w:rPr>
            </w:pPr>
            <w:r w:rsidRPr="00766A24">
              <w:rPr>
                <w:rFonts w:ascii="Gotham Book" w:eastAsia="Times New Roman" w:hAnsi="Gotham Book" w:cs="Arial"/>
                <w:b w:val="0"/>
                <w:bCs w:val="0"/>
                <w:color w:val="000000" w:themeColor="text1"/>
                <w:sz w:val="20"/>
                <w:szCs w:val="20"/>
              </w:rPr>
              <w:t>75 years and older</w:t>
            </w:r>
          </w:p>
        </w:tc>
        <w:tc>
          <w:tcPr>
            <w:tcW w:w="834" w:type="pct"/>
            <w:tcBorders>
              <w:left w:val="single" w:sz="4" w:space="0" w:color="156082" w:themeColor="accent1"/>
              <w:bottom w:val="single" w:sz="4" w:space="0" w:color="156082" w:themeColor="accent1"/>
              <w:right w:val="single" w:sz="4" w:space="0" w:color="156082" w:themeColor="accent1"/>
            </w:tcBorders>
            <w:shd w:val="clear" w:color="auto" w:fill="FFFFFF"/>
          </w:tcPr>
          <w:p w14:paraId="54E163EE" w14:textId="77777777" w:rsidR="002A7D19" w:rsidRPr="00C12A6C" w:rsidRDefault="002A7D19" w:rsidP="003A31ED">
            <w:pPr>
              <w:spacing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0738A3">
              <w:rPr>
                <w:rFonts w:ascii="Gotham Book" w:eastAsia="Arial" w:hAnsi="Gotham Book" w:cs="Arial"/>
                <w:i/>
                <w:sz w:val="20"/>
              </w:rPr>
              <w:t>460 - 920</w:t>
            </w:r>
          </w:p>
        </w:tc>
        <w:tc>
          <w:tcPr>
            <w:tcW w:w="807" w:type="pct"/>
            <w:tcBorders>
              <w:left w:val="single" w:sz="4" w:space="0" w:color="156082" w:themeColor="accent1"/>
              <w:bottom w:val="single" w:sz="4" w:space="0" w:color="156082" w:themeColor="accent1"/>
              <w:right w:val="single" w:sz="4" w:space="0" w:color="156082" w:themeColor="accent1"/>
            </w:tcBorders>
            <w:shd w:val="clear" w:color="auto" w:fill="FFFFFF"/>
          </w:tcPr>
          <w:p w14:paraId="65C37168" w14:textId="77777777" w:rsidR="002A7D19" w:rsidRPr="00C12A6C" w:rsidRDefault="002A7D19" w:rsidP="003A31ED">
            <w:pPr>
              <w:spacing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6645B1">
              <w:rPr>
                <w:rFonts w:ascii="Gotham Book" w:eastAsia="Arial" w:hAnsi="Gotham Book" w:cs="Arial"/>
                <w:i/>
                <w:sz w:val="20"/>
              </w:rPr>
              <w:t>20-40</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15E29BB8" w14:textId="77777777" w:rsidR="002A7D19" w:rsidRPr="00C12A6C" w:rsidRDefault="002A7D19" w:rsidP="003A31ED">
            <w:pPr>
              <w:spacing w:line="280" w:lineRule="atLeast"/>
              <w:ind w:left="136"/>
              <w:cnfStyle w:val="000000010000" w:firstRow="0" w:lastRow="0" w:firstColumn="0" w:lastColumn="0" w:oddVBand="0" w:evenVBand="0" w:oddHBand="0" w:evenHBand="1" w:firstRowFirstColumn="0" w:firstRowLastColumn="0" w:lastRowFirstColumn="0" w:lastRowLastColumn="0"/>
              <w:rPr>
                <w:rFonts w:ascii="Gotham Book" w:eastAsia="Times New Roman" w:hAnsi="Gotham Book" w:cs="Arial"/>
                <w:sz w:val="20"/>
                <w:szCs w:val="20"/>
              </w:rPr>
            </w:pPr>
            <w:r w:rsidRPr="00C12A6C">
              <w:rPr>
                <w:rFonts w:ascii="Gotham Book" w:eastAsia="Times New Roman" w:hAnsi="Gotham Book" w:cs="Arial"/>
                <w:sz w:val="20"/>
                <w:szCs w:val="20"/>
              </w:rPr>
              <w:t>75 years and older</w:t>
            </w:r>
          </w:p>
        </w:tc>
        <w:tc>
          <w:tcPr>
            <w:tcW w:w="833" w:type="pct"/>
            <w:tcBorders>
              <w:left w:val="single" w:sz="4" w:space="0" w:color="156082" w:themeColor="accent1"/>
              <w:bottom w:val="single" w:sz="4" w:space="0" w:color="156082" w:themeColor="accent1"/>
              <w:right w:val="single" w:sz="4" w:space="0" w:color="156082" w:themeColor="accent1"/>
            </w:tcBorders>
            <w:shd w:val="clear" w:color="auto" w:fill="auto"/>
          </w:tcPr>
          <w:p w14:paraId="317C9BC4" w14:textId="77777777" w:rsidR="002A7D19" w:rsidRPr="00C12A6C" w:rsidRDefault="002A7D19" w:rsidP="003A31ED">
            <w:pPr>
              <w:spacing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iCs/>
                <w:sz w:val="20"/>
              </w:rPr>
            </w:pPr>
            <w:r w:rsidRPr="00966DB2">
              <w:rPr>
                <w:rFonts w:ascii="Gotham Book" w:eastAsia="Arial" w:hAnsi="Gotham Book" w:cs="Arial"/>
                <w:i/>
                <w:sz w:val="20"/>
              </w:rPr>
              <w:t>1,000</w:t>
            </w:r>
          </w:p>
        </w:tc>
        <w:tc>
          <w:tcPr>
            <w:tcW w:w="833" w:type="pct"/>
            <w:tcBorders>
              <w:left w:val="single" w:sz="4" w:space="0" w:color="156082" w:themeColor="accent1"/>
              <w:bottom w:val="single" w:sz="4" w:space="0" w:color="156082" w:themeColor="accent1"/>
              <w:right w:val="single" w:sz="4" w:space="0" w:color="156082" w:themeColor="accent1"/>
            </w:tcBorders>
            <w:shd w:val="clear" w:color="auto" w:fill="auto"/>
          </w:tcPr>
          <w:p w14:paraId="14707158" w14:textId="77777777" w:rsidR="002A7D19" w:rsidRPr="00C12A6C" w:rsidRDefault="002A7D19" w:rsidP="003A31ED">
            <w:pPr>
              <w:spacing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rPr>
            </w:pPr>
            <w:r w:rsidRPr="00AF50C7">
              <w:rPr>
                <w:rFonts w:ascii="Gotham Book" w:eastAsia="Arial" w:hAnsi="Gotham Book" w:cs="Arial"/>
                <w:i/>
                <w:sz w:val="20"/>
              </w:rPr>
              <w:t>43</w:t>
            </w:r>
          </w:p>
        </w:tc>
      </w:tr>
    </w:tbl>
    <w:p w14:paraId="287D27A4" w14:textId="77777777" w:rsidR="002A7D19" w:rsidRPr="00C12A6C" w:rsidRDefault="002A7D19" w:rsidP="002A7D19"/>
    <w:p w14:paraId="64668E60"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lastRenderedPageBreak/>
        <w:t>Health evidence profile and supporting information</w:t>
      </w:r>
    </w:p>
    <w:p w14:paraId="4D70E3DF" w14:textId="77777777" w:rsidR="002A7D19" w:rsidRDefault="002A7D19" w:rsidP="00792C3E">
      <w:pPr>
        <w:spacing w:before="120" w:after="120"/>
      </w:pPr>
      <w:r>
        <w:t>Among the balance studies identified in adults, no studies rigorously measured both intake and losses. There is also significant variability across balance studies, with negative balance reported with intakes from 230 to 2,210 mg/day (3 studies), and positive balance reported with intakes ranging from 1,525 to 15,180 mg/day in adults (8 studies).One balance study that comprehensively measured losses from sweat, faeces and urine reported neutral balance with intakes of 1,525 mg/day under heat stress conditions (40ºC for 10hrs/day for 5 days) whereas strong positive balance was observed under more typical environmental conditions (25ºC for 3 days)(Allsopp et al., 1998). However, this study was limited by imprecise intake measurement.</w:t>
      </w:r>
      <w:r w:rsidRPr="003F703A">
        <w:t xml:space="preserve"> </w:t>
      </w:r>
      <w:r>
        <w:t xml:space="preserve">One balance study </w:t>
      </w:r>
      <w:r w:rsidRPr="00C45FCA">
        <w:t xml:space="preserve">that adequately measured losses and intake </w:t>
      </w:r>
      <w:r>
        <w:t xml:space="preserve">among 11-14 year old adolescents </w:t>
      </w:r>
      <w:r w:rsidRPr="00C45FCA">
        <w:t xml:space="preserve">found positive balance </w:t>
      </w:r>
      <w:r>
        <w:t xml:space="preserve">with intakes of </w:t>
      </w:r>
      <w:r w:rsidRPr="00C45FCA">
        <w:t xml:space="preserve">1,300 mg/day </w:t>
      </w:r>
      <w:r>
        <w:fldChar w:fldCharType="begin"/>
      </w:r>
      <w:r>
        <w:instrText xml:space="preserve"> ADDIN EN.CITE &lt;EndNote&gt;&lt;Cite&gt;&lt;Author&gt;Palacios&lt;/Author&gt;&lt;Year&gt;2004&lt;/Year&gt;&lt;RecNum&gt;4649&lt;/RecNum&gt;&lt;DisplayText&gt;(Palacios et al., 2004)&lt;/DisplayText&gt;&lt;record&gt;&lt;rec-number&gt;4649&lt;/rec-number&gt;&lt;foreign-keys&gt;&lt;key app="EN" db-id="wwsdv2wwp29fenerv0kx5tw9zxtx2fdrprx2" timestamp="1774936584"&gt;4649&lt;/key&gt;&lt;/foreign-keys&gt;&lt;ref-type name="Journal Article"&gt;17&lt;/ref-type&gt;&lt;contributors&gt;&lt;authors&gt;&lt;author&gt;Palacios, C.&lt;/author&gt;&lt;author&gt;Wigertz, K.&lt;/author&gt;&lt;author&gt;Martin, B. R.&lt;/author&gt;&lt;author&gt;Jackman, L.&lt;/author&gt;&lt;author&gt;Pratt, J. H.&lt;/author&gt;&lt;author&gt;Peacock, M.&lt;/author&gt;&lt;author&gt;McCabe, G.&lt;/author&gt;&lt;author&gt;Weaver, C. M.&lt;/author&gt;&lt;/authors&gt;&lt;/contributors&gt;&lt;auth-address&gt;Department of Foods and Nutrition, Purdue University, West Lafayette, Indiana 47907, USA.&lt;/auth-address&gt;&lt;titles&gt;&lt;title&gt;Sodium retention in black and white female adolescents in response to salt intake&lt;/title&gt;&lt;secondary-title&gt;J Clin Endocrinol Metab&lt;/secondary-title&gt;&lt;/titles&gt;&lt;periodical&gt;&lt;full-title&gt;J Clin Endocrinol Metab&lt;/full-title&gt;&lt;/periodical&gt;&lt;pages&gt;1858-63&lt;/pages&gt;&lt;volume&gt;89&lt;/volume&gt;&lt;number&gt;4&lt;/number&gt;&lt;keywords&gt;&lt;keyword&gt;Adolescent&lt;/keyword&gt;&lt;keyword&gt;*Black People&lt;/keyword&gt;&lt;keyword&gt;Diuresis/drug effects&lt;/keyword&gt;&lt;keyword&gt;Dose-Response Relationship, Drug&lt;/keyword&gt;&lt;keyword&gt;Energy Intake&lt;/keyword&gt;&lt;keyword&gt;Feces/chemistry&lt;/keyword&gt;&lt;keyword&gt;Female&lt;/keyword&gt;&lt;keyword&gt;Humans&lt;/keyword&gt;&lt;keyword&gt;Sodium/analysis/*pharmacokinetics&lt;/keyword&gt;&lt;keyword&gt;Sodium, Dietary/*administration &amp;amp; dosage&lt;/keyword&gt;&lt;keyword&gt;*White People&lt;/keyword&gt;&lt;/keywords&gt;&lt;dates&gt;&lt;year&gt;2004&lt;/year&gt;&lt;pub-dates&gt;&lt;date&gt;Apr&lt;/date&gt;&lt;/pub-dates&gt;&lt;/dates&gt;&lt;isbn&gt;0021-972X (Print)&amp;#xD;0021-972x&lt;/isbn&gt;&lt;accession-num&gt;15070956&lt;/accession-num&gt;&lt;urls&gt;&lt;/urls&gt;&lt;electronic-resource-num&gt;10.1210/jc.2003-031446&lt;/electronic-resource-num&gt;&lt;remote-database-provider&gt;NLM&lt;/remote-database-provider&gt;&lt;language&gt;eng&lt;/language&gt;&lt;/record&gt;&lt;/Cite&gt;&lt;/EndNote&gt;</w:instrText>
      </w:r>
      <w:r>
        <w:fldChar w:fldCharType="separate"/>
      </w:r>
      <w:r>
        <w:rPr>
          <w:noProof/>
        </w:rPr>
        <w:t>(Palacios et al., 2004)</w:t>
      </w:r>
      <w:r>
        <w:fldChar w:fldCharType="end"/>
      </w:r>
      <w:r>
        <w:t xml:space="preserve">. Although this evidence is not directly generalisable to adults, </w:t>
      </w:r>
      <w:r w:rsidRPr="00C45FCA">
        <w:t xml:space="preserve">energy requirements in this group are </w:t>
      </w:r>
      <w:proofErr w:type="gramStart"/>
      <w:r w:rsidRPr="00C45FCA">
        <w:t>similar to</w:t>
      </w:r>
      <w:proofErr w:type="gramEnd"/>
      <w:r w:rsidRPr="00C45FCA">
        <w:t xml:space="preserve"> adult energy requirements</w:t>
      </w:r>
      <w:r>
        <w:t xml:space="preserve"> and it may therefore provide a useful benchmark.</w:t>
      </w:r>
    </w:p>
    <w:p w14:paraId="7EE2CA88" w14:textId="77777777" w:rsidR="002A7D19" w:rsidRPr="00C45FCA" w:rsidRDefault="002A7D19" w:rsidP="00792C3E">
      <w:pPr>
        <w:spacing w:before="120"/>
      </w:pPr>
      <w:r>
        <w:t xml:space="preserve">Eight RCTs were identified with low sodium intake (below 1,800 mg/day) in which no deficiency symptoms were recorded, the majority among hypertensive or pre-hypertensive groups. </w:t>
      </w:r>
      <w:r w:rsidRPr="00C45FCA">
        <w:t xml:space="preserve">Four </w:t>
      </w:r>
      <w:r>
        <w:t xml:space="preserve">of the identified RCTs </w:t>
      </w:r>
      <w:r w:rsidRPr="00C45FCA">
        <w:t>were conducted in Australia or New Zealand</w:t>
      </w:r>
      <w:r>
        <w:t xml:space="preserve"> and reported </w:t>
      </w:r>
      <w:r w:rsidRPr="00C45FCA">
        <w:t>sodium intakes ranging from 851</w:t>
      </w:r>
      <w:r>
        <w:t xml:space="preserve"> to </w:t>
      </w:r>
      <w:r w:rsidRPr="00C45FCA">
        <w:t>1</w:t>
      </w:r>
      <w:r>
        <w:t>,578</w:t>
      </w:r>
      <w:r w:rsidRPr="00C45FCA">
        <w:t xml:space="preserve"> mg/day</w:t>
      </w:r>
      <w:r>
        <w:t xml:space="preserve"> </w:t>
      </w:r>
      <w:r>
        <w:fldChar w:fldCharType="begin">
          <w:fldData xml:space="preserve">PEVuZE5vdGU+PENpdGU+PEF1dGhvcj5CZWFyZDwvQXV0aG9yPjxZZWFyPjE5ODI8L1llYXI+PFJl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==
</w:fldData>
        </w:fldChar>
      </w:r>
      <w:r>
        <w:instrText xml:space="preserve"> ADDIN EN.CITE </w:instrText>
      </w:r>
      <w:r>
        <w:fldChar w:fldCharType="begin">
          <w:fldData xml:space="preserve">PEVuZE5vdGU+PENpdGU+PEF1dGhvcj5CZWFyZDwvQXV0aG9yPjxZZWFyPjE5ODI8L1llYXI+PFJl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==
</w:fldData>
        </w:fldChar>
      </w:r>
      <w:r>
        <w:instrText xml:space="preserve"> ADDIN EN.CITE.DATA </w:instrText>
      </w:r>
      <w:r>
        <w:fldChar w:fldCharType="end"/>
      </w:r>
      <w:r>
        <w:fldChar w:fldCharType="separate"/>
      </w:r>
      <w:r>
        <w:rPr>
          <w:noProof/>
        </w:rPr>
        <w:t>(Beard et al., 1982; Parker et al., 1990; Sciarrone et al., 1992; Todd et al., 2012)</w:t>
      </w:r>
      <w:r>
        <w:fldChar w:fldCharType="end"/>
      </w:r>
      <w:r w:rsidRPr="00C45FCA">
        <w:t xml:space="preserve">. </w:t>
      </w:r>
      <w:r>
        <w:t xml:space="preserve">Two studies - one conducted in Australia and one in New Zealand - reported no adverse outcomes with mean intakes of around 1,230 mg/day </w:t>
      </w:r>
      <w:r>
        <w:fldChar w:fldCharType="begin">
          <w:fldData xml:space="preserve">PEVuZE5vdGU+PENpdGU+PEF1dGhvcj5TY2lhcnJvbmU8L0F1dGhvcj48WWVhcj4xOTkyPC9ZZWFy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</w:fldData>
        </w:fldChar>
      </w:r>
      <w:r>
        <w:instrText xml:space="preserve"> ADDIN EN.CITE </w:instrText>
      </w:r>
      <w:r>
        <w:fldChar w:fldCharType="begin">
          <w:fldData xml:space="preserve">PEVuZE5vdGU+PENpdGU+PEF1dGhvcj5TY2lhcnJvbmU8L0F1dGhvcj48WWVhcj4xOTkyPC9ZZWFy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</w:fldData>
        </w:fldChar>
      </w:r>
      <w:r>
        <w:instrText xml:space="preserve"> ADDIN EN.CITE.DATA </w:instrText>
      </w:r>
      <w:r>
        <w:fldChar w:fldCharType="end"/>
      </w:r>
      <w:r>
        <w:fldChar w:fldCharType="separate"/>
      </w:r>
      <w:r>
        <w:rPr>
          <w:noProof/>
        </w:rPr>
        <w:t>(Sciarrone et al., 1992; Todd et al., 2012)</w:t>
      </w:r>
      <w:r>
        <w:fldChar w:fldCharType="end"/>
      </w:r>
      <w:r>
        <w:t>.</w:t>
      </w:r>
    </w:p>
    <w:p w14:paraId="4684932E" w14:textId="54EEB78B" w:rsidR="00AA04DF" w:rsidRDefault="002A7D19" w:rsidP="00792C3E">
      <w:pPr>
        <w:spacing w:before="120"/>
      </w:pPr>
      <w:r w:rsidRPr="005F1369">
        <w:t>Finally,</w:t>
      </w:r>
      <w:r>
        <w:t xml:space="preserve"> </w:t>
      </w:r>
      <w:r w:rsidR="00892DB6">
        <w:t>contemporary Australian 24-hour urinary sodium excretion data indicate that a sodium intake of 920 mg/d falls within the lower tail of the observed distribution (between the 1st and 5th percentiles), supporting that intakes at this level are observed in apparently healthy, free-living adults</w:t>
      </w:r>
      <w:r w:rsidR="00AA04DF">
        <w:t xml:space="preserve"> </w:t>
      </w:r>
      <w:r w:rsidR="00AA04DF">
        <w:fldChar w:fldCharType="begin"/>
      </w:r>
      <w:r w:rsidR="00AF77C2">
        <w:instrText xml:space="preserve"> ADDIN EN.CITE &lt;EndNote&gt;&lt;Cite ExcludeAuth="1"&gt;&lt;Author&gt;Carley Grimes&lt;/Author&gt;&lt;Year&gt;2026&lt;/Year&gt;&lt;RecNum&gt;4781&lt;/RecNum&gt;&lt;Prefix&gt;Grimes`, &lt;/Prefix&gt;&lt;DisplayText&gt;(Grimes, 2026)&lt;/DisplayText&gt;&lt;record&gt;&lt;rec-number&gt;4781&lt;/rec-number&gt;&lt;foreign-keys&gt;&lt;key app="EN" db-id="wwsdv2wwp29fenerv0kx5tw9zxtx2fdrprx2" timestamp="1784003730"&gt;4781&lt;/key&gt;&lt;/foreign-keys&gt;&lt;ref-type name="Personal Communication"&gt;26&lt;/ref-type&gt;&lt;contributors&gt;&lt;authors&gt;&lt;author&gt;Carley Grimes,&lt;/author&gt;&lt;/authors&gt;&lt;secondary-authors&gt;&lt;author&gt;NHMRC Project Team&lt;/author&gt;&lt;/secondary-authors&gt;&lt;/contributors&gt;&lt;titles&gt;&lt;title&gt;Unpublished analysis of 2016-17 data supplied in correspondence&lt;/title&gt;&lt;/titles&gt;&lt;dates&gt;&lt;year&gt;2026&lt;/year&gt;&lt;/dates&gt;&lt;urls&gt;&lt;/urls&gt;&lt;/record&gt;&lt;/Cite&gt;&lt;/EndNote&gt;</w:instrText>
      </w:r>
      <w:r w:rsidR="00AA04DF">
        <w:fldChar w:fldCharType="separate"/>
      </w:r>
      <w:r w:rsidR="00AF77C2">
        <w:rPr>
          <w:noProof/>
        </w:rPr>
        <w:t>(Grimes, 2026)</w:t>
      </w:r>
      <w:r w:rsidR="00AA04DF">
        <w:fldChar w:fldCharType="end"/>
      </w:r>
      <w:r w:rsidR="00892DB6">
        <w:t>.</w:t>
      </w:r>
      <w:r>
        <w:t xml:space="preserve"> </w:t>
      </w:r>
    </w:p>
    <w:p w14:paraId="5D80D285" w14:textId="3EDD2FEE" w:rsidR="002A7D19" w:rsidRDefault="002A7D19" w:rsidP="00792C3E">
      <w:pPr>
        <w:spacing w:before="120"/>
      </w:pPr>
      <w:r>
        <w:t>Collectively, these data support establishment of an AI in the range 851 to 1,500 mg/day, however there is considerable uncertainty around these estimates.</w:t>
      </w:r>
    </w:p>
    <w:p w14:paraId="32190FC2"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Sodium intake in Australia and New Zealand</w:t>
      </w:r>
    </w:p>
    <w:p w14:paraId="067E5E58" w14:textId="77777777" w:rsidR="002A7D19" w:rsidRDefault="002A7D19" w:rsidP="002A7D19">
      <w:pPr>
        <w:spacing w:after="120"/>
        <w:rPr>
          <w:rFonts w:eastAsia="Times New Roman" w:cs="Arial"/>
          <w:iCs/>
        </w:rPr>
      </w:pPr>
      <w:r>
        <w:rPr>
          <w:rFonts w:eastAsia="Times New Roman" w:cs="Arial"/>
          <w:iCs/>
        </w:rPr>
        <w:t xml:space="preserve">There is uncertainty about the median sodium intake among adults in Australia and New Zealand. Where available, national nutrition data is based on dietary recall and does not factor in discretionary salt. Based on 24-hour urinary measures reported by studies among a convenience sample of the population, intake may be significantly higher than national data suggests. Based on the body of evidence, it is reasonable to estimate that population intakes exceed 3,000 mg/day in adults in both countries. Even among older women –  who typically have the lowest sodium intakes of the adult population – Australian data estimates intake at 1,780 mg/day. These data suggest that adults in Australia and New Zealand have no difficulty in achieving adequate sodium intake from dietary sources. </w:t>
      </w:r>
    </w:p>
    <w:p w14:paraId="38F619C8" w14:textId="77777777" w:rsidR="002A7D19" w:rsidRDefault="002A7D19" w:rsidP="002A7D19">
      <w:pPr>
        <w:rPr>
          <w:rFonts w:ascii="Gotham Medium" w:eastAsia="SimHei" w:hAnsi="Gotham Medium" w:cs="Arial"/>
          <w:i/>
          <w:iCs/>
          <w:color w:val="FFFFFF"/>
          <w:kern w:val="0"/>
          <w:lang w:eastAsia="en-AU"/>
          <w14:ligatures w14:val="none"/>
        </w:rPr>
      </w:pPr>
      <w:r>
        <w:rPr>
          <w:rFonts w:ascii="Gotham Medium" w:eastAsia="SimHei" w:hAnsi="Gotham Medium" w:cs="Arial"/>
          <w:i/>
          <w:iCs/>
          <w:color w:val="FFFFFF"/>
          <w:kern w:val="0"/>
          <w:lang w:eastAsia="en-AU"/>
          <w14:ligatures w14:val="none"/>
        </w:rPr>
        <w:br w:type="page"/>
      </w:r>
    </w:p>
    <w:p w14:paraId="5447CFE4"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lastRenderedPageBreak/>
        <w:t>Benchmarking against comparable international jurisdictions</w:t>
      </w:r>
    </w:p>
    <w:p w14:paraId="61FF4D8B" w14:textId="77777777" w:rsidR="002A7D19" w:rsidRPr="00AB772E" w:rsidRDefault="002A7D19" w:rsidP="002A7D19">
      <w:pPr>
        <w:spacing w:after="120"/>
      </w:pPr>
      <w:r w:rsidRPr="00AB772E">
        <w:t>The US NASEM established an adult AI value of 1,500 mg/day for healthy adults not engaged in high-intensity physical activity, based on:</w:t>
      </w:r>
    </w:p>
    <w:p w14:paraId="1A4EC708" w14:textId="77777777" w:rsidR="002A7D19" w:rsidRPr="00AB772E" w:rsidRDefault="002A7D19" w:rsidP="002A7D19">
      <w:pPr>
        <w:pStyle w:val="ListParagraph"/>
        <w:numPr>
          <w:ilvl w:val="0"/>
          <w:numId w:val="3"/>
        </w:numPr>
        <w:spacing w:after="120"/>
        <w:ind w:left="760" w:hanging="357"/>
      </w:pPr>
      <w:r w:rsidRPr="00AB772E">
        <w:t xml:space="preserve">the Dietary Approaches to Stop Hypertension (DASH) sodium-reduction trial in 412 participants, which reported no symptoms of deficiency among participants with a mean intake of 1,449 mg/day </w:t>
      </w:r>
      <w:r w:rsidRPr="00AB772E">
        <w:fldChar w:fldCharType="begin">
          <w:fldData xml:space="preserve">PEVuZE5vdGU+PENpdGU+PEF1dGhvcj5TYWNrczwvQXV0aG9yPjxZZWFyPjIwMDE8L1llYXI+PFJl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</w:fldData>
        </w:fldChar>
      </w:r>
      <w:r w:rsidRPr="00AB772E">
        <w:instrText xml:space="preserve"> ADDIN EN.CITE </w:instrText>
      </w:r>
      <w:r w:rsidRPr="00AB772E">
        <w:fldChar w:fldCharType="begin">
          <w:fldData xml:space="preserve">PEVuZE5vdGU+PENpdGU+PEF1dGhvcj5TYWNrczwvQXV0aG9yPjxZZWFyPjIwMDE8L1llYXI+PFJl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</w:fldData>
        </w:fldChar>
      </w:r>
      <w:r w:rsidRPr="00AB772E">
        <w:instrText xml:space="preserve"> ADDIN EN.CITE.DATA </w:instrText>
      </w:r>
      <w:r w:rsidRPr="00AB772E">
        <w:fldChar w:fldCharType="end"/>
      </w:r>
      <w:r w:rsidRPr="00AB772E">
        <w:fldChar w:fldCharType="separate"/>
      </w:r>
      <w:r w:rsidRPr="00AB772E">
        <w:rPr>
          <w:noProof/>
        </w:rPr>
        <w:t>(Sacks et al., 2001)</w:t>
      </w:r>
      <w:r w:rsidRPr="00AB772E">
        <w:fldChar w:fldCharType="end"/>
      </w:r>
    </w:p>
    <w:p w14:paraId="5B364935" w14:textId="77777777" w:rsidR="002A7D19" w:rsidRPr="00AB772E" w:rsidRDefault="002A7D19" w:rsidP="002A7D19">
      <w:pPr>
        <w:pStyle w:val="ListParagraph"/>
        <w:numPr>
          <w:ilvl w:val="0"/>
          <w:numId w:val="3"/>
        </w:numPr>
        <w:spacing w:after="120"/>
        <w:ind w:left="760" w:hanging="357"/>
        <w:rPr>
          <w:rFonts w:eastAsia="Arial" w:cs="Times New Roman"/>
          <w:iCs/>
          <w:caps/>
        </w:rPr>
      </w:pPr>
      <w:r w:rsidRPr="00AB772E">
        <w:t xml:space="preserve">a balance study reporting that intakes of 1,525 mg/day resulted in either neutral </w:t>
      </w:r>
      <w:r>
        <w:t xml:space="preserve">(extreme heat conditions) </w:t>
      </w:r>
      <w:r w:rsidRPr="00AB772E">
        <w:t>or positive balance</w:t>
      </w:r>
      <w:r>
        <w:t xml:space="preserve"> (typical environmental conditions)</w:t>
      </w:r>
      <w:r w:rsidRPr="00AB772E">
        <w:t>.</w:t>
      </w:r>
    </w:p>
    <w:p w14:paraId="4CA36526" w14:textId="77777777" w:rsidR="002A7D19" w:rsidRPr="00AB772E" w:rsidRDefault="002A7D19" w:rsidP="002A7D19">
      <w:pPr>
        <w:spacing w:after="120"/>
      </w:pPr>
      <w:r>
        <w:t xml:space="preserve">The US AI value of 1,500 mg/day </w:t>
      </w:r>
      <w:r w:rsidRPr="00AB772E">
        <w:t xml:space="preserve">was adopted by the 2023 Nordic Nutrition Recommendations. </w:t>
      </w:r>
    </w:p>
    <w:p w14:paraId="336C360D" w14:textId="77777777" w:rsidR="002A7D19" w:rsidRPr="00AB772E" w:rsidRDefault="002A7D19" w:rsidP="002A7D19">
      <w:pPr>
        <w:spacing w:after="120"/>
        <w:rPr>
          <w:rFonts w:eastAsia="Arial" w:cs="Times New Roman"/>
          <w:iCs/>
          <w:caps/>
          <w:sz w:val="20"/>
          <w:szCs w:val="20"/>
        </w:rPr>
      </w:pPr>
      <w:r w:rsidRPr="00AB772E">
        <w:t xml:space="preserve">Instead of establishing an AI, EFSA established a ‘safe and adequate’ intake; a hybrid NRV reflecting a level of intake that is sufficient for maintaining sodium </w:t>
      </w:r>
      <w:proofErr w:type="gramStart"/>
      <w:r w:rsidRPr="00AB772E">
        <w:t>balance, and</w:t>
      </w:r>
      <w:proofErr w:type="gramEnd"/>
      <w:r w:rsidRPr="00AB772E">
        <w:t xml:space="preserve"> associated with a reduced risk of adverse health effects. The value of 2,000 mg/day was selected for all </w:t>
      </w:r>
      <w:proofErr w:type="gramStart"/>
      <w:r w:rsidRPr="00AB772E">
        <w:t>adults,</w:t>
      </w:r>
      <w:proofErr w:type="gramEnd"/>
      <w:r w:rsidRPr="00AB772E">
        <w:t xml:space="preserve"> however it should be noted that this value is not directly comparable with an AI</w:t>
      </w:r>
      <w:r>
        <w:t xml:space="preserve">, being – per definition – </w:t>
      </w:r>
      <w:proofErr w:type="gramStart"/>
      <w:r>
        <w:t>in excess of</w:t>
      </w:r>
      <w:proofErr w:type="gramEnd"/>
      <w:r>
        <w:t xml:space="preserve"> that required for requirement alone</w:t>
      </w:r>
      <w:r w:rsidRPr="00AB772E">
        <w:t>.</w:t>
      </w:r>
    </w:p>
    <w:tbl>
      <w:tblPr>
        <w:tblW w:w="10658"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Look w:val="04A0" w:firstRow="1" w:lastRow="0" w:firstColumn="1" w:lastColumn="0" w:noHBand="0" w:noVBand="1"/>
      </w:tblPr>
      <w:tblGrid>
        <w:gridCol w:w="1909"/>
        <w:gridCol w:w="1630"/>
        <w:gridCol w:w="1347"/>
        <w:gridCol w:w="1276"/>
        <w:gridCol w:w="1276"/>
        <w:gridCol w:w="1377"/>
        <w:gridCol w:w="1843"/>
      </w:tblGrid>
      <w:tr w:rsidR="002A7D19" w:rsidRPr="00AB772E" w14:paraId="1375C12E" w14:textId="77777777" w:rsidTr="00AF77C2">
        <w:trPr>
          <w:cantSplit/>
          <w:trHeight w:val="1447"/>
        </w:trPr>
        <w:tc>
          <w:tcPr>
            <w:tcW w:w="1909" w:type="dxa"/>
            <w:shd w:val="clear" w:color="auto" w:fill="005F85"/>
            <w:vAlign w:val="bottom"/>
            <w:hideMark/>
          </w:tcPr>
          <w:p w14:paraId="596262FE" w14:textId="77777777" w:rsidR="002A7D19" w:rsidRPr="00AB772E" w:rsidRDefault="002A7D19" w:rsidP="003A31ED">
            <w:pPr>
              <w:keepNext/>
              <w:spacing w:after="120" w:line="240" w:lineRule="auto"/>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Age (years)</w:t>
            </w:r>
          </w:p>
        </w:tc>
        <w:tc>
          <w:tcPr>
            <w:tcW w:w="1630" w:type="dxa"/>
            <w:shd w:val="clear" w:color="auto" w:fill="005F85"/>
            <w:vAlign w:val="center"/>
          </w:tcPr>
          <w:p w14:paraId="2E7C950C"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Aust/NZ – Potential change</w:t>
            </w:r>
          </w:p>
          <w:p w14:paraId="7C6EC0FA"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 xml:space="preserve">AI </w:t>
            </w:r>
          </w:p>
          <w:p w14:paraId="3FEE2BEF"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w:t>
            </w:r>
            <w:r>
              <w:rPr>
                <w:rFonts w:eastAsia="Times New Roman" w:cs="Times New Roman"/>
                <w:b/>
                <w:bCs/>
                <w:color w:val="FFFFFF"/>
                <w:sz w:val="20"/>
                <w:szCs w:val="20"/>
              </w:rPr>
              <w:t>mg</w:t>
            </w:r>
            <w:r w:rsidRPr="00AB772E">
              <w:rPr>
                <w:rFonts w:eastAsia="Times New Roman" w:cs="Times New Roman"/>
                <w:b/>
                <w:bCs/>
                <w:color w:val="FFFFFF"/>
                <w:sz w:val="20"/>
                <w:szCs w:val="20"/>
              </w:rPr>
              <w:t>/day)</w:t>
            </w:r>
          </w:p>
        </w:tc>
        <w:tc>
          <w:tcPr>
            <w:tcW w:w="1347" w:type="dxa"/>
            <w:shd w:val="clear" w:color="auto" w:fill="005F85"/>
            <w:vAlign w:val="center"/>
            <w:hideMark/>
          </w:tcPr>
          <w:p w14:paraId="2F184611"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Aust/NZ -Current</w:t>
            </w:r>
          </w:p>
          <w:p w14:paraId="5144D6A3"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(NHMRC 2006)</w:t>
            </w:r>
          </w:p>
          <w:p w14:paraId="58EB0A99"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AI</w:t>
            </w:r>
          </w:p>
          <w:p w14:paraId="4C027230"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w:t>
            </w:r>
            <w:r>
              <w:rPr>
                <w:rFonts w:eastAsia="Times New Roman" w:cs="Times New Roman"/>
                <w:b/>
                <w:bCs/>
                <w:color w:val="FFFFFF"/>
                <w:sz w:val="20"/>
                <w:szCs w:val="20"/>
              </w:rPr>
              <w:t>mg</w:t>
            </w:r>
            <w:r w:rsidRPr="00AB772E">
              <w:rPr>
                <w:rFonts w:eastAsia="Times New Roman" w:cs="Times New Roman"/>
                <w:b/>
                <w:bCs/>
                <w:color w:val="FFFFFF"/>
                <w:sz w:val="20"/>
                <w:szCs w:val="20"/>
              </w:rPr>
              <w:t>/day)</w:t>
            </w:r>
          </w:p>
        </w:tc>
        <w:tc>
          <w:tcPr>
            <w:tcW w:w="1276" w:type="dxa"/>
            <w:shd w:val="clear" w:color="auto" w:fill="005F85"/>
            <w:vAlign w:val="center"/>
            <w:hideMark/>
          </w:tcPr>
          <w:p w14:paraId="14E376C7"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 xml:space="preserve">European Union </w:t>
            </w:r>
          </w:p>
          <w:p w14:paraId="755073E0"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(EFSA 2019)</w:t>
            </w:r>
          </w:p>
          <w:p w14:paraId="2A7A526F"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Pr>
                <w:rFonts w:eastAsia="Times New Roman" w:cs="Times New Roman"/>
                <w:b/>
                <w:bCs/>
                <w:color w:val="FFFFFF"/>
                <w:kern w:val="0"/>
                <w:sz w:val="20"/>
                <w:szCs w:val="20"/>
                <w:lang w:eastAsia="en-AU"/>
                <w14:ligatures w14:val="none"/>
              </w:rPr>
              <w:t>‘Safe and Adequate’</w:t>
            </w:r>
          </w:p>
          <w:p w14:paraId="31B9421E"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w:t>
            </w:r>
            <w:r>
              <w:rPr>
                <w:rFonts w:eastAsia="Times New Roman" w:cs="Times New Roman"/>
                <w:b/>
                <w:bCs/>
                <w:color w:val="FFFFFF"/>
                <w:sz w:val="20"/>
                <w:szCs w:val="20"/>
              </w:rPr>
              <w:t>mg</w:t>
            </w:r>
            <w:r w:rsidRPr="00AB772E">
              <w:rPr>
                <w:rFonts w:eastAsia="Times New Roman" w:cs="Times New Roman"/>
                <w:b/>
                <w:bCs/>
                <w:color w:val="FFFFFF"/>
                <w:sz w:val="20"/>
                <w:szCs w:val="20"/>
              </w:rPr>
              <w:t>/day)*</w:t>
            </w:r>
          </w:p>
        </w:tc>
        <w:tc>
          <w:tcPr>
            <w:tcW w:w="1276" w:type="dxa"/>
            <w:shd w:val="clear" w:color="auto" w:fill="005F85"/>
            <w:vAlign w:val="center"/>
          </w:tcPr>
          <w:p w14:paraId="2B2A51EA"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 xml:space="preserve">United States </w:t>
            </w:r>
          </w:p>
          <w:p w14:paraId="11954FC2"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(NASEM 2018)</w:t>
            </w:r>
          </w:p>
          <w:p w14:paraId="28217F79"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AI</w:t>
            </w:r>
          </w:p>
          <w:p w14:paraId="28240F10"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w:t>
            </w:r>
            <w:r>
              <w:rPr>
                <w:rFonts w:eastAsia="Times New Roman" w:cs="Times New Roman"/>
                <w:b/>
                <w:bCs/>
                <w:color w:val="FFFFFF"/>
                <w:sz w:val="20"/>
                <w:szCs w:val="20"/>
              </w:rPr>
              <w:t>mg</w:t>
            </w:r>
            <w:r w:rsidRPr="00AB772E">
              <w:rPr>
                <w:rFonts w:eastAsia="Times New Roman" w:cs="Times New Roman"/>
                <w:b/>
                <w:bCs/>
                <w:color w:val="FFFFFF"/>
                <w:sz w:val="20"/>
                <w:szCs w:val="20"/>
              </w:rPr>
              <w:t>/day)</w:t>
            </w:r>
          </w:p>
        </w:tc>
        <w:tc>
          <w:tcPr>
            <w:tcW w:w="1377" w:type="dxa"/>
            <w:shd w:val="clear" w:color="auto" w:fill="005F85"/>
            <w:vAlign w:val="center"/>
            <w:hideMark/>
          </w:tcPr>
          <w:p w14:paraId="0A62A4F1"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Nordic and Baltic</w:t>
            </w:r>
          </w:p>
          <w:p w14:paraId="055E7A03"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(NNR 2023)</w:t>
            </w:r>
          </w:p>
          <w:p w14:paraId="147B6B02"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AI</w:t>
            </w:r>
          </w:p>
          <w:p w14:paraId="5DC4DBC1"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w:t>
            </w:r>
            <w:r>
              <w:rPr>
                <w:rFonts w:eastAsia="Times New Roman" w:cs="Times New Roman"/>
                <w:b/>
                <w:bCs/>
                <w:color w:val="FFFFFF"/>
                <w:sz w:val="20"/>
                <w:szCs w:val="20"/>
              </w:rPr>
              <w:t>mg</w:t>
            </w:r>
            <w:r w:rsidRPr="00AB772E">
              <w:rPr>
                <w:rFonts w:eastAsia="Times New Roman" w:cs="Times New Roman"/>
                <w:b/>
                <w:bCs/>
                <w:color w:val="FFFFFF"/>
                <w:sz w:val="20"/>
                <w:szCs w:val="20"/>
              </w:rPr>
              <w:t>/day)</w:t>
            </w:r>
          </w:p>
        </w:tc>
        <w:tc>
          <w:tcPr>
            <w:tcW w:w="1843" w:type="dxa"/>
            <w:shd w:val="clear" w:color="auto" w:fill="005F85"/>
            <w:vAlign w:val="center"/>
          </w:tcPr>
          <w:p w14:paraId="642F6582"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Germany, Austria, Switzerland (DACH 2013)</w:t>
            </w:r>
          </w:p>
          <w:p w14:paraId="095629BC"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AI</w:t>
            </w:r>
          </w:p>
          <w:p w14:paraId="498BCE4A" w14:textId="77777777" w:rsidR="002A7D19" w:rsidRPr="00AB772E" w:rsidRDefault="002A7D19" w:rsidP="003A31ED">
            <w:pPr>
              <w:keepNext/>
              <w:spacing w:after="120" w:line="240" w:lineRule="auto"/>
              <w:jc w:val="center"/>
              <w:rPr>
                <w:rFonts w:eastAsia="Times New Roman" w:cs="Times New Roman"/>
                <w:b/>
                <w:bCs/>
                <w:color w:val="FFFFFF"/>
                <w:kern w:val="0"/>
                <w:sz w:val="20"/>
                <w:szCs w:val="20"/>
                <w:lang w:eastAsia="en-AU"/>
                <w14:ligatures w14:val="none"/>
              </w:rPr>
            </w:pPr>
            <w:r w:rsidRPr="00AB772E">
              <w:rPr>
                <w:rFonts w:eastAsia="Times New Roman" w:cs="Times New Roman"/>
                <w:b/>
                <w:bCs/>
                <w:color w:val="FFFFFF"/>
                <w:kern w:val="0"/>
                <w:sz w:val="20"/>
                <w:szCs w:val="20"/>
                <w:lang w:eastAsia="en-AU"/>
                <w14:ligatures w14:val="none"/>
              </w:rPr>
              <w:t>(</w:t>
            </w:r>
            <w:r>
              <w:rPr>
                <w:rFonts w:eastAsia="Times New Roman" w:cs="Times New Roman"/>
                <w:b/>
                <w:bCs/>
                <w:color w:val="FFFFFF"/>
                <w:sz w:val="20"/>
                <w:szCs w:val="20"/>
              </w:rPr>
              <w:t>mg</w:t>
            </w:r>
            <w:r w:rsidRPr="00AB772E">
              <w:rPr>
                <w:rFonts w:eastAsia="Times New Roman" w:cs="Times New Roman"/>
                <w:b/>
                <w:bCs/>
                <w:color w:val="FFFFFF"/>
                <w:sz w:val="20"/>
                <w:szCs w:val="20"/>
              </w:rPr>
              <w:t>/day)</w:t>
            </w:r>
          </w:p>
        </w:tc>
      </w:tr>
      <w:tr w:rsidR="002A7D19" w:rsidRPr="00AB772E" w14:paraId="7D42499A" w14:textId="77777777" w:rsidTr="00AF77C2">
        <w:trPr>
          <w:cantSplit/>
          <w:trHeight w:val="300"/>
        </w:trPr>
        <w:tc>
          <w:tcPr>
            <w:tcW w:w="1909" w:type="dxa"/>
            <w:noWrap/>
            <w:vAlign w:val="center"/>
          </w:tcPr>
          <w:p w14:paraId="2780C273" w14:textId="77777777" w:rsidR="002A7D19" w:rsidRPr="00AB772E" w:rsidRDefault="002A7D19" w:rsidP="003A31ED">
            <w:pPr>
              <w:spacing w:after="120" w:line="240" w:lineRule="auto"/>
              <w:rPr>
                <w:rFonts w:eastAsia="Times New Roman" w:cs="Times New Roman"/>
                <w:color w:val="000000"/>
                <w:kern w:val="0"/>
                <w:sz w:val="20"/>
                <w:szCs w:val="20"/>
                <w:lang w:eastAsia="en-AU"/>
                <w14:ligatures w14:val="none"/>
              </w:rPr>
            </w:pPr>
            <w:r w:rsidRPr="00AB772E">
              <w:rPr>
                <w:rFonts w:eastAsia="Times New Roman" w:cs="Times New Roman"/>
                <w:color w:val="000000"/>
                <w:kern w:val="0"/>
                <w:sz w:val="20"/>
                <w:szCs w:val="20"/>
                <w:lang w:eastAsia="en-AU"/>
                <w14:ligatures w14:val="none"/>
              </w:rPr>
              <w:t>Adults 18 +years:</w:t>
            </w:r>
          </w:p>
        </w:tc>
        <w:tc>
          <w:tcPr>
            <w:tcW w:w="1630" w:type="dxa"/>
            <w:vAlign w:val="center"/>
          </w:tcPr>
          <w:p w14:paraId="11B08D39" w14:textId="2D288108" w:rsidR="002A7D19" w:rsidRPr="00AB772E" w:rsidRDefault="002A7D19" w:rsidP="003A31ED">
            <w:pPr>
              <w:spacing w:after="120" w:line="240" w:lineRule="auto"/>
              <w:jc w:val="center"/>
              <w:rPr>
                <w:rFonts w:eastAsia="Times New Roman" w:cs="Times New Roman"/>
                <w:color w:val="000000"/>
                <w:kern w:val="0"/>
                <w:sz w:val="20"/>
                <w:szCs w:val="20"/>
                <w:lang w:eastAsia="en-AU"/>
                <w14:ligatures w14:val="none"/>
              </w:rPr>
            </w:pPr>
            <w:r w:rsidRPr="00AB772E">
              <w:rPr>
                <w:rFonts w:eastAsia="Times New Roman" w:cs="Times New Roman"/>
                <w:color w:val="000000"/>
                <w:kern w:val="0"/>
                <w:sz w:val="20"/>
                <w:szCs w:val="20"/>
                <w:lang w:eastAsia="en-AU"/>
                <w14:ligatures w14:val="none"/>
              </w:rPr>
              <w:t>1,</w:t>
            </w:r>
            <w:r>
              <w:rPr>
                <w:rFonts w:eastAsia="Times New Roman" w:cs="Times New Roman"/>
                <w:color w:val="000000"/>
                <w:kern w:val="0"/>
                <w:sz w:val="20"/>
                <w:szCs w:val="20"/>
                <w:lang w:eastAsia="en-AU"/>
                <w14:ligatures w14:val="none"/>
              </w:rPr>
              <w:t>000*</w:t>
            </w:r>
          </w:p>
        </w:tc>
        <w:tc>
          <w:tcPr>
            <w:tcW w:w="1347" w:type="dxa"/>
            <w:noWrap/>
            <w:vAlign w:val="center"/>
          </w:tcPr>
          <w:p w14:paraId="3D267636" w14:textId="77777777" w:rsidR="002A7D19" w:rsidRPr="00AB772E" w:rsidRDefault="002A7D19" w:rsidP="003A31ED">
            <w:pPr>
              <w:spacing w:after="120" w:line="240" w:lineRule="auto"/>
              <w:jc w:val="center"/>
              <w:rPr>
                <w:rFonts w:eastAsia="Times New Roman" w:cs="Times New Roman"/>
                <w:color w:val="000000"/>
                <w:kern w:val="0"/>
                <w:sz w:val="20"/>
                <w:szCs w:val="20"/>
                <w:lang w:eastAsia="en-AU"/>
                <w14:ligatures w14:val="none"/>
              </w:rPr>
            </w:pPr>
            <w:r w:rsidRPr="00AB772E">
              <w:rPr>
                <w:rFonts w:eastAsia="Times New Roman" w:cs="Times New Roman"/>
                <w:color w:val="000000"/>
                <w:kern w:val="0"/>
                <w:sz w:val="20"/>
                <w:szCs w:val="20"/>
                <w:lang w:eastAsia="en-AU"/>
                <w14:ligatures w14:val="none"/>
              </w:rPr>
              <w:t>460-920</w:t>
            </w:r>
          </w:p>
        </w:tc>
        <w:tc>
          <w:tcPr>
            <w:tcW w:w="1276" w:type="dxa"/>
            <w:noWrap/>
            <w:vAlign w:val="center"/>
          </w:tcPr>
          <w:p w14:paraId="0791B96E" w14:textId="77777777" w:rsidR="002A7D19" w:rsidRPr="00AB772E" w:rsidRDefault="002A7D19" w:rsidP="003A31ED">
            <w:pPr>
              <w:spacing w:after="120" w:line="240" w:lineRule="auto"/>
              <w:jc w:val="center"/>
              <w:rPr>
                <w:rFonts w:eastAsia="Times New Roman" w:cs="Times New Roman"/>
                <w:color w:val="000000"/>
                <w:kern w:val="0"/>
                <w:sz w:val="20"/>
                <w:szCs w:val="20"/>
                <w:lang w:eastAsia="en-AU"/>
                <w14:ligatures w14:val="none"/>
              </w:rPr>
            </w:pPr>
            <w:r w:rsidRPr="0050371D">
              <w:rPr>
                <w:rFonts w:eastAsia="Times New Roman" w:cs="Times New Roman"/>
                <w:color w:val="747474" w:themeColor="background2" w:themeShade="80"/>
                <w:kern w:val="0"/>
                <w:sz w:val="20"/>
                <w:szCs w:val="20"/>
                <w:lang w:eastAsia="en-AU"/>
                <w14:ligatures w14:val="none"/>
              </w:rPr>
              <w:t>2,000*</w:t>
            </w:r>
          </w:p>
        </w:tc>
        <w:tc>
          <w:tcPr>
            <w:tcW w:w="1276" w:type="dxa"/>
          </w:tcPr>
          <w:p w14:paraId="7C837332" w14:textId="77777777" w:rsidR="002A7D19" w:rsidRPr="00AB772E" w:rsidRDefault="002A7D19" w:rsidP="003A31ED">
            <w:pPr>
              <w:spacing w:after="120" w:line="240" w:lineRule="auto"/>
              <w:jc w:val="center"/>
              <w:rPr>
                <w:rFonts w:eastAsia="Times New Roman" w:cs="Times New Roman"/>
                <w:color w:val="000000"/>
                <w:kern w:val="0"/>
                <w:sz w:val="20"/>
                <w:szCs w:val="20"/>
                <w:lang w:eastAsia="en-AU"/>
                <w14:ligatures w14:val="none"/>
              </w:rPr>
            </w:pPr>
            <w:r w:rsidRPr="00AB772E">
              <w:rPr>
                <w:rFonts w:eastAsia="Times New Roman" w:cs="Times New Roman"/>
                <w:color w:val="000000"/>
                <w:kern w:val="0"/>
                <w:sz w:val="20"/>
                <w:szCs w:val="20"/>
                <w:lang w:eastAsia="en-AU"/>
                <w14:ligatures w14:val="none"/>
              </w:rPr>
              <w:t>1,500</w:t>
            </w:r>
          </w:p>
        </w:tc>
        <w:tc>
          <w:tcPr>
            <w:tcW w:w="1377" w:type="dxa"/>
            <w:noWrap/>
            <w:vAlign w:val="center"/>
          </w:tcPr>
          <w:p w14:paraId="59E734E2" w14:textId="77777777" w:rsidR="002A7D19" w:rsidRPr="00AB772E" w:rsidRDefault="002A7D19" w:rsidP="003A31ED">
            <w:pPr>
              <w:spacing w:after="120" w:line="240" w:lineRule="auto"/>
              <w:jc w:val="center"/>
              <w:rPr>
                <w:rFonts w:eastAsia="Times New Roman" w:cs="Times New Roman"/>
                <w:color w:val="000000"/>
                <w:kern w:val="0"/>
                <w:sz w:val="20"/>
                <w:szCs w:val="20"/>
                <w:lang w:eastAsia="en-AU"/>
                <w14:ligatures w14:val="none"/>
              </w:rPr>
            </w:pPr>
            <w:r w:rsidRPr="00AB772E">
              <w:rPr>
                <w:rFonts w:eastAsia="Times New Roman" w:cs="Times New Roman"/>
                <w:color w:val="000000"/>
                <w:kern w:val="0"/>
                <w:sz w:val="20"/>
                <w:szCs w:val="20"/>
                <w:lang w:eastAsia="en-AU"/>
                <w14:ligatures w14:val="none"/>
              </w:rPr>
              <w:t>1,500</w:t>
            </w:r>
          </w:p>
        </w:tc>
        <w:tc>
          <w:tcPr>
            <w:tcW w:w="1843" w:type="dxa"/>
            <w:vAlign w:val="center"/>
          </w:tcPr>
          <w:p w14:paraId="15E4955A" w14:textId="77777777" w:rsidR="002A7D19" w:rsidRPr="00AB772E" w:rsidRDefault="002A7D19" w:rsidP="003A31ED">
            <w:pPr>
              <w:spacing w:after="120" w:line="240" w:lineRule="auto"/>
              <w:jc w:val="center"/>
              <w:rPr>
                <w:rFonts w:eastAsia="Times New Roman" w:cs="Times New Roman"/>
                <w:color w:val="000000"/>
                <w:kern w:val="0"/>
                <w:sz w:val="20"/>
                <w:szCs w:val="20"/>
                <w:lang w:eastAsia="en-AU"/>
                <w14:ligatures w14:val="none"/>
              </w:rPr>
            </w:pPr>
            <w:r w:rsidRPr="00AB772E">
              <w:rPr>
                <w:rFonts w:eastAsia="Times New Roman" w:cs="Times New Roman"/>
                <w:color w:val="000000"/>
                <w:kern w:val="0"/>
                <w:sz w:val="20"/>
                <w:szCs w:val="20"/>
                <w:lang w:eastAsia="en-AU"/>
                <w14:ligatures w14:val="none"/>
              </w:rPr>
              <w:t>1,500^</w:t>
            </w:r>
          </w:p>
        </w:tc>
      </w:tr>
    </w:tbl>
    <w:p w14:paraId="730E83B7" w14:textId="77777777" w:rsidR="002A7D19" w:rsidRDefault="002A7D19" w:rsidP="002A7D19">
      <w:r w:rsidRPr="00AB772E">
        <w:t>^ D-A-CH age grouping for adults is 19 years and older</w:t>
      </w:r>
    </w:p>
    <w:p w14:paraId="1CD19BB2" w14:textId="183DF345" w:rsidR="00DC3393" w:rsidRDefault="00DC3393" w:rsidP="002A7D19">
      <w:r>
        <w:t>* Value of 1,000 mg/day is notional. Any value between current range of 460 – 920 mg and 1,500 mg/day potentially under consideration.</w:t>
      </w:r>
    </w:p>
    <w:p w14:paraId="0EDFFD8B"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Balance of effects (benefits and harms)</w:t>
      </w:r>
    </w:p>
    <w:p w14:paraId="420E6CED" w14:textId="77777777" w:rsidR="002A7D19" w:rsidRDefault="002A7D19" w:rsidP="002A7D19">
      <w:r>
        <w:t xml:space="preserve">The basis for current AI recommendations is not robust nor methodologically sound, with values based on data from three individuals or based on restricted diets which may not represent typical intakes and may not account for individual variability within the population. Consequently, even if the current values are to be retained, they must be supported by more robust evidence aligned with the conceptual basis for deriving an Adequate Intake (AI) recommendation. </w:t>
      </w:r>
    </w:p>
    <w:p w14:paraId="3E75991D" w14:textId="77777777" w:rsidR="002A7D19" w:rsidRDefault="002A7D19" w:rsidP="002A7D19">
      <w:r>
        <w:t xml:space="preserve">Several factors should be considered when weighing the body of evidence to derive an AI. Firstly, the AI is not the same as an EAR. Whereas the EAR and RDI reflect estimated requirements of half (EAR) and almost all (97.5% RDI) of apparently healthy individuals within a population group, the AI represents the average daily nutrient intake level by a group of apparently healthy people (NHMRC 2025). Because an AI is typically derived from the average intake of apparently healthy populations, the </w:t>
      </w:r>
      <w:r w:rsidRPr="00A779B9">
        <w:t>location o</w:t>
      </w:r>
      <w:r>
        <w:t xml:space="preserve">f an AI on </w:t>
      </w:r>
      <w:r w:rsidRPr="00A779B9">
        <w:t xml:space="preserve">the requirement distribution may </w:t>
      </w:r>
      <w:r>
        <w:t xml:space="preserve">be </w:t>
      </w:r>
      <w:r w:rsidRPr="00A779B9">
        <w:t xml:space="preserve">higher than </w:t>
      </w:r>
      <w:r>
        <w:t xml:space="preserve">where the </w:t>
      </w:r>
      <w:r w:rsidRPr="00A779B9">
        <w:t>RDI</w:t>
      </w:r>
      <w:r>
        <w:t xml:space="preserve"> falls, that is, it may be higher than requirements for most individuals within the population</w:t>
      </w:r>
      <w:r w:rsidRPr="00A779B9">
        <w:t>.</w:t>
      </w:r>
      <w:r>
        <w:t xml:space="preserve"> In the context of sodium, this circumstance presents some challenges, with current average intakes in Australia and New Zealand typically exceeding recommendations for reducing the risk of chronic disease. Therefore, it is not appropriate to </w:t>
      </w:r>
      <w:r>
        <w:lastRenderedPageBreak/>
        <w:t>establish the AI based on local population data, which would embed an increased risk of chronic disease within adequacy recommendations (</w:t>
      </w:r>
      <w:proofErr w:type="spellStart"/>
      <w:r>
        <w:t>ie</w:t>
      </w:r>
      <w:proofErr w:type="spellEnd"/>
      <w:r>
        <w:t xml:space="preserve">. the population does not meet the requirement of an ‘apparently healthy’ population due to the increased chronic disease risk that accompanies higher population sodium intakes). </w:t>
      </w:r>
    </w:p>
    <w:p w14:paraId="407FBF48" w14:textId="77777777" w:rsidR="002A7D19" w:rsidRDefault="002A7D19" w:rsidP="002A7D19">
      <w:r>
        <w:t xml:space="preserve">Although the lower bound of the current AI (460 mg/day) may be too low to reflect adequate population intakes, the upper bound (920 mg/day) is not inconsistent with the available evidence, with low sodium dose trials finding no adverse outcomes with mean intakes in the range of 851 and 1,794 mg/day (Newberry et al., 2018). </w:t>
      </w:r>
    </w:p>
    <w:p w14:paraId="7FDA0D83" w14:textId="77777777" w:rsidR="002A7D19" w:rsidRDefault="002A7D19" w:rsidP="002A7D19">
      <w:r>
        <w:t xml:space="preserve">In establishing an AI, key public health objectives must also be considered. The limited available data suggest that most Australian and New Zealand adults have sodium intakes that exceed the current Suggested Dietary Target (SDT) of 2,000 mg/day, and </w:t>
      </w:r>
      <w:r w:rsidRPr="00CF7952">
        <w:t xml:space="preserve">hyponatraemia </w:t>
      </w:r>
      <w:r>
        <w:t xml:space="preserve">is </w:t>
      </w:r>
      <w:r w:rsidRPr="00CF7952">
        <w:t xml:space="preserve">primarily driven by clinical factors rather than </w:t>
      </w:r>
      <w:r>
        <w:t xml:space="preserve">low </w:t>
      </w:r>
      <w:r w:rsidRPr="00CF7952">
        <w:t xml:space="preserve">dietary </w:t>
      </w:r>
      <w:r>
        <w:t xml:space="preserve">sodium </w:t>
      </w:r>
      <w:r w:rsidRPr="00CF7952">
        <w:t>intake</w:t>
      </w:r>
      <w:r>
        <w:t>. Therefore, overwhelmingly the potential for harm from dietary sodium exposure comes from excessive intakes and the increased risk of elevated blood pressure, rather than inadequate intakes. Cardiovascular disease remains a leading cause of death and morbidity in Australia and New Zealand, with both high blood pressure and dietary risks leading factors for total CVD burden (AIHW, 2025; IHME, 2024). These contextual factors reinforce the need to establish an AI at a value that ensures that requirements for adequacy are met, without undermining the broader public health messaging regarding the benefits of reduced sodium intake for chronic disease prevention.</w:t>
      </w:r>
    </w:p>
    <w:p w14:paraId="6B454B0E" w14:textId="77777777" w:rsidR="002A7D19" w:rsidRDefault="002A7D19" w:rsidP="002A7D19">
      <w:pPr>
        <w:spacing w:after="120" w:line="276" w:lineRule="auto"/>
      </w:pPr>
      <w:r>
        <w:t xml:space="preserve">If the AI were raised, there is potential for healthy individuals with low sodium intakes to interpret this as their intakes being ‘inadequate’ and </w:t>
      </w:r>
      <w:r w:rsidRPr="00FC315F">
        <w:rPr>
          <w:rFonts w:ascii="Aptos" w:eastAsia="Calibri" w:hAnsi="Aptos" w:cs="Calibri"/>
          <w:szCs w:val="20"/>
        </w:rPr>
        <w:t>increasing intake unnecessarily</w:t>
      </w:r>
      <w:r>
        <w:rPr>
          <w:rFonts w:ascii="Aptos" w:eastAsia="Calibri" w:hAnsi="Aptos" w:cs="Calibri"/>
          <w:szCs w:val="20"/>
        </w:rPr>
        <w:t xml:space="preserve">. </w:t>
      </w:r>
      <w:r>
        <w:t>Additional consideration should be given to not excessively narrowing the interval between the AI and the proposed Chronic Disease Risk Reduction value (CDRR previously SDT), to allow sufficient flexibility in the range of diets that individuals may consume to meet these requirements.</w:t>
      </w:r>
    </w:p>
    <w:p w14:paraId="5C5D4AA6"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Certainty of the evidence</w:t>
      </w:r>
    </w:p>
    <w:p w14:paraId="0205B82C" w14:textId="77777777" w:rsidR="002A7D19" w:rsidRPr="005D6CEE" w:rsidRDefault="002A7D19" w:rsidP="002A7D19">
      <w:pPr>
        <w:spacing w:after="120"/>
        <w:ind w:right="34"/>
      </w:pPr>
      <w:r w:rsidRPr="00EA0BB4">
        <w:t xml:space="preserve">There is a lack of robust evidence to support recommendations about sodium intake requirements for avoiding deficiency. The body of evidence from balance </w:t>
      </w:r>
      <w:r w:rsidRPr="005D6CEE">
        <w:t xml:space="preserve">studies have notable limitations for reliably estimating sodium requirements, including significant variability across studies, and methodological limitations of balance studies. </w:t>
      </w:r>
    </w:p>
    <w:p w14:paraId="307718BF" w14:textId="77777777" w:rsidR="002A7D19" w:rsidRDefault="002A7D19" w:rsidP="002A7D19">
      <w:r w:rsidRPr="005D6CEE">
        <w:t>The A</w:t>
      </w:r>
      <w:r>
        <w:t>gency for Healthcare Research and Quality (A</w:t>
      </w:r>
      <w:r w:rsidRPr="005D6CEE">
        <w:t>HRQ 2018) found low certainty evidence from 3 RCTs that sodium reduction has no effect on blood lipids. However, no quantitative analysis was reported. The evidence was rated ‘insufficient’ for a range of other outcomes (dizziness, headache, insulin sensitivity, muscle cramping).</w:t>
      </w:r>
    </w:p>
    <w:p w14:paraId="63FD2A08"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Values, preferences and feasibility (consumers, communities)</w:t>
      </w:r>
    </w:p>
    <w:p w14:paraId="0242732A" w14:textId="77777777" w:rsidR="002A7D19" w:rsidRDefault="002A7D19" w:rsidP="002A7D19">
      <w:pPr>
        <w:pStyle w:val="Heading4"/>
      </w:pPr>
      <w:r w:rsidRPr="007638CD">
        <w:t>Values and preferences</w:t>
      </w:r>
    </w:p>
    <w:p w14:paraId="4A48C835" w14:textId="77777777" w:rsidR="002A7D19" w:rsidRDefault="002A7D19" w:rsidP="002A7D19">
      <w:pPr>
        <w:spacing w:after="120"/>
        <w:ind w:right="170"/>
      </w:pPr>
      <w:r>
        <w:t>No relevant factors regarding individual values and preferences have been identified in respect of establishing an Adequate Intake.</w:t>
      </w:r>
    </w:p>
    <w:p w14:paraId="65356AB4" w14:textId="77777777" w:rsidR="002A7D19" w:rsidRPr="0005013B" w:rsidRDefault="002A7D19" w:rsidP="002A7D19">
      <w:pPr>
        <w:pStyle w:val="Heading4"/>
      </w:pPr>
      <w:r w:rsidRPr="0005013B">
        <w:t>Feas</w:t>
      </w:r>
      <w:r>
        <w:t>i</w:t>
      </w:r>
      <w:r w:rsidRPr="0005013B">
        <w:t>bility</w:t>
      </w:r>
    </w:p>
    <w:p w14:paraId="4D4B56E1" w14:textId="0E7C16A9" w:rsidR="002A7D19" w:rsidRDefault="002A7D19" w:rsidP="002A7D19">
      <w:pPr>
        <w:keepNext/>
        <w:spacing w:after="120"/>
        <w:rPr>
          <w:rFonts w:eastAsia="Times New Roman" w:cs="Arial"/>
          <w:szCs w:val="20"/>
        </w:rPr>
      </w:pPr>
      <w:r w:rsidRPr="00505285">
        <w:rPr>
          <w:rFonts w:eastAsia="Times New Roman" w:cs="Arial"/>
          <w:szCs w:val="20"/>
        </w:rPr>
        <w:t xml:space="preserve">Relevant food modelling data </w:t>
      </w:r>
      <w:r>
        <w:rPr>
          <w:rFonts w:eastAsia="Times New Roman" w:cs="Arial"/>
          <w:szCs w:val="20"/>
        </w:rPr>
        <w:t xml:space="preserve">from 2011 </w:t>
      </w:r>
      <w:r w:rsidRPr="00505285">
        <w:rPr>
          <w:rFonts w:eastAsia="Times New Roman" w:cs="Arial"/>
          <w:szCs w:val="20"/>
        </w:rPr>
        <w:t xml:space="preserve">are shown </w:t>
      </w:r>
      <w:r>
        <w:rPr>
          <w:rFonts w:eastAsia="Times New Roman" w:cs="Arial"/>
          <w:szCs w:val="20"/>
        </w:rPr>
        <w:t xml:space="preserve">at </w:t>
      </w:r>
      <w:r>
        <w:rPr>
          <w:rFonts w:eastAsia="Times New Roman" w:cs="Arial"/>
          <w:szCs w:val="20"/>
        </w:rPr>
        <w:fldChar w:fldCharType="begin"/>
      </w:r>
      <w:r>
        <w:rPr>
          <w:rFonts w:eastAsia="Times New Roman" w:cs="Arial"/>
          <w:szCs w:val="20"/>
        </w:rPr>
        <w:instrText xml:space="preserve"> REF _Ref230012171 \h </w:instrText>
      </w:r>
      <w:r>
        <w:rPr>
          <w:rFonts w:eastAsia="Times New Roman" w:cs="Arial"/>
          <w:szCs w:val="20"/>
        </w:rPr>
      </w:r>
      <w:r>
        <w:rPr>
          <w:rFonts w:eastAsia="Times New Roman" w:cs="Arial"/>
          <w:szCs w:val="20"/>
        </w:rPr>
        <w:fldChar w:fldCharType="separate"/>
      </w:r>
      <w:r w:rsidR="00F569E8">
        <w:t xml:space="preserve">Table </w:t>
      </w:r>
      <w:r w:rsidR="00F569E8">
        <w:rPr>
          <w:noProof/>
        </w:rPr>
        <w:t>23</w:t>
      </w:r>
      <w:r>
        <w:rPr>
          <w:rFonts w:eastAsia="Times New Roman" w:cs="Arial"/>
          <w:szCs w:val="20"/>
        </w:rPr>
        <w:fldChar w:fldCharType="end"/>
      </w:r>
      <w:r>
        <w:rPr>
          <w:rFonts w:eastAsia="Times New Roman" w:cs="Arial"/>
          <w:szCs w:val="20"/>
        </w:rPr>
        <w:t xml:space="preserve">. The limitations of this modelling should be considered, including that it may </w:t>
      </w:r>
      <w:r w:rsidRPr="00FC315F">
        <w:rPr>
          <w:rFonts w:ascii="Aptos" w:eastAsia="Times New Roman" w:hAnsi="Aptos" w:cs="Times New Roman"/>
          <w:lang w:eastAsia="en-AU"/>
        </w:rPr>
        <w:t xml:space="preserve">not reflect current eating patterns, </w:t>
      </w:r>
      <w:r>
        <w:rPr>
          <w:rFonts w:ascii="Aptos" w:eastAsia="Times New Roman" w:hAnsi="Aptos" w:cs="Times New Roman"/>
          <w:lang w:eastAsia="en-AU"/>
        </w:rPr>
        <w:t xml:space="preserve">or </w:t>
      </w:r>
      <w:r w:rsidRPr="00FC315F">
        <w:rPr>
          <w:rFonts w:ascii="Aptos" w:eastAsia="Times New Roman" w:hAnsi="Aptos" w:cs="Times New Roman"/>
          <w:lang w:eastAsia="en-AU"/>
        </w:rPr>
        <w:t xml:space="preserve">changes in the food supply </w:t>
      </w:r>
      <w:r>
        <w:rPr>
          <w:rFonts w:ascii="Aptos" w:eastAsia="Times New Roman" w:hAnsi="Aptos" w:cs="Times New Roman"/>
          <w:lang w:eastAsia="en-AU"/>
        </w:rPr>
        <w:t xml:space="preserve">(including </w:t>
      </w:r>
      <w:r w:rsidRPr="00FC315F">
        <w:rPr>
          <w:rFonts w:ascii="Aptos" w:eastAsia="Times New Roman" w:hAnsi="Aptos" w:cs="Times New Roman"/>
          <w:lang w:eastAsia="en-AU"/>
        </w:rPr>
        <w:t xml:space="preserve">sodium reduction in </w:t>
      </w:r>
      <w:r>
        <w:rPr>
          <w:rFonts w:ascii="Aptos" w:eastAsia="Times New Roman" w:hAnsi="Aptos" w:cs="Times New Roman"/>
          <w:lang w:eastAsia="en-AU"/>
        </w:rPr>
        <w:t xml:space="preserve">a range of </w:t>
      </w:r>
      <w:r w:rsidRPr="00FC315F">
        <w:rPr>
          <w:rFonts w:ascii="Aptos" w:eastAsia="Times New Roman" w:hAnsi="Aptos" w:cs="Times New Roman"/>
          <w:lang w:eastAsia="en-AU"/>
        </w:rPr>
        <w:t>food products</w:t>
      </w:r>
      <w:r>
        <w:rPr>
          <w:rFonts w:ascii="Aptos" w:eastAsia="Times New Roman" w:hAnsi="Aptos" w:cs="Times New Roman"/>
          <w:lang w:eastAsia="en-AU"/>
        </w:rPr>
        <w:t xml:space="preserve">). </w:t>
      </w:r>
      <w:r>
        <w:rPr>
          <w:rFonts w:eastAsia="Arial" w:cs="Times New Roman"/>
          <w:iCs/>
        </w:rPr>
        <w:t>The data</w:t>
      </w:r>
      <w:r>
        <w:rPr>
          <w:rFonts w:eastAsia="Times New Roman" w:cs="Arial"/>
          <w:iCs/>
          <w:szCs w:val="20"/>
        </w:rPr>
        <w:t xml:space="preserve"> </w:t>
      </w:r>
      <w:r w:rsidRPr="00505285">
        <w:rPr>
          <w:rFonts w:eastAsia="Times New Roman" w:cs="Arial"/>
          <w:iCs/>
          <w:szCs w:val="20"/>
        </w:rPr>
        <w:t xml:space="preserve">suggest that </w:t>
      </w:r>
      <w:r>
        <w:rPr>
          <w:rFonts w:eastAsia="Times New Roman" w:cs="Arial"/>
          <w:iCs/>
          <w:szCs w:val="20"/>
        </w:rPr>
        <w:t xml:space="preserve">across the range of </w:t>
      </w:r>
      <w:r>
        <w:rPr>
          <w:rFonts w:eastAsia="Times New Roman" w:cs="Arial"/>
          <w:iCs/>
          <w:szCs w:val="20"/>
        </w:rPr>
        <w:lastRenderedPageBreak/>
        <w:t xml:space="preserve">diets modelled, most exceed the current Adequate Intake of </w:t>
      </w:r>
      <w:r w:rsidRPr="0019392A">
        <w:rPr>
          <w:rFonts w:eastAsia="Times New Roman" w:cs="Arial"/>
          <w:iCs/>
          <w:szCs w:val="20"/>
        </w:rPr>
        <w:t>460-920 mg/day</w:t>
      </w:r>
      <w:r>
        <w:rPr>
          <w:rFonts w:eastAsia="Times New Roman" w:cs="Arial"/>
          <w:iCs/>
          <w:szCs w:val="20"/>
        </w:rPr>
        <w:t xml:space="preserve">.  Notably, intakes from foundation diets – which do not include discretionary food nor discretionary salt – are around 1,000 to 1,300 mg/day. This may suggest that it is less feasible (although not impossible) to achieve a nutritionally balanced diet with sodium intakes aligned with the lower bound of the current AI range (460mg/day).  </w:t>
      </w:r>
      <w:r>
        <w:t xml:space="preserve">This modelling </w:t>
      </w:r>
      <w:r>
        <w:rPr>
          <w:rFonts w:eastAsia="Times New Roman" w:cs="Arial"/>
          <w:szCs w:val="20"/>
        </w:rPr>
        <w:t xml:space="preserve">should be interpreted with caution given the significant time elapsed since modelling was </w:t>
      </w:r>
      <w:proofErr w:type="gramStart"/>
      <w:r>
        <w:rPr>
          <w:rFonts w:eastAsia="Times New Roman" w:cs="Arial"/>
          <w:szCs w:val="20"/>
        </w:rPr>
        <w:t>undertaken, and</w:t>
      </w:r>
      <w:proofErr w:type="gramEnd"/>
      <w:r>
        <w:rPr>
          <w:rFonts w:eastAsia="Times New Roman" w:cs="Arial"/>
          <w:szCs w:val="20"/>
        </w:rPr>
        <w:t xml:space="preserve"> noting changes in both dietary patterns and sodium in the food supply since this time. </w:t>
      </w:r>
      <w:r>
        <w:t xml:space="preserve">This modelling predates the Healthy Food Partnership (HFP) program, so it does not reflect any reformulation-related reductions in sodium in the food supply, with associated reductions in the sodium content of participating products estimated at 4.3% (ABS, 2025).  </w:t>
      </w:r>
    </w:p>
    <w:p w14:paraId="5E50C742" w14:textId="55DCFE64" w:rsidR="002A7D19" w:rsidRDefault="002A7D19" w:rsidP="002A7D19">
      <w:pPr>
        <w:pStyle w:val="Caption"/>
        <w:keepNext/>
      </w:pPr>
      <w:bookmarkStart w:id="158" w:name="_Ref230012171"/>
      <w:r>
        <w:t xml:space="preserve">Table </w:t>
      </w:r>
      <w:r>
        <w:fldChar w:fldCharType="begin"/>
      </w:r>
      <w:r>
        <w:instrText>SEQ Table \* ARABIC</w:instrText>
      </w:r>
      <w:r>
        <w:fldChar w:fldCharType="separate"/>
      </w:r>
      <w:r w:rsidR="00B90577">
        <w:rPr>
          <w:noProof/>
        </w:rPr>
        <w:t>22</w:t>
      </w:r>
      <w:r>
        <w:fldChar w:fldCharType="end"/>
      </w:r>
      <w:bookmarkEnd w:id="158"/>
      <w:r>
        <w:t xml:space="preserve"> - Food modelling data in adults</w:t>
      </w:r>
      <w:r>
        <w:rPr>
          <w:noProof/>
        </w:rPr>
        <w:t xml:space="preserve"> </w:t>
      </w:r>
      <w:r w:rsidRPr="007E126E">
        <w:rPr>
          <w:noProof/>
        </w:rPr>
        <w:t>(NHMRC 2011)</w:t>
      </w:r>
    </w:p>
    <w:tbl>
      <w:tblPr>
        <w:tblStyle w:val="TableGrid2"/>
        <w:tblW w:w="13679" w:type="dxa"/>
        <w:tblLook w:val="04A0" w:firstRow="1" w:lastRow="0" w:firstColumn="1" w:lastColumn="0" w:noHBand="0" w:noVBand="1"/>
      </w:tblPr>
      <w:tblGrid>
        <w:gridCol w:w="802"/>
        <w:gridCol w:w="1018"/>
        <w:gridCol w:w="1010"/>
        <w:gridCol w:w="1058"/>
        <w:gridCol w:w="699"/>
        <w:gridCol w:w="699"/>
        <w:gridCol w:w="699"/>
        <w:gridCol w:w="699"/>
        <w:gridCol w:w="699"/>
        <w:gridCol w:w="699"/>
        <w:gridCol w:w="699"/>
        <w:gridCol w:w="700"/>
        <w:gridCol w:w="1049"/>
        <w:gridCol w:w="1050"/>
        <w:gridCol w:w="1049"/>
        <w:gridCol w:w="1050"/>
      </w:tblGrid>
      <w:tr w:rsidR="002A7D19" w:rsidRPr="006A14E9" w14:paraId="01482A28" w14:textId="77777777" w:rsidTr="003A31ED">
        <w:tc>
          <w:tcPr>
            <w:tcW w:w="802" w:type="dxa"/>
            <w:vMerge w:val="restart"/>
            <w:shd w:val="clear" w:color="auto" w:fill="005F85"/>
            <w:vAlign w:val="bottom"/>
          </w:tcPr>
          <w:p w14:paraId="5BF920CB" w14:textId="77777777" w:rsidR="002A7D19" w:rsidRPr="006A14E9" w:rsidRDefault="002A7D19" w:rsidP="003A31ED">
            <w:pPr>
              <w:spacing w:after="0"/>
              <w:ind w:left="-88" w:right="33"/>
              <w:jc w:val="center"/>
              <w:rPr>
                <w:rFonts w:eastAsia="Times New Roman" w:cs="Arial"/>
                <w:b/>
                <w:bCs/>
                <w:color w:val="FFFFFF"/>
                <w:sz w:val="20"/>
                <w:szCs w:val="20"/>
              </w:rPr>
            </w:pPr>
            <w:r w:rsidRPr="006A14E9">
              <w:rPr>
                <w:rFonts w:eastAsia="Times New Roman" w:cs="Arial"/>
                <w:b/>
                <w:bCs/>
                <w:color w:val="FFFFFF"/>
                <w:sz w:val="20"/>
                <w:szCs w:val="20"/>
              </w:rPr>
              <w:t>Age group (years)</w:t>
            </w:r>
          </w:p>
        </w:tc>
        <w:tc>
          <w:tcPr>
            <w:tcW w:w="1018" w:type="dxa"/>
            <w:vMerge w:val="restart"/>
            <w:shd w:val="clear" w:color="auto" w:fill="005F85"/>
          </w:tcPr>
          <w:p w14:paraId="7F6BE236" w14:textId="77777777" w:rsidR="002A7D19" w:rsidRDefault="002A7D19" w:rsidP="003A31ED">
            <w:pPr>
              <w:spacing w:after="0"/>
              <w:jc w:val="center"/>
              <w:rPr>
                <w:rFonts w:eastAsia="Times New Roman" w:cs="Arial"/>
                <w:b/>
                <w:bCs/>
                <w:color w:val="FFFFFF"/>
                <w:sz w:val="20"/>
                <w:szCs w:val="20"/>
              </w:rPr>
            </w:pPr>
            <w:r w:rsidRPr="006A14E9">
              <w:rPr>
                <w:rFonts w:eastAsia="Times New Roman" w:cs="Arial"/>
                <w:b/>
                <w:bCs/>
                <w:color w:val="FFFFFF"/>
                <w:sz w:val="20"/>
                <w:szCs w:val="20"/>
              </w:rPr>
              <w:t>Core food groups</w:t>
            </w:r>
          </w:p>
          <w:p w14:paraId="68D222FB" w14:textId="77777777" w:rsidR="002A7D19" w:rsidRPr="006A14E9" w:rsidRDefault="002A7D19" w:rsidP="003A31ED">
            <w:pPr>
              <w:spacing w:after="0"/>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2068" w:type="dxa"/>
            <w:gridSpan w:val="2"/>
            <w:vMerge w:val="restart"/>
            <w:shd w:val="clear" w:color="auto" w:fill="156082" w:themeFill="accent1"/>
          </w:tcPr>
          <w:p w14:paraId="6094F0A4" w14:textId="77777777" w:rsidR="002A7D19" w:rsidRDefault="002A7D19" w:rsidP="003A31ED">
            <w:pPr>
              <w:spacing w:after="0"/>
              <w:jc w:val="center"/>
              <w:rPr>
                <w:rFonts w:eastAsia="Times New Roman" w:cs="Arial"/>
                <w:b/>
                <w:bCs/>
                <w:color w:val="FFFFFF"/>
                <w:sz w:val="20"/>
                <w:szCs w:val="20"/>
              </w:rPr>
            </w:pPr>
            <w:r>
              <w:rPr>
                <w:rFonts w:eastAsia="Times New Roman" w:cs="Arial"/>
                <w:b/>
                <w:bCs/>
                <w:color w:val="FFFFFF"/>
                <w:sz w:val="20"/>
                <w:szCs w:val="20"/>
              </w:rPr>
              <w:t>Intake from AGTHE98^</w:t>
            </w:r>
          </w:p>
          <w:p w14:paraId="4CE0AE47" w14:textId="77777777" w:rsidR="002A7D19" w:rsidRDefault="002A7D19" w:rsidP="003A31ED">
            <w:pPr>
              <w:spacing w:after="0"/>
              <w:jc w:val="center"/>
              <w:rPr>
                <w:rFonts w:eastAsia="Times New Roman" w:cs="Arial"/>
                <w:b/>
                <w:bCs/>
                <w:color w:val="FFFFFF"/>
                <w:sz w:val="20"/>
                <w:szCs w:val="20"/>
              </w:rPr>
            </w:pPr>
            <w:r w:rsidRPr="006D5893">
              <w:rPr>
                <w:rFonts w:eastAsia="Times New Roman" w:cs="Arial"/>
                <w:b/>
                <w:bCs/>
                <w:i/>
                <w:iCs/>
                <w:color w:val="FFFFFF"/>
                <w:sz w:val="20"/>
                <w:szCs w:val="20"/>
              </w:rPr>
              <w:t>(Core foods using whole dietary approach)</w:t>
            </w:r>
          </w:p>
          <w:p w14:paraId="628AA671" w14:textId="77777777" w:rsidR="002A7D19" w:rsidRDefault="002A7D19" w:rsidP="003A31ED">
            <w:pPr>
              <w:spacing w:after="0"/>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5593" w:type="dxa"/>
            <w:gridSpan w:val="8"/>
            <w:shd w:val="clear" w:color="auto" w:fill="005F85"/>
          </w:tcPr>
          <w:p w14:paraId="7C203648" w14:textId="77777777" w:rsidR="002A7D19" w:rsidRDefault="002A7D19" w:rsidP="003A31ED">
            <w:pPr>
              <w:spacing w:after="0"/>
              <w:ind w:right="34"/>
              <w:jc w:val="center"/>
              <w:rPr>
                <w:rFonts w:eastAsia="Times New Roman" w:cs="Arial"/>
                <w:b/>
                <w:bCs/>
                <w:color w:val="FFFFFF"/>
                <w:sz w:val="20"/>
                <w:szCs w:val="20"/>
              </w:rPr>
            </w:pPr>
            <w:r>
              <w:rPr>
                <w:rFonts w:eastAsia="Times New Roman" w:cs="Arial"/>
                <w:b/>
                <w:bCs/>
                <w:color w:val="FFFFFF"/>
                <w:sz w:val="20"/>
                <w:szCs w:val="20"/>
              </w:rPr>
              <w:t>Foundation diets</w:t>
            </w:r>
          </w:p>
        </w:tc>
        <w:tc>
          <w:tcPr>
            <w:tcW w:w="4198" w:type="dxa"/>
            <w:gridSpan w:val="4"/>
            <w:shd w:val="clear" w:color="auto" w:fill="005F85"/>
          </w:tcPr>
          <w:p w14:paraId="7ACF644F" w14:textId="77777777" w:rsidR="002A7D19" w:rsidRDefault="002A7D19" w:rsidP="003A31ED">
            <w:pPr>
              <w:spacing w:after="0"/>
              <w:ind w:right="34"/>
              <w:jc w:val="center"/>
              <w:rPr>
                <w:rFonts w:eastAsia="Times New Roman" w:cs="Arial"/>
                <w:b/>
                <w:bCs/>
                <w:color w:val="FFFFFF"/>
                <w:sz w:val="20"/>
                <w:szCs w:val="20"/>
              </w:rPr>
            </w:pPr>
            <w:r>
              <w:rPr>
                <w:rFonts w:eastAsia="Times New Roman" w:cs="Arial"/>
                <w:b/>
                <w:bCs/>
                <w:color w:val="FFFFFF"/>
                <w:sz w:val="20"/>
                <w:szCs w:val="20"/>
              </w:rPr>
              <w:t>7 day Total Diets</w:t>
            </w:r>
          </w:p>
        </w:tc>
      </w:tr>
      <w:tr w:rsidR="002A7D19" w:rsidRPr="006A14E9" w14:paraId="5CE93E6F" w14:textId="77777777" w:rsidTr="003A31ED">
        <w:tc>
          <w:tcPr>
            <w:tcW w:w="802" w:type="dxa"/>
            <w:vMerge/>
            <w:shd w:val="clear" w:color="auto" w:fill="005F85"/>
            <w:vAlign w:val="bottom"/>
          </w:tcPr>
          <w:p w14:paraId="4885F2F5" w14:textId="77777777" w:rsidR="002A7D19" w:rsidRPr="006A14E9" w:rsidRDefault="002A7D19" w:rsidP="003A31ED">
            <w:pPr>
              <w:spacing w:after="0"/>
              <w:ind w:left="-88" w:right="33"/>
              <w:jc w:val="center"/>
              <w:rPr>
                <w:rFonts w:eastAsia="Times New Roman" w:cs="Arial"/>
                <w:b/>
                <w:bCs/>
                <w:color w:val="FFFFFF"/>
                <w:sz w:val="20"/>
                <w:szCs w:val="20"/>
              </w:rPr>
            </w:pPr>
          </w:p>
        </w:tc>
        <w:tc>
          <w:tcPr>
            <w:tcW w:w="1018" w:type="dxa"/>
            <w:vMerge/>
            <w:shd w:val="clear" w:color="auto" w:fill="005F85"/>
          </w:tcPr>
          <w:p w14:paraId="55C68436" w14:textId="77777777" w:rsidR="002A7D19" w:rsidRPr="006A14E9" w:rsidRDefault="002A7D19" w:rsidP="003A31ED">
            <w:pPr>
              <w:spacing w:after="0"/>
              <w:jc w:val="center"/>
              <w:rPr>
                <w:rFonts w:eastAsia="Times New Roman" w:cs="Arial"/>
                <w:b/>
                <w:bCs/>
                <w:color w:val="FFFFFF"/>
                <w:sz w:val="20"/>
                <w:szCs w:val="20"/>
              </w:rPr>
            </w:pPr>
          </w:p>
        </w:tc>
        <w:tc>
          <w:tcPr>
            <w:tcW w:w="2068" w:type="dxa"/>
            <w:gridSpan w:val="2"/>
            <w:vMerge/>
            <w:shd w:val="clear" w:color="auto" w:fill="156082" w:themeFill="accent1"/>
          </w:tcPr>
          <w:p w14:paraId="3BCADD71" w14:textId="77777777" w:rsidR="002A7D19" w:rsidRPr="006A14E9" w:rsidRDefault="002A7D19" w:rsidP="003A31ED">
            <w:pPr>
              <w:spacing w:after="0"/>
              <w:jc w:val="center"/>
              <w:rPr>
                <w:rFonts w:eastAsia="Times New Roman" w:cs="Arial"/>
                <w:b/>
                <w:bCs/>
                <w:color w:val="FFFFFF"/>
                <w:sz w:val="20"/>
                <w:szCs w:val="20"/>
              </w:rPr>
            </w:pPr>
          </w:p>
        </w:tc>
        <w:tc>
          <w:tcPr>
            <w:tcW w:w="1398" w:type="dxa"/>
            <w:gridSpan w:val="2"/>
            <w:shd w:val="clear" w:color="auto" w:fill="005F85"/>
          </w:tcPr>
          <w:p w14:paraId="709DF903" w14:textId="77777777" w:rsidR="002A7D19" w:rsidRDefault="002A7D19" w:rsidP="003A31ED">
            <w:pPr>
              <w:spacing w:after="0"/>
              <w:jc w:val="center"/>
              <w:rPr>
                <w:rFonts w:eastAsia="Times New Roman" w:cs="Arial"/>
                <w:b/>
                <w:bCs/>
                <w:color w:val="FFFFFF"/>
                <w:sz w:val="20"/>
                <w:szCs w:val="20"/>
              </w:rPr>
            </w:pPr>
            <w:r>
              <w:rPr>
                <w:rFonts w:eastAsia="Times New Roman" w:cs="Arial"/>
                <w:b/>
                <w:bCs/>
                <w:color w:val="FFFFFF"/>
                <w:sz w:val="20"/>
                <w:szCs w:val="20"/>
              </w:rPr>
              <w:t>O</w:t>
            </w:r>
            <w:r w:rsidRPr="006A14E9">
              <w:rPr>
                <w:rFonts w:eastAsia="Times New Roman" w:cs="Arial"/>
                <w:b/>
                <w:bCs/>
                <w:color w:val="FFFFFF"/>
                <w:sz w:val="20"/>
                <w:szCs w:val="20"/>
              </w:rPr>
              <w:t>verall</w:t>
            </w:r>
          </w:p>
          <w:p w14:paraId="7766D46F" w14:textId="77777777" w:rsidR="002A7D19" w:rsidRPr="006A14E9" w:rsidRDefault="002A7D19" w:rsidP="003A31ED">
            <w:pPr>
              <w:spacing w:after="0"/>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1398" w:type="dxa"/>
            <w:gridSpan w:val="2"/>
            <w:shd w:val="clear" w:color="auto" w:fill="005F85"/>
          </w:tcPr>
          <w:p w14:paraId="3EF09957" w14:textId="77777777" w:rsidR="002A7D19" w:rsidRDefault="002A7D19" w:rsidP="003A31ED">
            <w:pPr>
              <w:spacing w:after="0"/>
              <w:jc w:val="center"/>
              <w:rPr>
                <w:rFonts w:eastAsia="Times New Roman" w:cs="Arial"/>
                <w:b/>
                <w:bCs/>
                <w:color w:val="FFFFFF"/>
                <w:sz w:val="20"/>
                <w:szCs w:val="20"/>
              </w:rPr>
            </w:pPr>
            <w:r>
              <w:rPr>
                <w:rFonts w:eastAsia="Times New Roman" w:cs="Arial"/>
                <w:b/>
                <w:bCs/>
                <w:color w:val="FFFFFF"/>
                <w:sz w:val="20"/>
                <w:szCs w:val="20"/>
              </w:rPr>
              <w:t>Intake from r</w:t>
            </w:r>
            <w:r w:rsidRPr="006A14E9">
              <w:rPr>
                <w:rFonts w:eastAsia="Times New Roman" w:cs="Arial"/>
                <w:b/>
                <w:bCs/>
                <w:color w:val="FFFFFF"/>
                <w:sz w:val="20"/>
                <w:szCs w:val="20"/>
              </w:rPr>
              <w:t>ice-based</w:t>
            </w:r>
            <w:r>
              <w:rPr>
                <w:rFonts w:eastAsia="Times New Roman" w:cs="Arial"/>
                <w:b/>
                <w:bCs/>
                <w:color w:val="FFFFFF"/>
                <w:sz w:val="20"/>
                <w:szCs w:val="20"/>
              </w:rPr>
              <w:t xml:space="preserve"> diets</w:t>
            </w:r>
          </w:p>
          <w:p w14:paraId="2F37718D" w14:textId="77777777" w:rsidR="002A7D19" w:rsidRPr="006A14E9" w:rsidRDefault="002A7D19" w:rsidP="003A31ED">
            <w:pPr>
              <w:spacing w:after="0"/>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1398" w:type="dxa"/>
            <w:gridSpan w:val="2"/>
            <w:shd w:val="clear" w:color="auto" w:fill="005F85"/>
          </w:tcPr>
          <w:p w14:paraId="7D0C0AFB" w14:textId="77777777" w:rsidR="002A7D19" w:rsidRDefault="002A7D19" w:rsidP="003A31ED">
            <w:pPr>
              <w:spacing w:after="0"/>
              <w:ind w:right="27"/>
              <w:jc w:val="center"/>
              <w:rPr>
                <w:rFonts w:eastAsia="Times New Roman" w:cs="Arial"/>
                <w:b/>
                <w:bCs/>
                <w:color w:val="FFFFFF"/>
                <w:sz w:val="20"/>
                <w:szCs w:val="20"/>
              </w:rPr>
            </w:pPr>
            <w:r>
              <w:rPr>
                <w:rFonts w:eastAsia="Times New Roman" w:cs="Arial"/>
                <w:b/>
                <w:bCs/>
                <w:color w:val="FFFFFF"/>
                <w:sz w:val="20"/>
                <w:szCs w:val="20"/>
              </w:rPr>
              <w:t>Intake from p</w:t>
            </w:r>
            <w:r w:rsidRPr="006A14E9">
              <w:rPr>
                <w:rFonts w:eastAsia="Times New Roman" w:cs="Arial"/>
                <w:b/>
                <w:bCs/>
                <w:color w:val="FFFFFF"/>
                <w:sz w:val="20"/>
                <w:szCs w:val="20"/>
              </w:rPr>
              <w:t>asta-based</w:t>
            </w:r>
            <w:r>
              <w:rPr>
                <w:rFonts w:eastAsia="Times New Roman" w:cs="Arial"/>
                <w:b/>
                <w:bCs/>
                <w:color w:val="FFFFFF"/>
                <w:sz w:val="20"/>
                <w:szCs w:val="20"/>
              </w:rPr>
              <w:t xml:space="preserve"> diets</w:t>
            </w:r>
          </w:p>
          <w:p w14:paraId="520E3A71" w14:textId="77777777" w:rsidR="002A7D19" w:rsidRPr="006A14E9" w:rsidRDefault="002A7D19" w:rsidP="003A31ED">
            <w:pPr>
              <w:spacing w:after="0"/>
              <w:ind w:right="27"/>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1399" w:type="dxa"/>
            <w:gridSpan w:val="2"/>
            <w:shd w:val="clear" w:color="auto" w:fill="005F85"/>
          </w:tcPr>
          <w:p w14:paraId="06E4D340" w14:textId="77777777" w:rsidR="002A7D19" w:rsidRDefault="002A7D19" w:rsidP="003A31ED">
            <w:pPr>
              <w:spacing w:after="0"/>
              <w:ind w:right="34"/>
              <w:jc w:val="center"/>
              <w:rPr>
                <w:rFonts w:eastAsia="Times New Roman" w:cs="Arial"/>
                <w:b/>
                <w:bCs/>
                <w:color w:val="FFFFFF"/>
                <w:sz w:val="20"/>
                <w:szCs w:val="20"/>
              </w:rPr>
            </w:pPr>
            <w:r>
              <w:rPr>
                <w:rFonts w:eastAsia="Times New Roman" w:cs="Arial"/>
                <w:b/>
                <w:bCs/>
                <w:color w:val="FFFFFF"/>
                <w:sz w:val="20"/>
                <w:szCs w:val="20"/>
              </w:rPr>
              <w:t xml:space="preserve">Intake from </w:t>
            </w:r>
            <w:proofErr w:type="spellStart"/>
            <w:r>
              <w:rPr>
                <w:rFonts w:eastAsia="Times New Roman" w:cs="Arial"/>
                <w:b/>
                <w:bCs/>
                <w:color w:val="FFFFFF"/>
                <w:sz w:val="20"/>
                <w:szCs w:val="20"/>
              </w:rPr>
              <w:t>l</w:t>
            </w:r>
            <w:r w:rsidRPr="006A14E9">
              <w:rPr>
                <w:rFonts w:eastAsia="Times New Roman" w:cs="Arial"/>
                <w:b/>
                <w:bCs/>
                <w:color w:val="FFFFFF"/>
                <w:sz w:val="20"/>
                <w:szCs w:val="20"/>
              </w:rPr>
              <w:t>acto</w:t>
            </w:r>
            <w:proofErr w:type="spellEnd"/>
            <w:r w:rsidRPr="006A14E9">
              <w:rPr>
                <w:rFonts w:eastAsia="Times New Roman" w:cs="Arial"/>
                <w:b/>
                <w:bCs/>
                <w:color w:val="FFFFFF"/>
                <w:sz w:val="20"/>
                <w:szCs w:val="20"/>
              </w:rPr>
              <w:t>-ovo-vego</w:t>
            </w:r>
            <w:r>
              <w:rPr>
                <w:rFonts w:eastAsia="Times New Roman" w:cs="Arial"/>
                <w:b/>
                <w:bCs/>
                <w:color w:val="FFFFFF"/>
                <w:sz w:val="20"/>
                <w:szCs w:val="20"/>
              </w:rPr>
              <w:t xml:space="preserve"> diets</w:t>
            </w:r>
          </w:p>
          <w:p w14:paraId="1388FBB2" w14:textId="77777777" w:rsidR="002A7D19" w:rsidRPr="006A14E9" w:rsidRDefault="002A7D19" w:rsidP="003A31ED">
            <w:pPr>
              <w:spacing w:after="0"/>
              <w:ind w:right="34"/>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2099" w:type="dxa"/>
            <w:gridSpan w:val="2"/>
            <w:shd w:val="clear" w:color="auto" w:fill="005F85"/>
          </w:tcPr>
          <w:p w14:paraId="092C8D0C" w14:textId="77777777" w:rsidR="002A7D19" w:rsidRDefault="002A7D19" w:rsidP="003A31ED">
            <w:pPr>
              <w:spacing w:after="0"/>
              <w:ind w:right="34"/>
              <w:jc w:val="center"/>
              <w:rPr>
                <w:rFonts w:eastAsia="Times New Roman" w:cs="Arial"/>
                <w:b/>
                <w:bCs/>
                <w:color w:val="FFFFFF"/>
                <w:sz w:val="20"/>
                <w:szCs w:val="20"/>
              </w:rPr>
            </w:pPr>
            <w:r>
              <w:rPr>
                <w:rFonts w:eastAsia="Times New Roman" w:cs="Arial"/>
                <w:b/>
                <w:bCs/>
                <w:color w:val="FFFFFF"/>
                <w:sz w:val="20"/>
                <w:szCs w:val="20"/>
              </w:rPr>
              <w:t>Mid energy level</w:t>
            </w:r>
          </w:p>
          <w:p w14:paraId="0D2BAD60" w14:textId="77777777" w:rsidR="002A7D19" w:rsidRDefault="002A7D19" w:rsidP="003A31ED">
            <w:pPr>
              <w:spacing w:after="0"/>
              <w:ind w:right="34"/>
              <w:jc w:val="center"/>
              <w:rPr>
                <w:rFonts w:eastAsia="Times New Roman" w:cs="Arial"/>
                <w:b/>
                <w:bCs/>
                <w:color w:val="FFFFFF"/>
                <w:sz w:val="20"/>
                <w:szCs w:val="20"/>
              </w:rPr>
            </w:pPr>
            <w:r>
              <w:rPr>
                <w:rFonts w:eastAsia="Times New Roman" w:cs="Arial"/>
                <w:b/>
                <w:bCs/>
                <w:color w:val="FFFFFF"/>
                <w:sz w:val="20"/>
                <w:szCs w:val="20"/>
              </w:rPr>
              <w:t>(average height, light-moderate activity)</w:t>
            </w:r>
          </w:p>
          <w:p w14:paraId="5FA6EF33" w14:textId="77777777" w:rsidR="002A7D19" w:rsidRDefault="002A7D19" w:rsidP="003A31ED">
            <w:pPr>
              <w:spacing w:after="0"/>
              <w:ind w:right="34"/>
              <w:jc w:val="center"/>
              <w:rPr>
                <w:rFonts w:eastAsia="Times New Roman" w:cs="Arial"/>
                <w:b/>
                <w:bCs/>
                <w:color w:val="FFFFFF"/>
                <w:sz w:val="20"/>
                <w:szCs w:val="20"/>
              </w:rPr>
            </w:pPr>
            <w:r w:rsidRPr="000D2DF6">
              <w:rPr>
                <w:rFonts w:ascii="Aptos" w:eastAsia="Times New Roman" w:hAnsi="Aptos" w:cs="Arial"/>
                <w:b/>
                <w:bCs/>
                <w:color w:val="FFFFFF"/>
                <w:sz w:val="20"/>
                <w:szCs w:val="20"/>
              </w:rPr>
              <w:t>(mg/day)</w:t>
            </w:r>
          </w:p>
        </w:tc>
        <w:tc>
          <w:tcPr>
            <w:tcW w:w="2099" w:type="dxa"/>
            <w:gridSpan w:val="2"/>
            <w:shd w:val="clear" w:color="auto" w:fill="005F85"/>
          </w:tcPr>
          <w:p w14:paraId="223361A1" w14:textId="77777777" w:rsidR="002A7D19" w:rsidRDefault="002A7D19" w:rsidP="003A31ED">
            <w:pPr>
              <w:spacing w:after="0"/>
              <w:ind w:right="34"/>
              <w:jc w:val="center"/>
              <w:rPr>
                <w:rFonts w:eastAsia="Times New Roman" w:cs="Arial"/>
                <w:b/>
                <w:bCs/>
                <w:color w:val="FFFFFF"/>
                <w:sz w:val="20"/>
                <w:szCs w:val="20"/>
              </w:rPr>
            </w:pPr>
            <w:r>
              <w:rPr>
                <w:rFonts w:eastAsia="Times New Roman" w:cs="Arial"/>
                <w:b/>
                <w:bCs/>
                <w:color w:val="FFFFFF"/>
                <w:sz w:val="20"/>
                <w:szCs w:val="20"/>
              </w:rPr>
              <w:t xml:space="preserve">High energy level </w:t>
            </w:r>
          </w:p>
          <w:p w14:paraId="283518C2" w14:textId="77777777" w:rsidR="002A7D19" w:rsidRDefault="002A7D19" w:rsidP="003A31ED">
            <w:pPr>
              <w:spacing w:after="0"/>
              <w:ind w:right="34"/>
              <w:jc w:val="center"/>
              <w:rPr>
                <w:rFonts w:ascii="Aptos" w:eastAsia="Times New Roman" w:hAnsi="Aptos" w:cs="Arial"/>
                <w:b/>
                <w:bCs/>
                <w:color w:val="FFFFFF"/>
                <w:sz w:val="20"/>
                <w:szCs w:val="20"/>
              </w:rPr>
            </w:pPr>
            <w:r>
              <w:rPr>
                <w:rFonts w:eastAsia="Times New Roman" w:cs="Arial"/>
                <w:b/>
                <w:bCs/>
                <w:color w:val="FFFFFF"/>
                <w:sz w:val="20"/>
                <w:szCs w:val="20"/>
              </w:rPr>
              <w:t>(tallest, highest activity)</w:t>
            </w:r>
            <w:r w:rsidRPr="000D2DF6">
              <w:rPr>
                <w:rFonts w:ascii="Aptos" w:eastAsia="Times New Roman" w:hAnsi="Aptos" w:cs="Arial"/>
                <w:b/>
                <w:bCs/>
                <w:color w:val="FFFFFF"/>
                <w:sz w:val="20"/>
                <w:szCs w:val="20"/>
              </w:rPr>
              <w:t xml:space="preserve"> </w:t>
            </w:r>
          </w:p>
          <w:p w14:paraId="180397F5" w14:textId="77777777" w:rsidR="002A7D19" w:rsidRDefault="002A7D19" w:rsidP="003A31ED">
            <w:pPr>
              <w:spacing w:after="0"/>
              <w:ind w:right="34"/>
              <w:jc w:val="center"/>
              <w:rPr>
                <w:rFonts w:eastAsia="Times New Roman" w:cs="Arial"/>
                <w:b/>
                <w:bCs/>
                <w:color w:val="FFFFFF"/>
                <w:sz w:val="20"/>
                <w:szCs w:val="20"/>
              </w:rPr>
            </w:pPr>
            <w:r w:rsidRPr="000D2DF6">
              <w:rPr>
                <w:rFonts w:ascii="Aptos" w:eastAsia="Times New Roman" w:hAnsi="Aptos" w:cs="Arial"/>
                <w:b/>
                <w:bCs/>
                <w:color w:val="FFFFFF"/>
                <w:sz w:val="20"/>
                <w:szCs w:val="20"/>
              </w:rPr>
              <w:t>(mg/day)</w:t>
            </w:r>
          </w:p>
        </w:tc>
      </w:tr>
      <w:tr w:rsidR="002A7D19" w:rsidRPr="006A14E9" w14:paraId="7F4846DB" w14:textId="77777777" w:rsidTr="003A31ED">
        <w:trPr>
          <w:trHeight w:val="315"/>
        </w:trPr>
        <w:tc>
          <w:tcPr>
            <w:tcW w:w="802" w:type="dxa"/>
            <w:vMerge/>
            <w:shd w:val="clear" w:color="auto" w:fill="005F85"/>
          </w:tcPr>
          <w:p w14:paraId="7B0D1D82" w14:textId="77777777" w:rsidR="002A7D19" w:rsidRPr="006A14E9" w:rsidRDefault="002A7D19" w:rsidP="003A31ED">
            <w:pPr>
              <w:spacing w:after="0"/>
              <w:ind w:right="-1346"/>
              <w:rPr>
                <w:rFonts w:eastAsia="Times New Roman" w:cs="Arial"/>
                <w:b/>
                <w:bCs/>
                <w:color w:val="FFFFFF"/>
                <w:sz w:val="20"/>
                <w:szCs w:val="20"/>
              </w:rPr>
            </w:pPr>
          </w:p>
        </w:tc>
        <w:tc>
          <w:tcPr>
            <w:tcW w:w="1018" w:type="dxa"/>
            <w:shd w:val="clear" w:color="auto" w:fill="005F85"/>
            <w:vAlign w:val="bottom"/>
          </w:tcPr>
          <w:p w14:paraId="413207BA" w14:textId="77777777" w:rsidR="002A7D19" w:rsidRPr="006A14E9" w:rsidRDefault="002A7D19" w:rsidP="003A31ED">
            <w:pPr>
              <w:spacing w:after="0"/>
              <w:jc w:val="center"/>
              <w:rPr>
                <w:rFonts w:eastAsia="Times New Roman" w:cs="Arial"/>
                <w:b/>
                <w:bCs/>
                <w:color w:val="FFFFFF"/>
                <w:sz w:val="20"/>
                <w:szCs w:val="20"/>
              </w:rPr>
            </w:pPr>
            <w:r>
              <w:rPr>
                <w:rFonts w:eastAsia="Times New Roman" w:cs="Arial"/>
                <w:b/>
                <w:bCs/>
                <w:color w:val="FFFFFF"/>
                <w:sz w:val="20"/>
                <w:szCs w:val="20"/>
              </w:rPr>
              <w:t>All</w:t>
            </w:r>
          </w:p>
        </w:tc>
        <w:tc>
          <w:tcPr>
            <w:tcW w:w="1010" w:type="dxa"/>
            <w:shd w:val="clear" w:color="auto" w:fill="156082" w:themeFill="accent1"/>
            <w:vAlign w:val="bottom"/>
          </w:tcPr>
          <w:p w14:paraId="375F3C05" w14:textId="77777777" w:rsidR="002A7D19" w:rsidRPr="006A14E9" w:rsidRDefault="002A7D19" w:rsidP="003A31ED">
            <w:pPr>
              <w:spacing w:after="0"/>
              <w:jc w:val="center"/>
              <w:rPr>
                <w:rFonts w:eastAsia="Times New Roman" w:cs="Arial"/>
                <w:b/>
                <w:bCs/>
                <w:color w:val="FFFFFF"/>
                <w:sz w:val="20"/>
                <w:szCs w:val="20"/>
              </w:rPr>
            </w:pPr>
            <w:r>
              <w:rPr>
                <w:rFonts w:eastAsia="Times New Roman" w:cs="Arial"/>
                <w:b/>
                <w:bCs/>
                <w:color w:val="FFFFFF"/>
                <w:sz w:val="20"/>
                <w:szCs w:val="20"/>
              </w:rPr>
              <w:t>F</w:t>
            </w:r>
          </w:p>
        </w:tc>
        <w:tc>
          <w:tcPr>
            <w:tcW w:w="1058" w:type="dxa"/>
            <w:shd w:val="clear" w:color="auto" w:fill="156082" w:themeFill="accent1"/>
            <w:vAlign w:val="bottom"/>
          </w:tcPr>
          <w:p w14:paraId="5B8E504D" w14:textId="77777777" w:rsidR="002A7D19" w:rsidRPr="006A14E9" w:rsidRDefault="002A7D19" w:rsidP="003A31ED">
            <w:pPr>
              <w:spacing w:after="0"/>
              <w:jc w:val="center"/>
              <w:rPr>
                <w:rFonts w:eastAsia="Times New Roman" w:cs="Arial"/>
                <w:b/>
                <w:bCs/>
                <w:color w:val="FFFFFF"/>
                <w:sz w:val="20"/>
                <w:szCs w:val="20"/>
              </w:rPr>
            </w:pPr>
            <w:r>
              <w:rPr>
                <w:rFonts w:eastAsia="Times New Roman" w:cs="Arial"/>
                <w:b/>
                <w:bCs/>
                <w:color w:val="FFFFFF"/>
                <w:sz w:val="20"/>
                <w:szCs w:val="20"/>
              </w:rPr>
              <w:t>M</w:t>
            </w:r>
          </w:p>
        </w:tc>
        <w:tc>
          <w:tcPr>
            <w:tcW w:w="699" w:type="dxa"/>
            <w:shd w:val="clear" w:color="auto" w:fill="005F85"/>
            <w:vAlign w:val="bottom"/>
          </w:tcPr>
          <w:p w14:paraId="7DAB748F" w14:textId="77777777" w:rsidR="002A7D19" w:rsidRPr="006A14E9" w:rsidRDefault="002A7D19" w:rsidP="003A31ED">
            <w:pPr>
              <w:spacing w:after="0"/>
              <w:jc w:val="center"/>
              <w:rPr>
                <w:rFonts w:eastAsia="Times New Roman" w:cs="Arial"/>
                <w:b/>
                <w:bCs/>
                <w:color w:val="FFFFFF"/>
                <w:sz w:val="20"/>
                <w:szCs w:val="20"/>
              </w:rPr>
            </w:pPr>
            <w:r>
              <w:rPr>
                <w:rFonts w:eastAsia="Times New Roman" w:cs="Arial"/>
                <w:b/>
                <w:bCs/>
                <w:color w:val="FFFFFF"/>
                <w:sz w:val="20"/>
                <w:szCs w:val="20"/>
              </w:rPr>
              <w:t>F</w:t>
            </w:r>
          </w:p>
        </w:tc>
        <w:tc>
          <w:tcPr>
            <w:tcW w:w="699" w:type="dxa"/>
            <w:shd w:val="clear" w:color="auto" w:fill="005F85"/>
            <w:vAlign w:val="bottom"/>
          </w:tcPr>
          <w:p w14:paraId="35A382F1" w14:textId="77777777" w:rsidR="002A7D19" w:rsidRPr="006A14E9" w:rsidRDefault="002A7D19" w:rsidP="003A31ED">
            <w:pPr>
              <w:spacing w:after="0"/>
              <w:ind w:right="-112"/>
              <w:jc w:val="center"/>
              <w:rPr>
                <w:rFonts w:eastAsia="Times New Roman" w:cs="Arial"/>
                <w:b/>
                <w:bCs/>
                <w:color w:val="FFFFFF"/>
                <w:sz w:val="20"/>
                <w:szCs w:val="20"/>
              </w:rPr>
            </w:pPr>
            <w:r>
              <w:rPr>
                <w:rFonts w:eastAsia="Times New Roman" w:cs="Arial"/>
                <w:b/>
                <w:bCs/>
                <w:color w:val="FFFFFF"/>
                <w:sz w:val="20"/>
                <w:szCs w:val="20"/>
              </w:rPr>
              <w:t>M</w:t>
            </w:r>
          </w:p>
        </w:tc>
        <w:tc>
          <w:tcPr>
            <w:tcW w:w="699" w:type="dxa"/>
            <w:shd w:val="clear" w:color="auto" w:fill="005F85"/>
            <w:vAlign w:val="bottom"/>
          </w:tcPr>
          <w:p w14:paraId="5CE32E17" w14:textId="77777777" w:rsidR="002A7D19" w:rsidRPr="006A14E9" w:rsidRDefault="002A7D19" w:rsidP="003A31ED">
            <w:pPr>
              <w:spacing w:after="0"/>
              <w:jc w:val="center"/>
              <w:rPr>
                <w:rFonts w:eastAsia="Times New Roman" w:cs="Arial"/>
                <w:b/>
                <w:bCs/>
                <w:color w:val="FFFFFF"/>
                <w:sz w:val="20"/>
                <w:szCs w:val="20"/>
              </w:rPr>
            </w:pPr>
            <w:r>
              <w:rPr>
                <w:rFonts w:eastAsia="Times New Roman" w:cs="Arial"/>
                <w:b/>
                <w:bCs/>
                <w:color w:val="FFFFFF"/>
                <w:sz w:val="20"/>
                <w:szCs w:val="20"/>
              </w:rPr>
              <w:t>F</w:t>
            </w:r>
          </w:p>
        </w:tc>
        <w:tc>
          <w:tcPr>
            <w:tcW w:w="699" w:type="dxa"/>
            <w:shd w:val="clear" w:color="auto" w:fill="005F85"/>
            <w:vAlign w:val="bottom"/>
          </w:tcPr>
          <w:p w14:paraId="126C20B2" w14:textId="77777777" w:rsidR="002A7D19" w:rsidRPr="006A14E9" w:rsidRDefault="002A7D19" w:rsidP="003A31ED">
            <w:pPr>
              <w:spacing w:after="0"/>
              <w:ind w:right="-110"/>
              <w:jc w:val="center"/>
              <w:rPr>
                <w:rFonts w:eastAsia="Times New Roman" w:cs="Arial"/>
                <w:b/>
                <w:bCs/>
                <w:color w:val="FFFFFF"/>
                <w:sz w:val="20"/>
                <w:szCs w:val="20"/>
              </w:rPr>
            </w:pPr>
            <w:r>
              <w:rPr>
                <w:rFonts w:eastAsia="Times New Roman" w:cs="Arial"/>
                <w:b/>
                <w:bCs/>
                <w:color w:val="FFFFFF"/>
                <w:sz w:val="20"/>
                <w:szCs w:val="20"/>
              </w:rPr>
              <w:t>M</w:t>
            </w:r>
          </w:p>
        </w:tc>
        <w:tc>
          <w:tcPr>
            <w:tcW w:w="699" w:type="dxa"/>
            <w:shd w:val="clear" w:color="auto" w:fill="005F85"/>
            <w:vAlign w:val="bottom"/>
          </w:tcPr>
          <w:p w14:paraId="592EF533" w14:textId="77777777" w:rsidR="002A7D19" w:rsidRPr="006A14E9" w:rsidRDefault="002A7D19" w:rsidP="003A31ED">
            <w:pPr>
              <w:spacing w:after="0"/>
              <w:jc w:val="center"/>
              <w:rPr>
                <w:rFonts w:eastAsia="Times New Roman" w:cs="Arial"/>
                <w:b/>
                <w:bCs/>
                <w:color w:val="FFFFFF"/>
                <w:sz w:val="20"/>
                <w:szCs w:val="20"/>
              </w:rPr>
            </w:pPr>
            <w:r>
              <w:rPr>
                <w:rFonts w:eastAsia="Times New Roman" w:cs="Arial"/>
                <w:b/>
                <w:bCs/>
                <w:color w:val="FFFFFF"/>
                <w:sz w:val="20"/>
                <w:szCs w:val="20"/>
              </w:rPr>
              <w:t>F</w:t>
            </w:r>
          </w:p>
        </w:tc>
        <w:tc>
          <w:tcPr>
            <w:tcW w:w="699" w:type="dxa"/>
            <w:shd w:val="clear" w:color="auto" w:fill="005F85"/>
            <w:vAlign w:val="bottom"/>
          </w:tcPr>
          <w:p w14:paraId="798189A1" w14:textId="77777777" w:rsidR="002A7D19" w:rsidRPr="006A14E9" w:rsidRDefault="002A7D19" w:rsidP="003A31ED">
            <w:pPr>
              <w:spacing w:after="0"/>
              <w:ind w:right="-108"/>
              <w:jc w:val="center"/>
              <w:rPr>
                <w:rFonts w:eastAsia="Times New Roman" w:cs="Arial"/>
                <w:b/>
                <w:bCs/>
                <w:color w:val="FFFFFF"/>
                <w:sz w:val="20"/>
                <w:szCs w:val="20"/>
              </w:rPr>
            </w:pPr>
            <w:r>
              <w:rPr>
                <w:rFonts w:eastAsia="Times New Roman" w:cs="Arial"/>
                <w:b/>
                <w:bCs/>
                <w:color w:val="FFFFFF"/>
                <w:sz w:val="20"/>
                <w:szCs w:val="20"/>
              </w:rPr>
              <w:t>M</w:t>
            </w:r>
          </w:p>
        </w:tc>
        <w:tc>
          <w:tcPr>
            <w:tcW w:w="699" w:type="dxa"/>
            <w:shd w:val="clear" w:color="auto" w:fill="005F85"/>
            <w:vAlign w:val="bottom"/>
          </w:tcPr>
          <w:p w14:paraId="7989D919" w14:textId="77777777" w:rsidR="002A7D19" w:rsidRPr="006A14E9" w:rsidRDefault="002A7D19" w:rsidP="003A31ED">
            <w:pPr>
              <w:spacing w:after="0"/>
              <w:jc w:val="center"/>
              <w:rPr>
                <w:rFonts w:eastAsia="Times New Roman" w:cs="Arial"/>
                <w:b/>
                <w:bCs/>
                <w:color w:val="FFFFFF"/>
                <w:sz w:val="20"/>
                <w:szCs w:val="20"/>
              </w:rPr>
            </w:pPr>
            <w:r>
              <w:rPr>
                <w:rFonts w:eastAsia="Times New Roman" w:cs="Arial"/>
                <w:b/>
                <w:bCs/>
                <w:color w:val="FFFFFF"/>
                <w:sz w:val="20"/>
                <w:szCs w:val="20"/>
              </w:rPr>
              <w:t>F</w:t>
            </w:r>
          </w:p>
        </w:tc>
        <w:tc>
          <w:tcPr>
            <w:tcW w:w="700" w:type="dxa"/>
            <w:shd w:val="clear" w:color="auto" w:fill="005F85"/>
            <w:vAlign w:val="bottom"/>
          </w:tcPr>
          <w:p w14:paraId="385A9EC6" w14:textId="77777777" w:rsidR="002A7D19" w:rsidRPr="006A14E9" w:rsidRDefault="002A7D19" w:rsidP="003A31ED">
            <w:pPr>
              <w:spacing w:after="0"/>
              <w:ind w:right="-104"/>
              <w:jc w:val="center"/>
              <w:rPr>
                <w:rFonts w:eastAsia="Times New Roman" w:cs="Arial"/>
                <w:b/>
                <w:bCs/>
                <w:color w:val="FFFFFF"/>
                <w:sz w:val="20"/>
                <w:szCs w:val="20"/>
              </w:rPr>
            </w:pPr>
            <w:r>
              <w:rPr>
                <w:rFonts w:eastAsia="Times New Roman" w:cs="Arial"/>
                <w:b/>
                <w:bCs/>
                <w:color w:val="FFFFFF"/>
                <w:sz w:val="20"/>
                <w:szCs w:val="20"/>
              </w:rPr>
              <w:t>M</w:t>
            </w:r>
          </w:p>
        </w:tc>
        <w:tc>
          <w:tcPr>
            <w:tcW w:w="1049" w:type="dxa"/>
            <w:shd w:val="clear" w:color="auto" w:fill="005F85"/>
            <w:vAlign w:val="bottom"/>
          </w:tcPr>
          <w:p w14:paraId="0789F42A" w14:textId="77777777" w:rsidR="002A7D19" w:rsidRDefault="002A7D19" w:rsidP="003A31ED">
            <w:pPr>
              <w:spacing w:after="0"/>
              <w:ind w:right="-104"/>
              <w:jc w:val="center"/>
              <w:rPr>
                <w:rFonts w:eastAsia="Times New Roman" w:cs="Arial"/>
                <w:b/>
                <w:bCs/>
                <w:color w:val="FFFFFF"/>
                <w:sz w:val="20"/>
                <w:szCs w:val="20"/>
              </w:rPr>
            </w:pPr>
            <w:r>
              <w:rPr>
                <w:rFonts w:eastAsia="Times New Roman" w:cs="Arial"/>
                <w:b/>
                <w:bCs/>
                <w:color w:val="FFFFFF"/>
                <w:sz w:val="20"/>
                <w:szCs w:val="20"/>
              </w:rPr>
              <w:t>F</w:t>
            </w:r>
          </w:p>
        </w:tc>
        <w:tc>
          <w:tcPr>
            <w:tcW w:w="1050" w:type="dxa"/>
            <w:shd w:val="clear" w:color="auto" w:fill="005F85"/>
            <w:vAlign w:val="bottom"/>
          </w:tcPr>
          <w:p w14:paraId="5268A7C1" w14:textId="77777777" w:rsidR="002A7D19" w:rsidRDefault="002A7D19" w:rsidP="003A31ED">
            <w:pPr>
              <w:spacing w:after="0"/>
              <w:ind w:right="-104"/>
              <w:jc w:val="center"/>
              <w:rPr>
                <w:rFonts w:eastAsia="Times New Roman" w:cs="Arial"/>
                <w:b/>
                <w:bCs/>
                <w:color w:val="FFFFFF"/>
                <w:sz w:val="20"/>
                <w:szCs w:val="20"/>
              </w:rPr>
            </w:pPr>
            <w:r>
              <w:rPr>
                <w:rFonts w:eastAsia="Times New Roman" w:cs="Arial"/>
                <w:b/>
                <w:bCs/>
                <w:color w:val="FFFFFF"/>
                <w:sz w:val="20"/>
                <w:szCs w:val="20"/>
              </w:rPr>
              <w:t>M</w:t>
            </w:r>
          </w:p>
        </w:tc>
        <w:tc>
          <w:tcPr>
            <w:tcW w:w="1049" w:type="dxa"/>
            <w:shd w:val="clear" w:color="auto" w:fill="005F85"/>
            <w:vAlign w:val="bottom"/>
          </w:tcPr>
          <w:p w14:paraId="13F86F4F" w14:textId="77777777" w:rsidR="002A7D19" w:rsidRDefault="002A7D19" w:rsidP="003A31ED">
            <w:pPr>
              <w:spacing w:after="0"/>
              <w:ind w:right="-104"/>
              <w:jc w:val="center"/>
              <w:rPr>
                <w:rFonts w:eastAsia="Times New Roman" w:cs="Arial"/>
                <w:b/>
                <w:bCs/>
                <w:color w:val="FFFFFF"/>
                <w:sz w:val="20"/>
                <w:szCs w:val="20"/>
              </w:rPr>
            </w:pPr>
            <w:r>
              <w:rPr>
                <w:rFonts w:eastAsia="Times New Roman" w:cs="Arial"/>
                <w:b/>
                <w:bCs/>
                <w:color w:val="FFFFFF"/>
                <w:sz w:val="20"/>
                <w:szCs w:val="20"/>
              </w:rPr>
              <w:t>F</w:t>
            </w:r>
          </w:p>
        </w:tc>
        <w:tc>
          <w:tcPr>
            <w:tcW w:w="1050" w:type="dxa"/>
            <w:shd w:val="clear" w:color="auto" w:fill="005F85"/>
            <w:vAlign w:val="bottom"/>
          </w:tcPr>
          <w:p w14:paraId="3CD2D528" w14:textId="77777777" w:rsidR="002A7D19" w:rsidRDefault="002A7D19" w:rsidP="003A31ED">
            <w:pPr>
              <w:spacing w:after="0"/>
              <w:ind w:right="-104"/>
              <w:jc w:val="center"/>
              <w:rPr>
                <w:rFonts w:eastAsia="Times New Roman" w:cs="Arial"/>
                <w:b/>
                <w:bCs/>
                <w:color w:val="FFFFFF"/>
                <w:sz w:val="20"/>
                <w:szCs w:val="20"/>
              </w:rPr>
            </w:pPr>
            <w:r>
              <w:rPr>
                <w:rFonts w:eastAsia="Times New Roman" w:cs="Arial"/>
                <w:b/>
                <w:bCs/>
                <w:color w:val="FFFFFF"/>
                <w:sz w:val="20"/>
                <w:szCs w:val="20"/>
              </w:rPr>
              <w:t>M</w:t>
            </w:r>
          </w:p>
        </w:tc>
      </w:tr>
      <w:tr w:rsidR="002A7D19" w:rsidRPr="006A14E9" w14:paraId="706DDBDD" w14:textId="77777777" w:rsidTr="003A31ED">
        <w:tc>
          <w:tcPr>
            <w:tcW w:w="802" w:type="dxa"/>
            <w:vAlign w:val="center"/>
          </w:tcPr>
          <w:p w14:paraId="12D32BE8" w14:textId="77777777" w:rsidR="002A7D19" w:rsidRPr="006A14E9" w:rsidRDefault="002A7D19" w:rsidP="003A31ED">
            <w:pPr>
              <w:spacing w:after="0"/>
              <w:ind w:right="-1346"/>
              <w:rPr>
                <w:rFonts w:eastAsia="Times New Roman" w:cs="Arial"/>
                <w:sz w:val="20"/>
                <w:szCs w:val="20"/>
              </w:rPr>
            </w:pPr>
            <w:r w:rsidRPr="006A14E9">
              <w:rPr>
                <w:rFonts w:eastAsia="Times New Roman" w:cs="Arial"/>
                <w:sz w:val="20"/>
                <w:szCs w:val="20"/>
              </w:rPr>
              <w:t>19-30 yr</w:t>
            </w:r>
          </w:p>
        </w:tc>
        <w:tc>
          <w:tcPr>
            <w:tcW w:w="1018" w:type="dxa"/>
            <w:vMerge w:val="restart"/>
            <w:vAlign w:val="center"/>
          </w:tcPr>
          <w:p w14:paraId="4A482FEF" w14:textId="77777777" w:rsidR="002A7D19" w:rsidRPr="0084316C" w:rsidRDefault="002A7D19" w:rsidP="003A31ED">
            <w:pPr>
              <w:spacing w:after="0"/>
              <w:ind w:right="38"/>
              <w:jc w:val="center"/>
              <w:rPr>
                <w:rFonts w:eastAsia="Times New Roman" w:cs="Arial"/>
                <w:sz w:val="20"/>
                <w:szCs w:val="20"/>
              </w:rPr>
            </w:pPr>
            <w:r>
              <w:rPr>
                <w:rFonts w:eastAsia="Times New Roman" w:cs="Arial"/>
                <w:sz w:val="20"/>
                <w:szCs w:val="20"/>
              </w:rPr>
              <w:t>700</w:t>
            </w:r>
          </w:p>
        </w:tc>
        <w:tc>
          <w:tcPr>
            <w:tcW w:w="1010" w:type="dxa"/>
            <w:vMerge w:val="restart"/>
            <w:vAlign w:val="center"/>
          </w:tcPr>
          <w:p w14:paraId="4E63B6B2" w14:textId="77777777" w:rsidR="002A7D19" w:rsidRPr="0084316C" w:rsidRDefault="002A7D19" w:rsidP="003A31ED">
            <w:pPr>
              <w:spacing w:after="0"/>
              <w:ind w:right="-115"/>
              <w:jc w:val="center"/>
              <w:rPr>
                <w:rFonts w:eastAsia="Times New Roman" w:cs="Arial"/>
                <w:sz w:val="20"/>
                <w:szCs w:val="20"/>
              </w:rPr>
            </w:pPr>
            <w:r w:rsidRPr="0084316C">
              <w:rPr>
                <w:rFonts w:eastAsia="Times New Roman" w:cs="Arial"/>
                <w:sz w:val="20"/>
                <w:szCs w:val="20"/>
              </w:rPr>
              <w:t>1,22</w:t>
            </w:r>
            <w:r>
              <w:rPr>
                <w:rFonts w:eastAsia="Times New Roman" w:cs="Arial"/>
                <w:sz w:val="20"/>
                <w:szCs w:val="20"/>
              </w:rPr>
              <w:t>3</w:t>
            </w:r>
            <w:r w:rsidRPr="0084316C">
              <w:rPr>
                <w:rFonts w:eastAsia="Times New Roman" w:cs="Arial"/>
                <w:sz w:val="20"/>
                <w:szCs w:val="20"/>
              </w:rPr>
              <w:t xml:space="preserve"> to 218</w:t>
            </w:r>
            <w:r>
              <w:rPr>
                <w:rFonts w:eastAsia="Times New Roman" w:cs="Arial"/>
                <w:sz w:val="20"/>
                <w:szCs w:val="20"/>
              </w:rPr>
              <w:t>2</w:t>
            </w:r>
          </w:p>
        </w:tc>
        <w:tc>
          <w:tcPr>
            <w:tcW w:w="1058" w:type="dxa"/>
            <w:vMerge w:val="restart"/>
            <w:vAlign w:val="center"/>
          </w:tcPr>
          <w:p w14:paraId="6264A075" w14:textId="77777777" w:rsidR="002A7D19" w:rsidRPr="0084316C" w:rsidRDefault="002A7D19" w:rsidP="003A31ED">
            <w:pPr>
              <w:spacing w:after="0"/>
              <w:ind w:right="-115"/>
              <w:jc w:val="center"/>
              <w:rPr>
                <w:rFonts w:eastAsia="Times New Roman" w:cs="Arial"/>
                <w:sz w:val="20"/>
                <w:szCs w:val="20"/>
              </w:rPr>
            </w:pPr>
            <w:r w:rsidRPr="0084316C">
              <w:rPr>
                <w:rFonts w:eastAsia="Times New Roman" w:cs="Arial"/>
                <w:sz w:val="20"/>
                <w:szCs w:val="20"/>
              </w:rPr>
              <w:t>1,60</w:t>
            </w:r>
            <w:r>
              <w:rPr>
                <w:rFonts w:eastAsia="Times New Roman" w:cs="Arial"/>
                <w:sz w:val="20"/>
                <w:szCs w:val="20"/>
              </w:rPr>
              <w:t>6</w:t>
            </w:r>
            <w:r w:rsidRPr="0084316C">
              <w:rPr>
                <w:rFonts w:eastAsia="Times New Roman" w:cs="Arial"/>
                <w:sz w:val="20"/>
                <w:szCs w:val="20"/>
              </w:rPr>
              <w:t xml:space="preserve"> to 2,756</w:t>
            </w:r>
          </w:p>
        </w:tc>
        <w:tc>
          <w:tcPr>
            <w:tcW w:w="699" w:type="dxa"/>
            <w:vAlign w:val="center"/>
          </w:tcPr>
          <w:p w14:paraId="496C8185" w14:textId="77777777" w:rsidR="002A7D19" w:rsidRPr="0084316C" w:rsidRDefault="002A7D19" w:rsidP="003A31ED">
            <w:pPr>
              <w:spacing w:after="0"/>
              <w:ind w:right="-115"/>
              <w:jc w:val="center"/>
              <w:rPr>
                <w:rFonts w:eastAsia="Times New Roman" w:cs="Arial"/>
                <w:sz w:val="20"/>
                <w:szCs w:val="20"/>
              </w:rPr>
            </w:pPr>
            <w:r w:rsidRPr="0084316C">
              <w:rPr>
                <w:rFonts w:eastAsia="Times New Roman" w:cs="Arial"/>
                <w:sz w:val="20"/>
                <w:szCs w:val="20"/>
              </w:rPr>
              <w:t>140</w:t>
            </w:r>
            <w:r>
              <w:rPr>
                <w:rFonts w:eastAsia="Times New Roman" w:cs="Arial"/>
                <w:sz w:val="20"/>
                <w:szCs w:val="20"/>
              </w:rPr>
              <w:t>5</w:t>
            </w:r>
          </w:p>
        </w:tc>
        <w:tc>
          <w:tcPr>
            <w:tcW w:w="699" w:type="dxa"/>
            <w:vAlign w:val="center"/>
          </w:tcPr>
          <w:p w14:paraId="62B19D10" w14:textId="77777777" w:rsidR="002A7D19" w:rsidRPr="0084316C" w:rsidRDefault="002A7D19" w:rsidP="003A31ED">
            <w:pPr>
              <w:spacing w:after="0"/>
              <w:ind w:right="-115"/>
              <w:rPr>
                <w:rFonts w:eastAsia="Times New Roman" w:cs="Arial"/>
                <w:sz w:val="20"/>
                <w:szCs w:val="20"/>
              </w:rPr>
            </w:pPr>
            <w:r w:rsidRPr="0084316C">
              <w:rPr>
                <w:rFonts w:eastAsia="Times New Roman" w:cs="Arial"/>
                <w:sz w:val="20"/>
                <w:szCs w:val="20"/>
              </w:rPr>
              <w:t>141</w:t>
            </w:r>
            <w:r>
              <w:rPr>
                <w:rFonts w:eastAsia="Times New Roman" w:cs="Arial"/>
                <w:sz w:val="20"/>
                <w:szCs w:val="20"/>
              </w:rPr>
              <w:t>1</w:t>
            </w:r>
          </w:p>
        </w:tc>
        <w:tc>
          <w:tcPr>
            <w:tcW w:w="699" w:type="dxa"/>
            <w:vAlign w:val="center"/>
          </w:tcPr>
          <w:p w14:paraId="52E34F2B" w14:textId="77777777" w:rsidR="002A7D19" w:rsidRPr="0084316C" w:rsidRDefault="002A7D19" w:rsidP="003A31ED">
            <w:pPr>
              <w:spacing w:after="0"/>
              <w:ind w:right="36"/>
              <w:jc w:val="center"/>
              <w:rPr>
                <w:rFonts w:eastAsia="Times New Roman" w:cs="Arial"/>
                <w:sz w:val="20"/>
                <w:szCs w:val="20"/>
              </w:rPr>
            </w:pPr>
            <w:r w:rsidRPr="0084316C">
              <w:rPr>
                <w:rFonts w:eastAsia="Times New Roman" w:cs="Arial"/>
                <w:sz w:val="20"/>
                <w:szCs w:val="20"/>
              </w:rPr>
              <w:t>926</w:t>
            </w:r>
          </w:p>
        </w:tc>
        <w:tc>
          <w:tcPr>
            <w:tcW w:w="699" w:type="dxa"/>
            <w:vAlign w:val="center"/>
          </w:tcPr>
          <w:p w14:paraId="75611516" w14:textId="77777777" w:rsidR="002A7D19" w:rsidRPr="0084316C" w:rsidRDefault="002A7D19" w:rsidP="003A31ED">
            <w:pPr>
              <w:spacing w:after="0"/>
              <w:ind w:right="-115"/>
              <w:jc w:val="center"/>
              <w:rPr>
                <w:rFonts w:eastAsia="Times New Roman" w:cs="Arial"/>
                <w:sz w:val="20"/>
                <w:szCs w:val="20"/>
              </w:rPr>
            </w:pPr>
            <w:r w:rsidRPr="0084316C">
              <w:rPr>
                <w:rFonts w:eastAsia="Times New Roman" w:cs="Arial"/>
                <w:sz w:val="20"/>
                <w:szCs w:val="20"/>
              </w:rPr>
              <w:t>99</w:t>
            </w:r>
            <w:r>
              <w:rPr>
                <w:rFonts w:eastAsia="Times New Roman" w:cs="Arial"/>
                <w:sz w:val="20"/>
                <w:szCs w:val="20"/>
              </w:rPr>
              <w:t>8</w:t>
            </w:r>
          </w:p>
        </w:tc>
        <w:tc>
          <w:tcPr>
            <w:tcW w:w="699" w:type="dxa"/>
            <w:vAlign w:val="center"/>
          </w:tcPr>
          <w:p w14:paraId="2872DF7C" w14:textId="77777777" w:rsidR="002A7D19" w:rsidRPr="006A14E9" w:rsidRDefault="002A7D19" w:rsidP="003A31ED">
            <w:pPr>
              <w:spacing w:after="0"/>
              <w:ind w:right="27"/>
              <w:jc w:val="center"/>
              <w:rPr>
                <w:rFonts w:eastAsia="Times New Roman" w:cs="Arial"/>
                <w:sz w:val="20"/>
                <w:szCs w:val="20"/>
              </w:rPr>
            </w:pPr>
            <w:r w:rsidRPr="00BF2B0E">
              <w:rPr>
                <w:rFonts w:eastAsia="Times New Roman" w:cs="Arial"/>
                <w:sz w:val="20"/>
                <w:szCs w:val="20"/>
              </w:rPr>
              <w:t>1159</w:t>
            </w:r>
          </w:p>
        </w:tc>
        <w:tc>
          <w:tcPr>
            <w:tcW w:w="699" w:type="dxa"/>
            <w:vAlign w:val="center"/>
          </w:tcPr>
          <w:p w14:paraId="59F46080" w14:textId="77777777" w:rsidR="002A7D19" w:rsidRPr="006A14E9" w:rsidRDefault="002A7D19" w:rsidP="003A31ED">
            <w:pPr>
              <w:spacing w:after="0"/>
              <w:ind w:right="27"/>
              <w:jc w:val="center"/>
              <w:rPr>
                <w:rFonts w:eastAsia="Times New Roman" w:cs="Arial"/>
                <w:sz w:val="20"/>
                <w:szCs w:val="20"/>
              </w:rPr>
            </w:pPr>
            <w:r w:rsidRPr="00BF2B0E">
              <w:rPr>
                <w:rFonts w:eastAsia="Times New Roman" w:cs="Arial"/>
                <w:sz w:val="20"/>
                <w:szCs w:val="20"/>
              </w:rPr>
              <w:t>1338</w:t>
            </w:r>
          </w:p>
        </w:tc>
        <w:tc>
          <w:tcPr>
            <w:tcW w:w="699" w:type="dxa"/>
            <w:vAlign w:val="center"/>
          </w:tcPr>
          <w:p w14:paraId="0F270125" w14:textId="77777777" w:rsidR="002A7D19" w:rsidRPr="006A14E9" w:rsidRDefault="002A7D19" w:rsidP="003A31ED">
            <w:pPr>
              <w:spacing w:after="0"/>
              <w:ind w:right="34"/>
              <w:jc w:val="center"/>
              <w:rPr>
                <w:rFonts w:eastAsia="Times New Roman" w:cs="Arial"/>
                <w:sz w:val="20"/>
                <w:szCs w:val="20"/>
              </w:rPr>
            </w:pPr>
            <w:r w:rsidRPr="00BF2B0E">
              <w:rPr>
                <w:rFonts w:eastAsia="Times New Roman" w:cs="Arial"/>
                <w:sz w:val="20"/>
                <w:szCs w:val="20"/>
              </w:rPr>
              <w:t>141</w:t>
            </w:r>
            <w:r>
              <w:rPr>
                <w:rFonts w:eastAsia="Times New Roman" w:cs="Arial"/>
                <w:sz w:val="20"/>
                <w:szCs w:val="20"/>
              </w:rPr>
              <w:t>1</w:t>
            </w:r>
          </w:p>
        </w:tc>
        <w:tc>
          <w:tcPr>
            <w:tcW w:w="700" w:type="dxa"/>
            <w:vAlign w:val="center"/>
          </w:tcPr>
          <w:p w14:paraId="66639878" w14:textId="77777777" w:rsidR="002A7D19" w:rsidRPr="006A14E9" w:rsidRDefault="002A7D19" w:rsidP="003A31ED">
            <w:pPr>
              <w:spacing w:after="0"/>
              <w:ind w:right="34"/>
              <w:jc w:val="center"/>
              <w:rPr>
                <w:rFonts w:eastAsia="Times New Roman" w:cs="Arial"/>
                <w:sz w:val="20"/>
                <w:szCs w:val="20"/>
              </w:rPr>
            </w:pPr>
            <w:r w:rsidRPr="00BF2B0E">
              <w:rPr>
                <w:rFonts w:eastAsia="Times New Roman" w:cs="Arial"/>
                <w:sz w:val="20"/>
                <w:szCs w:val="20"/>
              </w:rPr>
              <w:t>129</w:t>
            </w:r>
            <w:r>
              <w:rPr>
                <w:rFonts w:eastAsia="Times New Roman" w:cs="Arial"/>
                <w:sz w:val="20"/>
                <w:szCs w:val="20"/>
              </w:rPr>
              <w:t>6</w:t>
            </w:r>
          </w:p>
        </w:tc>
        <w:tc>
          <w:tcPr>
            <w:tcW w:w="1049" w:type="dxa"/>
          </w:tcPr>
          <w:p w14:paraId="15DD1DFF" w14:textId="77777777" w:rsidR="002A7D19" w:rsidRPr="00BF2B0E" w:rsidRDefault="002A7D19" w:rsidP="003A31ED">
            <w:pPr>
              <w:spacing w:after="0"/>
              <w:ind w:right="34"/>
              <w:jc w:val="center"/>
              <w:rPr>
                <w:rFonts w:eastAsia="Times New Roman" w:cs="Arial"/>
                <w:sz w:val="20"/>
                <w:szCs w:val="20"/>
              </w:rPr>
            </w:pPr>
            <w:r>
              <w:rPr>
                <w:rFonts w:eastAsia="Times New Roman" w:cs="Arial"/>
                <w:sz w:val="20"/>
                <w:szCs w:val="20"/>
              </w:rPr>
              <w:t>1711 to 1986</w:t>
            </w:r>
          </w:p>
        </w:tc>
        <w:tc>
          <w:tcPr>
            <w:tcW w:w="1050" w:type="dxa"/>
          </w:tcPr>
          <w:p w14:paraId="5ED4706A" w14:textId="77777777" w:rsidR="002A7D19" w:rsidRPr="00BF2B0E" w:rsidRDefault="002A7D19" w:rsidP="003A31ED">
            <w:pPr>
              <w:spacing w:after="0"/>
              <w:ind w:right="34"/>
              <w:jc w:val="center"/>
              <w:rPr>
                <w:rFonts w:eastAsia="Times New Roman" w:cs="Arial"/>
                <w:sz w:val="20"/>
                <w:szCs w:val="20"/>
              </w:rPr>
            </w:pPr>
            <w:r>
              <w:rPr>
                <w:rFonts w:eastAsia="Times New Roman" w:cs="Arial"/>
                <w:sz w:val="20"/>
                <w:szCs w:val="20"/>
              </w:rPr>
              <w:t>1865 to 2213</w:t>
            </w:r>
          </w:p>
        </w:tc>
        <w:tc>
          <w:tcPr>
            <w:tcW w:w="1049" w:type="dxa"/>
          </w:tcPr>
          <w:p w14:paraId="16E975DE" w14:textId="77777777" w:rsidR="002A7D19" w:rsidRDefault="002A7D19" w:rsidP="003A31ED">
            <w:pPr>
              <w:spacing w:after="0"/>
              <w:ind w:right="34"/>
              <w:jc w:val="center"/>
              <w:rPr>
                <w:rFonts w:eastAsia="Times New Roman" w:cs="Arial"/>
                <w:sz w:val="20"/>
                <w:szCs w:val="20"/>
              </w:rPr>
            </w:pPr>
            <w:r>
              <w:rPr>
                <w:rFonts w:eastAsia="Times New Roman" w:cs="Arial"/>
                <w:sz w:val="20"/>
                <w:szCs w:val="20"/>
              </w:rPr>
              <w:t>2239 to 2550</w:t>
            </w:r>
          </w:p>
        </w:tc>
        <w:tc>
          <w:tcPr>
            <w:tcW w:w="1050" w:type="dxa"/>
          </w:tcPr>
          <w:p w14:paraId="155B7395" w14:textId="77777777" w:rsidR="002A7D19" w:rsidRDefault="002A7D19" w:rsidP="003A31ED">
            <w:pPr>
              <w:spacing w:after="0"/>
              <w:ind w:right="34"/>
              <w:jc w:val="center"/>
              <w:rPr>
                <w:rFonts w:eastAsia="Times New Roman" w:cs="Arial"/>
                <w:sz w:val="20"/>
                <w:szCs w:val="20"/>
              </w:rPr>
            </w:pPr>
            <w:r>
              <w:rPr>
                <w:rFonts w:eastAsia="Times New Roman" w:cs="Arial"/>
                <w:sz w:val="20"/>
                <w:szCs w:val="20"/>
              </w:rPr>
              <w:t xml:space="preserve">2270 to </w:t>
            </w:r>
            <w:r w:rsidRPr="007D1C4D">
              <w:rPr>
                <w:rFonts w:eastAsia="Times New Roman" w:cs="Arial"/>
                <w:sz w:val="20"/>
                <w:szCs w:val="20"/>
              </w:rPr>
              <w:t>2799</w:t>
            </w:r>
          </w:p>
        </w:tc>
      </w:tr>
      <w:tr w:rsidR="002A7D19" w:rsidRPr="006A14E9" w14:paraId="71A2859D" w14:textId="77777777" w:rsidTr="003A31ED">
        <w:tc>
          <w:tcPr>
            <w:tcW w:w="802" w:type="dxa"/>
            <w:vAlign w:val="center"/>
          </w:tcPr>
          <w:p w14:paraId="4198AB17" w14:textId="77777777" w:rsidR="002A7D19" w:rsidRPr="006A14E9" w:rsidRDefault="002A7D19" w:rsidP="003A31ED">
            <w:pPr>
              <w:spacing w:after="0"/>
              <w:ind w:right="-1346"/>
              <w:rPr>
                <w:rFonts w:eastAsia="Times New Roman" w:cs="Arial"/>
                <w:sz w:val="20"/>
                <w:szCs w:val="20"/>
              </w:rPr>
            </w:pPr>
            <w:r w:rsidRPr="006A14E9">
              <w:rPr>
                <w:rFonts w:eastAsia="Times New Roman" w:cs="Arial"/>
                <w:sz w:val="20"/>
                <w:szCs w:val="20"/>
              </w:rPr>
              <w:t>31-50 yr</w:t>
            </w:r>
          </w:p>
        </w:tc>
        <w:tc>
          <w:tcPr>
            <w:tcW w:w="1018" w:type="dxa"/>
            <w:vMerge/>
            <w:vAlign w:val="center"/>
          </w:tcPr>
          <w:p w14:paraId="18E86A4C" w14:textId="77777777" w:rsidR="002A7D19" w:rsidRPr="0084316C" w:rsidRDefault="002A7D19" w:rsidP="003A31ED">
            <w:pPr>
              <w:spacing w:after="0"/>
              <w:ind w:right="38"/>
              <w:rPr>
                <w:rFonts w:eastAsia="Times New Roman" w:cs="Arial"/>
                <w:sz w:val="20"/>
                <w:szCs w:val="20"/>
              </w:rPr>
            </w:pPr>
          </w:p>
        </w:tc>
        <w:tc>
          <w:tcPr>
            <w:tcW w:w="1010" w:type="dxa"/>
            <w:vMerge/>
            <w:vAlign w:val="center"/>
          </w:tcPr>
          <w:p w14:paraId="2742B064" w14:textId="77777777" w:rsidR="002A7D19" w:rsidRPr="0084316C" w:rsidRDefault="002A7D19" w:rsidP="003A31ED">
            <w:pPr>
              <w:spacing w:after="0"/>
              <w:ind w:right="-115"/>
              <w:jc w:val="center"/>
              <w:rPr>
                <w:rFonts w:eastAsia="Times New Roman" w:cs="Arial"/>
                <w:sz w:val="20"/>
                <w:szCs w:val="20"/>
              </w:rPr>
            </w:pPr>
          </w:p>
        </w:tc>
        <w:tc>
          <w:tcPr>
            <w:tcW w:w="1058" w:type="dxa"/>
            <w:vMerge/>
            <w:vAlign w:val="center"/>
          </w:tcPr>
          <w:p w14:paraId="4475AA72" w14:textId="77777777" w:rsidR="002A7D19" w:rsidRPr="0084316C" w:rsidRDefault="002A7D19" w:rsidP="003A31ED">
            <w:pPr>
              <w:spacing w:after="0"/>
              <w:ind w:right="-115"/>
              <w:jc w:val="center"/>
              <w:rPr>
                <w:rFonts w:eastAsia="Times New Roman" w:cs="Arial"/>
                <w:sz w:val="20"/>
                <w:szCs w:val="20"/>
              </w:rPr>
            </w:pPr>
          </w:p>
        </w:tc>
        <w:tc>
          <w:tcPr>
            <w:tcW w:w="699" w:type="dxa"/>
            <w:vAlign w:val="center"/>
          </w:tcPr>
          <w:p w14:paraId="7118A124" w14:textId="77777777" w:rsidR="002A7D19" w:rsidRPr="0084316C" w:rsidRDefault="002A7D19" w:rsidP="003A31ED">
            <w:pPr>
              <w:spacing w:after="0"/>
              <w:ind w:right="-115"/>
              <w:jc w:val="center"/>
              <w:rPr>
                <w:rFonts w:eastAsia="Times New Roman" w:cs="Arial"/>
                <w:sz w:val="20"/>
                <w:szCs w:val="20"/>
              </w:rPr>
            </w:pPr>
            <w:r w:rsidRPr="0084316C">
              <w:rPr>
                <w:rFonts w:eastAsia="Times New Roman" w:cs="Arial"/>
                <w:sz w:val="20"/>
                <w:szCs w:val="20"/>
              </w:rPr>
              <w:t>1395</w:t>
            </w:r>
          </w:p>
        </w:tc>
        <w:tc>
          <w:tcPr>
            <w:tcW w:w="699" w:type="dxa"/>
            <w:vAlign w:val="center"/>
          </w:tcPr>
          <w:p w14:paraId="58EAD817" w14:textId="77777777" w:rsidR="002A7D19" w:rsidRPr="0084316C" w:rsidRDefault="002A7D19" w:rsidP="003A31ED">
            <w:pPr>
              <w:spacing w:after="0"/>
              <w:ind w:right="-115"/>
              <w:rPr>
                <w:rFonts w:eastAsia="Times New Roman" w:cs="Arial"/>
                <w:sz w:val="20"/>
                <w:szCs w:val="20"/>
              </w:rPr>
            </w:pPr>
            <w:r w:rsidRPr="0084316C">
              <w:rPr>
                <w:rFonts w:eastAsia="Times New Roman" w:cs="Arial"/>
                <w:sz w:val="20"/>
                <w:szCs w:val="20"/>
              </w:rPr>
              <w:t>145</w:t>
            </w:r>
            <w:r>
              <w:rPr>
                <w:rFonts w:eastAsia="Times New Roman" w:cs="Arial"/>
                <w:sz w:val="20"/>
                <w:szCs w:val="20"/>
              </w:rPr>
              <w:t>2</w:t>
            </w:r>
          </w:p>
        </w:tc>
        <w:tc>
          <w:tcPr>
            <w:tcW w:w="699" w:type="dxa"/>
            <w:vAlign w:val="center"/>
          </w:tcPr>
          <w:p w14:paraId="4470C77E" w14:textId="77777777" w:rsidR="002A7D19" w:rsidRPr="0084316C" w:rsidRDefault="002A7D19" w:rsidP="003A31ED">
            <w:pPr>
              <w:spacing w:after="0"/>
              <w:ind w:right="36"/>
              <w:jc w:val="center"/>
              <w:rPr>
                <w:rFonts w:eastAsia="Times New Roman" w:cs="Arial"/>
                <w:sz w:val="20"/>
                <w:szCs w:val="20"/>
              </w:rPr>
            </w:pPr>
            <w:r w:rsidRPr="0084316C">
              <w:rPr>
                <w:rFonts w:eastAsia="Times New Roman" w:cs="Arial"/>
                <w:sz w:val="20"/>
                <w:szCs w:val="20"/>
              </w:rPr>
              <w:t>91</w:t>
            </w:r>
            <w:r>
              <w:rPr>
                <w:rFonts w:eastAsia="Times New Roman" w:cs="Arial"/>
                <w:sz w:val="20"/>
                <w:szCs w:val="20"/>
              </w:rPr>
              <w:t>9</w:t>
            </w:r>
          </w:p>
        </w:tc>
        <w:tc>
          <w:tcPr>
            <w:tcW w:w="699" w:type="dxa"/>
            <w:vAlign w:val="center"/>
          </w:tcPr>
          <w:p w14:paraId="35A1FE26" w14:textId="77777777" w:rsidR="002A7D19" w:rsidRPr="0084316C" w:rsidRDefault="002A7D19" w:rsidP="003A31ED">
            <w:pPr>
              <w:spacing w:after="0"/>
              <w:ind w:right="-115"/>
              <w:jc w:val="center"/>
              <w:rPr>
                <w:rFonts w:eastAsia="Times New Roman" w:cs="Arial"/>
                <w:sz w:val="20"/>
                <w:szCs w:val="20"/>
              </w:rPr>
            </w:pPr>
            <w:r w:rsidRPr="0084316C">
              <w:rPr>
                <w:rFonts w:eastAsia="Times New Roman" w:cs="Arial"/>
                <w:sz w:val="20"/>
                <w:szCs w:val="20"/>
              </w:rPr>
              <w:t>104</w:t>
            </w:r>
            <w:r>
              <w:rPr>
                <w:rFonts w:eastAsia="Times New Roman" w:cs="Arial"/>
                <w:sz w:val="20"/>
                <w:szCs w:val="20"/>
              </w:rPr>
              <w:t>4</w:t>
            </w:r>
          </w:p>
        </w:tc>
        <w:tc>
          <w:tcPr>
            <w:tcW w:w="699" w:type="dxa"/>
            <w:vAlign w:val="center"/>
          </w:tcPr>
          <w:p w14:paraId="229FB553" w14:textId="77777777" w:rsidR="002A7D19" w:rsidRPr="006A14E9" w:rsidRDefault="002A7D19" w:rsidP="003A31ED">
            <w:pPr>
              <w:spacing w:after="0"/>
              <w:ind w:right="27"/>
              <w:jc w:val="center"/>
              <w:rPr>
                <w:rFonts w:eastAsia="Times New Roman" w:cs="Arial"/>
                <w:sz w:val="20"/>
                <w:szCs w:val="20"/>
              </w:rPr>
            </w:pPr>
            <w:r w:rsidRPr="00BF2B0E">
              <w:rPr>
                <w:rFonts w:eastAsia="Times New Roman" w:cs="Arial"/>
                <w:sz w:val="20"/>
                <w:szCs w:val="20"/>
              </w:rPr>
              <w:t>11</w:t>
            </w:r>
            <w:r>
              <w:rPr>
                <w:rFonts w:eastAsia="Times New Roman" w:cs="Arial"/>
                <w:sz w:val="20"/>
                <w:szCs w:val="20"/>
              </w:rPr>
              <w:t>40</w:t>
            </w:r>
          </w:p>
        </w:tc>
        <w:tc>
          <w:tcPr>
            <w:tcW w:w="699" w:type="dxa"/>
            <w:vAlign w:val="center"/>
          </w:tcPr>
          <w:p w14:paraId="63FBE97F" w14:textId="77777777" w:rsidR="002A7D19" w:rsidRPr="006A14E9" w:rsidRDefault="002A7D19" w:rsidP="003A31ED">
            <w:pPr>
              <w:spacing w:after="0"/>
              <w:ind w:right="27"/>
              <w:jc w:val="center"/>
              <w:rPr>
                <w:rFonts w:eastAsia="Times New Roman" w:cs="Arial"/>
                <w:sz w:val="20"/>
                <w:szCs w:val="20"/>
              </w:rPr>
            </w:pPr>
            <w:r w:rsidRPr="00BF2B0E">
              <w:rPr>
                <w:rFonts w:eastAsia="Times New Roman" w:cs="Arial"/>
                <w:sz w:val="20"/>
                <w:szCs w:val="20"/>
              </w:rPr>
              <w:t>138</w:t>
            </w:r>
            <w:r>
              <w:rPr>
                <w:rFonts w:eastAsia="Times New Roman" w:cs="Arial"/>
                <w:sz w:val="20"/>
                <w:szCs w:val="20"/>
              </w:rPr>
              <w:t>1</w:t>
            </w:r>
          </w:p>
        </w:tc>
        <w:tc>
          <w:tcPr>
            <w:tcW w:w="699" w:type="dxa"/>
            <w:vAlign w:val="center"/>
          </w:tcPr>
          <w:p w14:paraId="52399DC1" w14:textId="77777777" w:rsidR="002A7D19" w:rsidRPr="006A14E9" w:rsidRDefault="002A7D19" w:rsidP="003A31ED">
            <w:pPr>
              <w:spacing w:after="0"/>
              <w:ind w:right="-115"/>
              <w:jc w:val="center"/>
              <w:rPr>
                <w:rFonts w:eastAsia="Times New Roman" w:cs="Arial"/>
                <w:sz w:val="20"/>
                <w:szCs w:val="20"/>
              </w:rPr>
            </w:pPr>
            <w:r w:rsidRPr="00BF2B0E">
              <w:rPr>
                <w:rFonts w:eastAsia="Times New Roman" w:cs="Arial"/>
                <w:sz w:val="20"/>
                <w:szCs w:val="20"/>
              </w:rPr>
              <w:t>145</w:t>
            </w:r>
            <w:r>
              <w:rPr>
                <w:rFonts w:eastAsia="Times New Roman" w:cs="Arial"/>
                <w:sz w:val="20"/>
                <w:szCs w:val="20"/>
              </w:rPr>
              <w:t>2</w:t>
            </w:r>
          </w:p>
        </w:tc>
        <w:tc>
          <w:tcPr>
            <w:tcW w:w="700" w:type="dxa"/>
            <w:vAlign w:val="center"/>
          </w:tcPr>
          <w:p w14:paraId="0765CF2E" w14:textId="77777777" w:rsidR="002A7D19" w:rsidRPr="006A14E9" w:rsidRDefault="002A7D19" w:rsidP="003A31ED">
            <w:pPr>
              <w:spacing w:after="0"/>
              <w:ind w:right="34"/>
              <w:jc w:val="center"/>
              <w:rPr>
                <w:rFonts w:eastAsia="Times New Roman" w:cs="Arial"/>
                <w:sz w:val="20"/>
                <w:szCs w:val="20"/>
              </w:rPr>
            </w:pPr>
            <w:r w:rsidRPr="00BF2B0E">
              <w:rPr>
                <w:rFonts w:eastAsia="Times New Roman" w:cs="Arial"/>
                <w:sz w:val="20"/>
                <w:szCs w:val="20"/>
              </w:rPr>
              <w:t>131</w:t>
            </w:r>
            <w:r>
              <w:rPr>
                <w:rFonts w:eastAsia="Times New Roman" w:cs="Arial"/>
                <w:sz w:val="20"/>
                <w:szCs w:val="20"/>
              </w:rPr>
              <w:t>8</w:t>
            </w:r>
          </w:p>
        </w:tc>
        <w:tc>
          <w:tcPr>
            <w:tcW w:w="1049" w:type="dxa"/>
          </w:tcPr>
          <w:p w14:paraId="67C9D7EC" w14:textId="77777777" w:rsidR="002A7D19" w:rsidRPr="00BF2B0E" w:rsidRDefault="002A7D19" w:rsidP="003A31ED">
            <w:pPr>
              <w:spacing w:after="0"/>
              <w:ind w:right="34"/>
              <w:jc w:val="center"/>
              <w:rPr>
                <w:rFonts w:eastAsia="Times New Roman" w:cs="Arial"/>
                <w:sz w:val="20"/>
                <w:szCs w:val="20"/>
              </w:rPr>
            </w:pPr>
            <w:r>
              <w:rPr>
                <w:rFonts w:eastAsia="Times New Roman" w:cs="Arial"/>
                <w:sz w:val="20"/>
                <w:szCs w:val="20"/>
              </w:rPr>
              <w:t>1580 to 1836</w:t>
            </w:r>
          </w:p>
        </w:tc>
        <w:tc>
          <w:tcPr>
            <w:tcW w:w="1050" w:type="dxa"/>
          </w:tcPr>
          <w:p w14:paraId="456D6C20" w14:textId="77777777" w:rsidR="002A7D19" w:rsidRPr="00BF2B0E" w:rsidRDefault="002A7D19" w:rsidP="003A31ED">
            <w:pPr>
              <w:spacing w:after="0"/>
              <w:ind w:right="34"/>
              <w:jc w:val="center"/>
              <w:rPr>
                <w:rFonts w:eastAsia="Times New Roman" w:cs="Arial"/>
                <w:sz w:val="20"/>
                <w:szCs w:val="20"/>
              </w:rPr>
            </w:pPr>
            <w:r w:rsidRPr="00041213">
              <w:rPr>
                <w:rFonts w:eastAsia="Times New Roman" w:cs="Arial"/>
                <w:sz w:val="20"/>
                <w:szCs w:val="20"/>
              </w:rPr>
              <w:t>1854</w:t>
            </w:r>
            <w:r>
              <w:rPr>
                <w:rFonts w:eastAsia="Times New Roman" w:cs="Arial"/>
                <w:sz w:val="20"/>
                <w:szCs w:val="20"/>
              </w:rPr>
              <w:t xml:space="preserve"> to </w:t>
            </w:r>
            <w:r w:rsidRPr="00041213">
              <w:rPr>
                <w:rFonts w:eastAsia="Times New Roman" w:cs="Arial"/>
                <w:sz w:val="20"/>
                <w:szCs w:val="20"/>
              </w:rPr>
              <w:t>2180</w:t>
            </w:r>
          </w:p>
        </w:tc>
        <w:tc>
          <w:tcPr>
            <w:tcW w:w="1049" w:type="dxa"/>
          </w:tcPr>
          <w:p w14:paraId="11D9D6FA" w14:textId="77777777" w:rsidR="002A7D19" w:rsidRPr="00BF2B0E" w:rsidRDefault="002A7D19" w:rsidP="003A31ED">
            <w:pPr>
              <w:spacing w:after="0"/>
              <w:ind w:right="34"/>
              <w:jc w:val="center"/>
              <w:rPr>
                <w:rFonts w:eastAsia="Times New Roman" w:cs="Arial"/>
                <w:sz w:val="20"/>
                <w:szCs w:val="20"/>
              </w:rPr>
            </w:pPr>
            <w:r>
              <w:rPr>
                <w:rFonts w:eastAsia="Times New Roman" w:cs="Arial"/>
                <w:sz w:val="20"/>
                <w:szCs w:val="20"/>
              </w:rPr>
              <w:t>1928 to 2150</w:t>
            </w:r>
          </w:p>
        </w:tc>
        <w:tc>
          <w:tcPr>
            <w:tcW w:w="1050" w:type="dxa"/>
          </w:tcPr>
          <w:p w14:paraId="6D18F601" w14:textId="77777777" w:rsidR="002A7D19" w:rsidRPr="00BF2B0E" w:rsidRDefault="002A7D19" w:rsidP="003A31ED">
            <w:pPr>
              <w:spacing w:after="0"/>
              <w:ind w:right="34"/>
              <w:jc w:val="center"/>
              <w:rPr>
                <w:rFonts w:eastAsia="Times New Roman" w:cs="Arial"/>
                <w:sz w:val="20"/>
                <w:szCs w:val="20"/>
              </w:rPr>
            </w:pPr>
            <w:r w:rsidRPr="00C72BC1">
              <w:rPr>
                <w:rFonts w:eastAsia="Times New Roman" w:cs="Arial"/>
                <w:sz w:val="20"/>
                <w:szCs w:val="20"/>
              </w:rPr>
              <w:t>2258</w:t>
            </w:r>
            <w:r>
              <w:rPr>
                <w:rFonts w:eastAsia="Times New Roman" w:cs="Arial"/>
                <w:sz w:val="20"/>
                <w:szCs w:val="20"/>
              </w:rPr>
              <w:t xml:space="preserve"> to </w:t>
            </w:r>
            <w:r w:rsidRPr="00C72BC1">
              <w:rPr>
                <w:rFonts w:eastAsia="Times New Roman" w:cs="Arial"/>
                <w:sz w:val="20"/>
                <w:szCs w:val="20"/>
              </w:rPr>
              <w:t>26</w:t>
            </w:r>
            <w:r>
              <w:rPr>
                <w:rFonts w:eastAsia="Times New Roman" w:cs="Arial"/>
                <w:sz w:val="20"/>
                <w:szCs w:val="20"/>
              </w:rPr>
              <w:t>5</w:t>
            </w:r>
            <w:r w:rsidRPr="00C72BC1">
              <w:rPr>
                <w:rFonts w:eastAsia="Times New Roman" w:cs="Arial"/>
                <w:sz w:val="20"/>
                <w:szCs w:val="20"/>
              </w:rPr>
              <w:t>6</w:t>
            </w:r>
          </w:p>
        </w:tc>
      </w:tr>
      <w:tr w:rsidR="002A7D19" w:rsidRPr="006A14E9" w14:paraId="5EE32B42" w14:textId="77777777" w:rsidTr="003A31ED">
        <w:tc>
          <w:tcPr>
            <w:tcW w:w="802" w:type="dxa"/>
            <w:vAlign w:val="center"/>
          </w:tcPr>
          <w:p w14:paraId="02ECBE9E" w14:textId="77777777" w:rsidR="002A7D19" w:rsidRPr="006A14E9" w:rsidRDefault="002A7D19" w:rsidP="003A31ED">
            <w:pPr>
              <w:spacing w:after="0"/>
              <w:ind w:right="-1346"/>
              <w:rPr>
                <w:rFonts w:eastAsia="Times New Roman" w:cs="Arial"/>
                <w:sz w:val="20"/>
                <w:szCs w:val="20"/>
              </w:rPr>
            </w:pPr>
            <w:r w:rsidRPr="006A14E9">
              <w:rPr>
                <w:rFonts w:eastAsia="Times New Roman" w:cs="Arial"/>
                <w:sz w:val="20"/>
                <w:szCs w:val="20"/>
              </w:rPr>
              <w:t>51-70 yr</w:t>
            </w:r>
          </w:p>
        </w:tc>
        <w:tc>
          <w:tcPr>
            <w:tcW w:w="1018" w:type="dxa"/>
            <w:vMerge/>
            <w:vAlign w:val="center"/>
          </w:tcPr>
          <w:p w14:paraId="4F595A23" w14:textId="77777777" w:rsidR="002A7D19" w:rsidRPr="006A14E9" w:rsidRDefault="002A7D19" w:rsidP="003A31ED">
            <w:pPr>
              <w:spacing w:after="0"/>
              <w:ind w:right="38"/>
              <w:rPr>
                <w:rFonts w:eastAsia="Times New Roman" w:cs="Arial"/>
                <w:sz w:val="20"/>
                <w:szCs w:val="20"/>
              </w:rPr>
            </w:pPr>
          </w:p>
        </w:tc>
        <w:tc>
          <w:tcPr>
            <w:tcW w:w="1010" w:type="dxa"/>
            <w:vMerge w:val="restart"/>
            <w:vAlign w:val="center"/>
          </w:tcPr>
          <w:p w14:paraId="31E3C709" w14:textId="77777777" w:rsidR="002A7D19" w:rsidRPr="006A14E9" w:rsidRDefault="002A7D19" w:rsidP="003A31ED">
            <w:pPr>
              <w:spacing w:after="0"/>
              <w:ind w:right="-115"/>
              <w:jc w:val="center"/>
              <w:rPr>
                <w:rFonts w:eastAsia="Times New Roman" w:cs="Arial"/>
                <w:sz w:val="20"/>
                <w:szCs w:val="20"/>
              </w:rPr>
            </w:pPr>
            <w:r>
              <w:rPr>
                <w:rFonts w:eastAsia="Times New Roman" w:cs="Arial"/>
                <w:sz w:val="20"/>
                <w:szCs w:val="20"/>
              </w:rPr>
              <w:t>1,223 to 1,798</w:t>
            </w:r>
          </w:p>
        </w:tc>
        <w:tc>
          <w:tcPr>
            <w:tcW w:w="1058" w:type="dxa"/>
            <w:vMerge w:val="restart"/>
            <w:vAlign w:val="center"/>
          </w:tcPr>
          <w:p w14:paraId="0A577858" w14:textId="77777777" w:rsidR="002A7D19" w:rsidRPr="006A14E9" w:rsidRDefault="002A7D19" w:rsidP="003A31ED">
            <w:pPr>
              <w:spacing w:after="0"/>
              <w:ind w:right="-115"/>
              <w:jc w:val="center"/>
              <w:rPr>
                <w:rFonts w:eastAsia="Times New Roman" w:cs="Arial"/>
                <w:sz w:val="20"/>
                <w:szCs w:val="20"/>
              </w:rPr>
            </w:pPr>
            <w:r>
              <w:rPr>
                <w:rFonts w:eastAsia="Times New Roman" w:cs="Arial"/>
                <w:sz w:val="20"/>
                <w:szCs w:val="20"/>
              </w:rPr>
              <w:t>1,222 to 2,181</w:t>
            </w:r>
          </w:p>
        </w:tc>
        <w:tc>
          <w:tcPr>
            <w:tcW w:w="699" w:type="dxa"/>
            <w:vAlign w:val="center"/>
          </w:tcPr>
          <w:p w14:paraId="58B073CD" w14:textId="77777777" w:rsidR="002A7D19" w:rsidRPr="006A14E9" w:rsidRDefault="002A7D19" w:rsidP="003A31ED">
            <w:pPr>
              <w:spacing w:after="0"/>
              <w:ind w:right="-115"/>
              <w:jc w:val="center"/>
              <w:rPr>
                <w:rFonts w:eastAsia="Times New Roman" w:cs="Arial"/>
                <w:sz w:val="20"/>
                <w:szCs w:val="20"/>
              </w:rPr>
            </w:pPr>
            <w:r w:rsidRPr="000C356C">
              <w:rPr>
                <w:rFonts w:eastAsia="Times New Roman" w:cs="Arial"/>
                <w:sz w:val="20"/>
                <w:szCs w:val="20"/>
              </w:rPr>
              <w:t>1330</w:t>
            </w:r>
          </w:p>
        </w:tc>
        <w:tc>
          <w:tcPr>
            <w:tcW w:w="699" w:type="dxa"/>
            <w:vAlign w:val="center"/>
          </w:tcPr>
          <w:p w14:paraId="04576348" w14:textId="77777777" w:rsidR="002A7D19" w:rsidRPr="006A14E9" w:rsidRDefault="002A7D19" w:rsidP="003A31ED">
            <w:pPr>
              <w:spacing w:after="0"/>
              <w:ind w:right="-115"/>
              <w:rPr>
                <w:rFonts w:eastAsia="Times New Roman" w:cs="Arial"/>
                <w:sz w:val="20"/>
                <w:szCs w:val="20"/>
              </w:rPr>
            </w:pPr>
            <w:r w:rsidRPr="00BF2B0E">
              <w:rPr>
                <w:rFonts w:eastAsia="Times New Roman" w:cs="Arial"/>
                <w:sz w:val="20"/>
                <w:szCs w:val="20"/>
              </w:rPr>
              <w:t>150</w:t>
            </w:r>
            <w:r>
              <w:rPr>
                <w:rFonts w:eastAsia="Times New Roman" w:cs="Arial"/>
                <w:sz w:val="20"/>
                <w:szCs w:val="20"/>
              </w:rPr>
              <w:t>2</w:t>
            </w:r>
          </w:p>
        </w:tc>
        <w:tc>
          <w:tcPr>
            <w:tcW w:w="699" w:type="dxa"/>
            <w:vAlign w:val="center"/>
          </w:tcPr>
          <w:p w14:paraId="27887289" w14:textId="77777777" w:rsidR="002A7D19" w:rsidRPr="006A14E9" w:rsidRDefault="002A7D19" w:rsidP="003A31ED">
            <w:pPr>
              <w:spacing w:after="0"/>
              <w:ind w:right="36"/>
              <w:jc w:val="center"/>
              <w:rPr>
                <w:rFonts w:eastAsia="Times New Roman" w:cs="Arial"/>
                <w:sz w:val="20"/>
                <w:szCs w:val="20"/>
              </w:rPr>
            </w:pPr>
            <w:r w:rsidRPr="00BF2B0E">
              <w:rPr>
                <w:rFonts w:eastAsia="Times New Roman" w:cs="Arial"/>
                <w:sz w:val="20"/>
                <w:szCs w:val="20"/>
              </w:rPr>
              <w:t>10</w:t>
            </w:r>
            <w:r>
              <w:rPr>
                <w:rFonts w:eastAsia="Times New Roman" w:cs="Arial"/>
                <w:sz w:val="20"/>
                <w:szCs w:val="20"/>
              </w:rPr>
              <w:t>30</w:t>
            </w:r>
          </w:p>
        </w:tc>
        <w:tc>
          <w:tcPr>
            <w:tcW w:w="699" w:type="dxa"/>
            <w:vAlign w:val="center"/>
          </w:tcPr>
          <w:p w14:paraId="389EC025" w14:textId="77777777" w:rsidR="002A7D19" w:rsidRPr="006A14E9" w:rsidRDefault="002A7D19" w:rsidP="003A31ED">
            <w:pPr>
              <w:spacing w:after="0"/>
              <w:ind w:right="-115"/>
              <w:jc w:val="center"/>
              <w:rPr>
                <w:rFonts w:eastAsia="Times New Roman" w:cs="Arial"/>
                <w:sz w:val="20"/>
                <w:szCs w:val="20"/>
              </w:rPr>
            </w:pPr>
            <w:r w:rsidRPr="00BF2B0E">
              <w:rPr>
                <w:rFonts w:eastAsia="Times New Roman" w:cs="Arial"/>
                <w:sz w:val="20"/>
                <w:szCs w:val="20"/>
              </w:rPr>
              <w:t>105</w:t>
            </w:r>
            <w:r>
              <w:rPr>
                <w:rFonts w:eastAsia="Times New Roman" w:cs="Arial"/>
                <w:sz w:val="20"/>
                <w:szCs w:val="20"/>
              </w:rPr>
              <w:t>3</w:t>
            </w:r>
          </w:p>
        </w:tc>
        <w:tc>
          <w:tcPr>
            <w:tcW w:w="699" w:type="dxa"/>
            <w:vAlign w:val="center"/>
          </w:tcPr>
          <w:p w14:paraId="3D3E2522" w14:textId="77777777" w:rsidR="002A7D19" w:rsidRPr="006A14E9" w:rsidRDefault="002A7D19" w:rsidP="003A31ED">
            <w:pPr>
              <w:spacing w:after="0"/>
              <w:ind w:right="27"/>
              <w:jc w:val="center"/>
              <w:rPr>
                <w:rFonts w:eastAsia="Times New Roman" w:cs="Arial"/>
                <w:sz w:val="20"/>
                <w:szCs w:val="20"/>
              </w:rPr>
            </w:pPr>
            <w:r w:rsidRPr="00BF2B0E">
              <w:rPr>
                <w:rFonts w:eastAsia="Times New Roman" w:cs="Arial"/>
                <w:sz w:val="20"/>
                <w:szCs w:val="20"/>
              </w:rPr>
              <w:t>1074</w:t>
            </w:r>
          </w:p>
        </w:tc>
        <w:tc>
          <w:tcPr>
            <w:tcW w:w="699" w:type="dxa"/>
            <w:vAlign w:val="center"/>
          </w:tcPr>
          <w:p w14:paraId="14234D17" w14:textId="77777777" w:rsidR="002A7D19" w:rsidRPr="006A14E9" w:rsidRDefault="002A7D19" w:rsidP="003A31ED">
            <w:pPr>
              <w:spacing w:after="0"/>
              <w:ind w:right="27"/>
              <w:jc w:val="center"/>
              <w:rPr>
                <w:rFonts w:eastAsia="Times New Roman" w:cs="Arial"/>
                <w:sz w:val="20"/>
                <w:szCs w:val="20"/>
              </w:rPr>
            </w:pPr>
            <w:r w:rsidRPr="00BF2B0E">
              <w:rPr>
                <w:rFonts w:eastAsia="Times New Roman" w:cs="Arial"/>
                <w:sz w:val="20"/>
                <w:szCs w:val="20"/>
              </w:rPr>
              <w:t>129</w:t>
            </w:r>
            <w:r>
              <w:rPr>
                <w:rFonts w:eastAsia="Times New Roman" w:cs="Arial"/>
                <w:sz w:val="20"/>
                <w:szCs w:val="20"/>
              </w:rPr>
              <w:t>8</w:t>
            </w:r>
          </w:p>
        </w:tc>
        <w:tc>
          <w:tcPr>
            <w:tcW w:w="699" w:type="dxa"/>
            <w:vAlign w:val="center"/>
          </w:tcPr>
          <w:p w14:paraId="295126A0" w14:textId="77777777" w:rsidR="002A7D19" w:rsidRPr="006A14E9" w:rsidRDefault="002A7D19" w:rsidP="003A31ED">
            <w:pPr>
              <w:spacing w:after="0"/>
              <w:ind w:right="-115"/>
              <w:jc w:val="center"/>
              <w:rPr>
                <w:rFonts w:eastAsia="Times New Roman" w:cs="Arial"/>
                <w:sz w:val="20"/>
                <w:szCs w:val="20"/>
              </w:rPr>
            </w:pPr>
            <w:r w:rsidRPr="00BF2B0E">
              <w:rPr>
                <w:rFonts w:eastAsia="Times New Roman" w:cs="Arial"/>
                <w:sz w:val="20"/>
                <w:szCs w:val="20"/>
              </w:rPr>
              <w:t>150</w:t>
            </w:r>
            <w:r>
              <w:rPr>
                <w:rFonts w:eastAsia="Times New Roman" w:cs="Arial"/>
                <w:sz w:val="20"/>
                <w:szCs w:val="20"/>
              </w:rPr>
              <w:t>2</w:t>
            </w:r>
          </w:p>
        </w:tc>
        <w:tc>
          <w:tcPr>
            <w:tcW w:w="700" w:type="dxa"/>
            <w:vAlign w:val="center"/>
          </w:tcPr>
          <w:p w14:paraId="2943959A" w14:textId="77777777" w:rsidR="002A7D19" w:rsidRPr="006A14E9" w:rsidRDefault="002A7D19" w:rsidP="003A31ED">
            <w:pPr>
              <w:spacing w:after="0"/>
              <w:ind w:right="34"/>
              <w:jc w:val="center"/>
              <w:rPr>
                <w:rFonts w:eastAsia="Times New Roman" w:cs="Arial"/>
                <w:sz w:val="20"/>
                <w:szCs w:val="20"/>
              </w:rPr>
            </w:pPr>
            <w:r w:rsidRPr="00BF2B0E">
              <w:rPr>
                <w:rFonts w:eastAsia="Times New Roman" w:cs="Arial"/>
                <w:sz w:val="20"/>
                <w:szCs w:val="20"/>
              </w:rPr>
              <w:t>134</w:t>
            </w:r>
            <w:r>
              <w:rPr>
                <w:rFonts w:eastAsia="Times New Roman" w:cs="Arial"/>
                <w:sz w:val="20"/>
                <w:szCs w:val="20"/>
              </w:rPr>
              <w:t>2</w:t>
            </w:r>
          </w:p>
        </w:tc>
        <w:tc>
          <w:tcPr>
            <w:tcW w:w="1049" w:type="dxa"/>
          </w:tcPr>
          <w:p w14:paraId="20CF07BE" w14:textId="77777777" w:rsidR="002A7D19" w:rsidRPr="00BF2B0E" w:rsidRDefault="002A7D19" w:rsidP="003A31ED">
            <w:pPr>
              <w:spacing w:after="0"/>
              <w:ind w:right="34"/>
              <w:jc w:val="center"/>
              <w:rPr>
                <w:rFonts w:eastAsia="Times New Roman" w:cs="Arial"/>
                <w:sz w:val="20"/>
                <w:szCs w:val="20"/>
              </w:rPr>
            </w:pPr>
            <w:r>
              <w:rPr>
                <w:rFonts w:eastAsia="Times New Roman" w:cs="Arial"/>
                <w:sz w:val="20"/>
                <w:szCs w:val="20"/>
              </w:rPr>
              <w:t>1482 to 1817</w:t>
            </w:r>
          </w:p>
        </w:tc>
        <w:tc>
          <w:tcPr>
            <w:tcW w:w="1050" w:type="dxa"/>
          </w:tcPr>
          <w:p w14:paraId="4168D2D9" w14:textId="77777777" w:rsidR="002A7D19" w:rsidRPr="00BF2B0E" w:rsidRDefault="002A7D19" w:rsidP="003A31ED">
            <w:pPr>
              <w:spacing w:after="0"/>
              <w:ind w:right="34"/>
              <w:jc w:val="center"/>
              <w:rPr>
                <w:rFonts w:eastAsia="Times New Roman" w:cs="Arial"/>
                <w:sz w:val="20"/>
                <w:szCs w:val="20"/>
              </w:rPr>
            </w:pPr>
            <w:r>
              <w:rPr>
                <w:rFonts w:eastAsia="Times New Roman" w:cs="Arial"/>
                <w:sz w:val="20"/>
                <w:szCs w:val="20"/>
              </w:rPr>
              <w:t>1769 to 2066</w:t>
            </w:r>
          </w:p>
        </w:tc>
        <w:tc>
          <w:tcPr>
            <w:tcW w:w="1049" w:type="dxa"/>
          </w:tcPr>
          <w:p w14:paraId="6D6DABF7" w14:textId="77777777" w:rsidR="002A7D19" w:rsidRPr="00BF2B0E" w:rsidRDefault="002A7D19" w:rsidP="003A31ED">
            <w:pPr>
              <w:spacing w:after="0"/>
              <w:ind w:right="34"/>
              <w:jc w:val="center"/>
              <w:rPr>
                <w:rFonts w:eastAsia="Times New Roman" w:cs="Arial"/>
                <w:sz w:val="20"/>
                <w:szCs w:val="20"/>
              </w:rPr>
            </w:pPr>
            <w:r>
              <w:rPr>
                <w:rFonts w:eastAsia="Times New Roman" w:cs="Arial"/>
                <w:sz w:val="20"/>
                <w:szCs w:val="20"/>
              </w:rPr>
              <w:t xml:space="preserve">1933 to 2421 </w:t>
            </w:r>
          </w:p>
        </w:tc>
        <w:tc>
          <w:tcPr>
            <w:tcW w:w="1050" w:type="dxa"/>
          </w:tcPr>
          <w:p w14:paraId="236B1A78" w14:textId="77777777" w:rsidR="002A7D19" w:rsidRPr="00BF2B0E" w:rsidRDefault="002A7D19" w:rsidP="003A31ED">
            <w:pPr>
              <w:spacing w:after="0"/>
              <w:ind w:right="34"/>
              <w:jc w:val="center"/>
              <w:rPr>
                <w:rFonts w:eastAsia="Times New Roman" w:cs="Arial"/>
                <w:sz w:val="20"/>
                <w:szCs w:val="20"/>
              </w:rPr>
            </w:pPr>
            <w:r w:rsidRPr="00827123">
              <w:rPr>
                <w:rFonts w:eastAsia="Times New Roman" w:cs="Arial"/>
                <w:sz w:val="20"/>
                <w:szCs w:val="20"/>
              </w:rPr>
              <w:t>20</w:t>
            </w:r>
            <w:r>
              <w:rPr>
                <w:rFonts w:eastAsia="Times New Roman" w:cs="Arial"/>
                <w:sz w:val="20"/>
                <w:szCs w:val="20"/>
              </w:rPr>
              <w:t>18 to 2576</w:t>
            </w:r>
          </w:p>
        </w:tc>
      </w:tr>
      <w:tr w:rsidR="002A7D19" w:rsidRPr="006A14E9" w14:paraId="077FAD3C" w14:textId="77777777" w:rsidTr="003A31ED">
        <w:tc>
          <w:tcPr>
            <w:tcW w:w="802" w:type="dxa"/>
            <w:vAlign w:val="center"/>
          </w:tcPr>
          <w:p w14:paraId="4BFF6F9F" w14:textId="77777777" w:rsidR="002A7D19" w:rsidRPr="006A14E9" w:rsidRDefault="002A7D19" w:rsidP="003A31ED">
            <w:pPr>
              <w:spacing w:after="0"/>
              <w:ind w:right="-1346"/>
              <w:rPr>
                <w:rFonts w:eastAsia="Times New Roman" w:cs="Arial"/>
                <w:sz w:val="20"/>
                <w:szCs w:val="20"/>
              </w:rPr>
            </w:pPr>
            <w:r w:rsidRPr="006A14E9">
              <w:rPr>
                <w:rFonts w:eastAsia="Times New Roman" w:cs="Arial"/>
                <w:sz w:val="20"/>
                <w:szCs w:val="20"/>
              </w:rPr>
              <w:t>70+ yr</w:t>
            </w:r>
          </w:p>
        </w:tc>
        <w:tc>
          <w:tcPr>
            <w:tcW w:w="1018" w:type="dxa"/>
            <w:vMerge/>
            <w:vAlign w:val="center"/>
          </w:tcPr>
          <w:p w14:paraId="216A0F24" w14:textId="77777777" w:rsidR="002A7D19" w:rsidRPr="006A14E9" w:rsidRDefault="002A7D19" w:rsidP="003A31ED">
            <w:pPr>
              <w:spacing w:after="0"/>
              <w:ind w:right="38"/>
              <w:rPr>
                <w:rFonts w:eastAsia="Times New Roman" w:cs="Arial"/>
                <w:sz w:val="20"/>
                <w:szCs w:val="20"/>
              </w:rPr>
            </w:pPr>
          </w:p>
        </w:tc>
        <w:tc>
          <w:tcPr>
            <w:tcW w:w="1010" w:type="dxa"/>
            <w:vMerge/>
            <w:vAlign w:val="center"/>
          </w:tcPr>
          <w:p w14:paraId="7CD38C86" w14:textId="77777777" w:rsidR="002A7D19" w:rsidRPr="006A14E9" w:rsidRDefault="002A7D19" w:rsidP="003A31ED">
            <w:pPr>
              <w:spacing w:after="0"/>
              <w:ind w:right="-115"/>
              <w:rPr>
                <w:rFonts w:eastAsia="Times New Roman" w:cs="Arial"/>
                <w:sz w:val="20"/>
                <w:szCs w:val="20"/>
              </w:rPr>
            </w:pPr>
          </w:p>
        </w:tc>
        <w:tc>
          <w:tcPr>
            <w:tcW w:w="1058" w:type="dxa"/>
            <w:vMerge/>
            <w:vAlign w:val="center"/>
          </w:tcPr>
          <w:p w14:paraId="5AC2F693" w14:textId="77777777" w:rsidR="002A7D19" w:rsidRPr="006A14E9" w:rsidRDefault="002A7D19" w:rsidP="003A31ED">
            <w:pPr>
              <w:spacing w:after="0"/>
              <w:ind w:right="-115"/>
              <w:rPr>
                <w:rFonts w:eastAsia="Times New Roman" w:cs="Arial"/>
                <w:sz w:val="20"/>
                <w:szCs w:val="20"/>
              </w:rPr>
            </w:pPr>
          </w:p>
        </w:tc>
        <w:tc>
          <w:tcPr>
            <w:tcW w:w="699" w:type="dxa"/>
            <w:vAlign w:val="center"/>
          </w:tcPr>
          <w:p w14:paraId="047A5606" w14:textId="77777777" w:rsidR="002A7D19" w:rsidRPr="006A14E9" w:rsidRDefault="002A7D19" w:rsidP="003A31ED">
            <w:pPr>
              <w:spacing w:after="0"/>
              <w:ind w:right="-115"/>
              <w:jc w:val="center"/>
              <w:rPr>
                <w:rFonts w:eastAsia="Times New Roman" w:cs="Arial"/>
                <w:sz w:val="20"/>
                <w:szCs w:val="20"/>
              </w:rPr>
            </w:pPr>
            <w:r w:rsidRPr="000C356C">
              <w:rPr>
                <w:rFonts w:eastAsia="Times New Roman" w:cs="Arial"/>
                <w:sz w:val="20"/>
                <w:szCs w:val="20"/>
              </w:rPr>
              <w:t>1178</w:t>
            </w:r>
          </w:p>
        </w:tc>
        <w:tc>
          <w:tcPr>
            <w:tcW w:w="699" w:type="dxa"/>
            <w:vAlign w:val="center"/>
          </w:tcPr>
          <w:p w14:paraId="6442D7E1" w14:textId="77777777" w:rsidR="002A7D19" w:rsidRPr="006A14E9" w:rsidRDefault="002A7D19" w:rsidP="003A31ED">
            <w:pPr>
              <w:spacing w:after="0"/>
              <w:ind w:right="-115"/>
              <w:rPr>
                <w:rFonts w:eastAsia="Times New Roman" w:cs="Arial"/>
                <w:sz w:val="20"/>
                <w:szCs w:val="20"/>
              </w:rPr>
            </w:pPr>
            <w:r w:rsidRPr="00BF2B0E">
              <w:rPr>
                <w:rFonts w:eastAsia="Times New Roman" w:cs="Arial"/>
                <w:sz w:val="20"/>
                <w:szCs w:val="20"/>
              </w:rPr>
              <w:t>1265</w:t>
            </w:r>
          </w:p>
        </w:tc>
        <w:tc>
          <w:tcPr>
            <w:tcW w:w="699" w:type="dxa"/>
            <w:vAlign w:val="center"/>
          </w:tcPr>
          <w:p w14:paraId="7360B950" w14:textId="77777777" w:rsidR="002A7D19" w:rsidRPr="006A14E9" w:rsidRDefault="002A7D19" w:rsidP="003A31ED">
            <w:pPr>
              <w:spacing w:after="0"/>
              <w:ind w:right="-115"/>
              <w:jc w:val="center"/>
              <w:rPr>
                <w:rFonts w:eastAsia="Times New Roman" w:cs="Arial"/>
                <w:sz w:val="20"/>
                <w:szCs w:val="20"/>
              </w:rPr>
            </w:pPr>
            <w:r w:rsidRPr="00BF2B0E">
              <w:rPr>
                <w:rFonts w:eastAsia="Times New Roman" w:cs="Arial"/>
                <w:sz w:val="20"/>
                <w:szCs w:val="20"/>
              </w:rPr>
              <w:t>1014</w:t>
            </w:r>
          </w:p>
        </w:tc>
        <w:tc>
          <w:tcPr>
            <w:tcW w:w="699" w:type="dxa"/>
            <w:vAlign w:val="center"/>
          </w:tcPr>
          <w:p w14:paraId="60B22573" w14:textId="77777777" w:rsidR="002A7D19" w:rsidRPr="006A14E9" w:rsidRDefault="002A7D19" w:rsidP="003A31ED">
            <w:pPr>
              <w:spacing w:after="0"/>
              <w:ind w:right="-115"/>
              <w:jc w:val="center"/>
              <w:rPr>
                <w:rFonts w:eastAsia="Times New Roman" w:cs="Arial"/>
                <w:sz w:val="20"/>
                <w:szCs w:val="20"/>
              </w:rPr>
            </w:pPr>
            <w:r w:rsidRPr="00BF2B0E">
              <w:rPr>
                <w:rFonts w:eastAsia="Times New Roman" w:cs="Arial"/>
                <w:sz w:val="20"/>
                <w:szCs w:val="20"/>
              </w:rPr>
              <w:t>9</w:t>
            </w:r>
            <w:r>
              <w:rPr>
                <w:rFonts w:eastAsia="Times New Roman" w:cs="Arial"/>
                <w:sz w:val="20"/>
                <w:szCs w:val="20"/>
              </w:rPr>
              <w:t>80</w:t>
            </w:r>
          </w:p>
        </w:tc>
        <w:tc>
          <w:tcPr>
            <w:tcW w:w="699" w:type="dxa"/>
            <w:vAlign w:val="center"/>
          </w:tcPr>
          <w:p w14:paraId="2D53A27E" w14:textId="77777777" w:rsidR="002A7D19" w:rsidRPr="006A14E9" w:rsidRDefault="002A7D19" w:rsidP="003A31ED">
            <w:pPr>
              <w:spacing w:after="0"/>
              <w:ind w:right="27"/>
              <w:jc w:val="center"/>
              <w:rPr>
                <w:rFonts w:eastAsia="Times New Roman" w:cs="Arial"/>
                <w:sz w:val="20"/>
                <w:szCs w:val="20"/>
              </w:rPr>
            </w:pPr>
            <w:r w:rsidRPr="00BF2B0E">
              <w:rPr>
                <w:rFonts w:eastAsia="Times New Roman" w:cs="Arial"/>
                <w:sz w:val="20"/>
                <w:szCs w:val="20"/>
              </w:rPr>
              <w:t>988</w:t>
            </w:r>
          </w:p>
        </w:tc>
        <w:tc>
          <w:tcPr>
            <w:tcW w:w="699" w:type="dxa"/>
            <w:vAlign w:val="center"/>
          </w:tcPr>
          <w:p w14:paraId="7C8D7CF5" w14:textId="77777777" w:rsidR="002A7D19" w:rsidRPr="006A14E9" w:rsidRDefault="002A7D19" w:rsidP="003A31ED">
            <w:pPr>
              <w:spacing w:after="0"/>
              <w:ind w:right="-115"/>
              <w:jc w:val="center"/>
              <w:rPr>
                <w:rFonts w:eastAsia="Times New Roman" w:cs="Arial"/>
                <w:sz w:val="20"/>
                <w:szCs w:val="20"/>
              </w:rPr>
            </w:pPr>
            <w:r w:rsidRPr="00BF2B0E">
              <w:rPr>
                <w:rFonts w:eastAsia="Times New Roman" w:cs="Arial"/>
                <w:sz w:val="20"/>
                <w:szCs w:val="20"/>
              </w:rPr>
              <w:t>120</w:t>
            </w:r>
            <w:r>
              <w:rPr>
                <w:rFonts w:eastAsia="Times New Roman" w:cs="Arial"/>
                <w:sz w:val="20"/>
                <w:szCs w:val="20"/>
              </w:rPr>
              <w:t>8</w:t>
            </w:r>
          </w:p>
        </w:tc>
        <w:tc>
          <w:tcPr>
            <w:tcW w:w="699" w:type="dxa"/>
            <w:vAlign w:val="center"/>
          </w:tcPr>
          <w:p w14:paraId="5AFFC441" w14:textId="77777777" w:rsidR="002A7D19" w:rsidRPr="006A14E9" w:rsidRDefault="002A7D19" w:rsidP="003A31ED">
            <w:pPr>
              <w:spacing w:after="0"/>
              <w:ind w:right="-115"/>
              <w:jc w:val="center"/>
              <w:rPr>
                <w:rFonts w:eastAsia="Times New Roman" w:cs="Arial"/>
                <w:sz w:val="20"/>
                <w:szCs w:val="20"/>
              </w:rPr>
            </w:pPr>
            <w:r w:rsidRPr="00BF2B0E">
              <w:rPr>
                <w:rFonts w:eastAsia="Times New Roman" w:cs="Arial"/>
                <w:sz w:val="20"/>
                <w:szCs w:val="20"/>
              </w:rPr>
              <w:t>1265</w:t>
            </w:r>
          </w:p>
        </w:tc>
        <w:tc>
          <w:tcPr>
            <w:tcW w:w="700" w:type="dxa"/>
            <w:vAlign w:val="center"/>
          </w:tcPr>
          <w:p w14:paraId="2118D831" w14:textId="77777777" w:rsidR="002A7D19" w:rsidRPr="006A14E9" w:rsidRDefault="002A7D19" w:rsidP="003A31ED">
            <w:pPr>
              <w:spacing w:after="0"/>
              <w:ind w:right="-115"/>
              <w:jc w:val="center"/>
              <w:rPr>
                <w:rFonts w:eastAsia="Times New Roman" w:cs="Arial"/>
                <w:sz w:val="20"/>
                <w:szCs w:val="20"/>
              </w:rPr>
            </w:pPr>
            <w:r w:rsidRPr="00BF2B0E">
              <w:rPr>
                <w:rFonts w:eastAsia="Times New Roman" w:cs="Arial"/>
                <w:sz w:val="20"/>
                <w:szCs w:val="20"/>
              </w:rPr>
              <w:t>117</w:t>
            </w:r>
            <w:r>
              <w:rPr>
                <w:rFonts w:eastAsia="Times New Roman" w:cs="Arial"/>
                <w:sz w:val="20"/>
                <w:szCs w:val="20"/>
              </w:rPr>
              <w:t>6</w:t>
            </w:r>
          </w:p>
        </w:tc>
        <w:tc>
          <w:tcPr>
            <w:tcW w:w="1049" w:type="dxa"/>
          </w:tcPr>
          <w:p w14:paraId="512A9CD4" w14:textId="77777777" w:rsidR="002A7D19" w:rsidRPr="00BF2B0E" w:rsidRDefault="002A7D19" w:rsidP="003A31ED">
            <w:pPr>
              <w:spacing w:after="0"/>
              <w:ind w:right="-115"/>
              <w:jc w:val="center"/>
              <w:rPr>
                <w:rFonts w:eastAsia="Times New Roman" w:cs="Arial"/>
                <w:sz w:val="20"/>
                <w:szCs w:val="20"/>
              </w:rPr>
            </w:pPr>
            <w:r>
              <w:rPr>
                <w:rFonts w:eastAsia="Times New Roman" w:cs="Arial"/>
                <w:sz w:val="20"/>
                <w:szCs w:val="20"/>
              </w:rPr>
              <w:t>1444 to 1602</w:t>
            </w:r>
          </w:p>
        </w:tc>
        <w:tc>
          <w:tcPr>
            <w:tcW w:w="1050" w:type="dxa"/>
          </w:tcPr>
          <w:p w14:paraId="6ACF405D" w14:textId="77777777" w:rsidR="002A7D19" w:rsidRPr="00BF2B0E" w:rsidRDefault="002A7D19" w:rsidP="003A31ED">
            <w:pPr>
              <w:spacing w:after="0"/>
              <w:ind w:right="-115"/>
              <w:jc w:val="center"/>
              <w:rPr>
                <w:rFonts w:eastAsia="Times New Roman" w:cs="Arial"/>
                <w:sz w:val="20"/>
                <w:szCs w:val="20"/>
              </w:rPr>
            </w:pPr>
            <w:r w:rsidRPr="008B7BE3">
              <w:rPr>
                <w:rFonts w:eastAsia="Times New Roman" w:cs="Arial"/>
                <w:sz w:val="20"/>
                <w:szCs w:val="20"/>
              </w:rPr>
              <w:t>150</w:t>
            </w:r>
            <w:r>
              <w:rPr>
                <w:rFonts w:eastAsia="Times New Roman" w:cs="Arial"/>
                <w:sz w:val="20"/>
                <w:szCs w:val="20"/>
              </w:rPr>
              <w:t>7 to 2025</w:t>
            </w:r>
          </w:p>
        </w:tc>
        <w:tc>
          <w:tcPr>
            <w:tcW w:w="1049" w:type="dxa"/>
          </w:tcPr>
          <w:p w14:paraId="2BE51756" w14:textId="77777777" w:rsidR="002A7D19" w:rsidRPr="00BF2B0E" w:rsidRDefault="002A7D19" w:rsidP="003A31ED">
            <w:pPr>
              <w:spacing w:after="0"/>
              <w:ind w:right="-115"/>
              <w:jc w:val="center"/>
              <w:rPr>
                <w:rFonts w:eastAsia="Times New Roman" w:cs="Arial"/>
                <w:sz w:val="20"/>
                <w:szCs w:val="20"/>
              </w:rPr>
            </w:pPr>
            <w:r>
              <w:rPr>
                <w:rFonts w:eastAsia="Times New Roman" w:cs="Arial"/>
                <w:sz w:val="20"/>
                <w:szCs w:val="20"/>
              </w:rPr>
              <w:t>1877 to 2142</w:t>
            </w:r>
          </w:p>
        </w:tc>
        <w:tc>
          <w:tcPr>
            <w:tcW w:w="1050" w:type="dxa"/>
          </w:tcPr>
          <w:p w14:paraId="0EBD1949" w14:textId="77777777" w:rsidR="002A7D19" w:rsidRPr="00BF2B0E" w:rsidRDefault="002A7D19" w:rsidP="003A31ED">
            <w:pPr>
              <w:spacing w:after="0"/>
              <w:ind w:right="-115"/>
              <w:jc w:val="center"/>
              <w:rPr>
                <w:rFonts w:eastAsia="Times New Roman" w:cs="Arial"/>
                <w:sz w:val="20"/>
                <w:szCs w:val="20"/>
              </w:rPr>
            </w:pPr>
            <w:r>
              <w:rPr>
                <w:rFonts w:eastAsia="Times New Roman" w:cs="Arial"/>
                <w:sz w:val="20"/>
                <w:szCs w:val="20"/>
              </w:rPr>
              <w:t>1949 to 2365</w:t>
            </w:r>
          </w:p>
        </w:tc>
      </w:tr>
    </w:tbl>
    <w:p w14:paraId="4825949D" w14:textId="77777777" w:rsidR="002A7D19" w:rsidRDefault="002A7D19" w:rsidP="002A7D19">
      <w:pPr>
        <w:rPr>
          <w:lang w:eastAsia="en-AU"/>
        </w:rPr>
      </w:pPr>
    </w:p>
    <w:p w14:paraId="64C31F41" w14:textId="77777777" w:rsidR="002A7D19" w:rsidRDefault="002A7D19" w:rsidP="002A7D19">
      <w:pPr>
        <w:rPr>
          <w:rFonts w:ascii="Gotham Medium" w:eastAsia="SimHei" w:hAnsi="Gotham Medium" w:cs="Arial"/>
          <w:i/>
          <w:iCs/>
          <w:color w:val="FFFFFF"/>
          <w:kern w:val="0"/>
          <w:lang w:eastAsia="en-AU"/>
          <w14:ligatures w14:val="none"/>
        </w:rPr>
      </w:pPr>
      <w:r>
        <w:rPr>
          <w:rFonts w:ascii="Gotham Medium" w:eastAsia="SimHei" w:hAnsi="Gotham Medium" w:cs="Arial"/>
          <w:i/>
          <w:iCs/>
          <w:color w:val="FFFFFF"/>
          <w:kern w:val="0"/>
          <w:lang w:eastAsia="en-AU"/>
          <w14:ligatures w14:val="none"/>
        </w:rPr>
        <w:br w:type="page"/>
      </w:r>
    </w:p>
    <w:p w14:paraId="2C92E0BF"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lastRenderedPageBreak/>
        <w:t>Resource impacts</w:t>
      </w:r>
    </w:p>
    <w:p w14:paraId="19C4DAF4" w14:textId="77777777" w:rsidR="002A7D19" w:rsidRDefault="002A7D19" w:rsidP="002A7D19">
      <w:pPr>
        <w:rPr>
          <w:rFonts w:eastAsia="Times New Roman" w:cs="Arial"/>
          <w:iCs/>
          <w:szCs w:val="20"/>
        </w:rPr>
      </w:pPr>
      <w:r w:rsidRPr="003F785D">
        <w:rPr>
          <w:rFonts w:eastAsia="Times New Roman" w:cs="Arial"/>
          <w:iCs/>
          <w:szCs w:val="20"/>
        </w:rPr>
        <w:t xml:space="preserve">Retaining the current values for adults has no material implications. Although adult age groupings are being adjusted to align with new NRVs age groupings (see Methodological Framework; NHMRC 2025), the adult </w:t>
      </w:r>
      <w:r>
        <w:rPr>
          <w:rFonts w:eastAsia="Times New Roman" w:cs="Arial"/>
          <w:iCs/>
          <w:szCs w:val="20"/>
        </w:rPr>
        <w:t xml:space="preserve">AIs </w:t>
      </w:r>
      <w:r w:rsidRPr="003F785D">
        <w:rPr>
          <w:rFonts w:eastAsia="Times New Roman" w:cs="Arial"/>
          <w:iCs/>
          <w:szCs w:val="20"/>
        </w:rPr>
        <w:t>are the same for all age groups so there is no material impact of this change. Consequently, this minor change to age groupings should have no implications for regulators, including FSANZ (food and food products) and TGA (supplements).</w:t>
      </w:r>
    </w:p>
    <w:p w14:paraId="301074C5" w14:textId="77777777" w:rsidR="002A7D19" w:rsidRDefault="002A7D19" w:rsidP="002A7D19">
      <w:pPr>
        <w:keepNext/>
        <w:spacing w:after="120"/>
        <w:rPr>
          <w:rFonts w:eastAsia="Times New Roman" w:cs="Arial"/>
          <w:szCs w:val="20"/>
        </w:rPr>
      </w:pPr>
      <w:r>
        <w:rPr>
          <w:rFonts w:eastAsia="Times New Roman" w:cs="Arial"/>
          <w:szCs w:val="20"/>
        </w:rPr>
        <w:t xml:space="preserve">In contrast, increasing the recommended AI for adults may have </w:t>
      </w:r>
      <w:r w:rsidRPr="00211817">
        <w:rPr>
          <w:rFonts w:eastAsia="Times New Roman" w:cs="Arial"/>
          <w:szCs w:val="20"/>
        </w:rPr>
        <w:t>implications for regulators, including FSANZ (food and food products) and the TGA (supplements).</w:t>
      </w:r>
      <w:r>
        <w:rPr>
          <w:rFonts w:eastAsia="Times New Roman" w:cs="Arial"/>
          <w:szCs w:val="20"/>
        </w:rPr>
        <w:t xml:space="preserve"> However, if an increase is recommended, v</w:t>
      </w:r>
      <w:r w:rsidRPr="00211817">
        <w:rPr>
          <w:rFonts w:eastAsia="Times New Roman" w:cs="Arial"/>
          <w:szCs w:val="20"/>
        </w:rPr>
        <w:t xml:space="preserve">iews </w:t>
      </w:r>
      <w:r>
        <w:rPr>
          <w:rFonts w:eastAsia="Times New Roman" w:cs="Arial"/>
          <w:szCs w:val="20"/>
        </w:rPr>
        <w:t xml:space="preserve">can </w:t>
      </w:r>
      <w:r w:rsidRPr="00211817">
        <w:rPr>
          <w:rFonts w:eastAsia="Times New Roman" w:cs="Arial"/>
          <w:szCs w:val="20"/>
        </w:rPr>
        <w:t xml:space="preserve">be sought during targeted/stakeholder consultation and considered when </w:t>
      </w:r>
      <w:r>
        <w:rPr>
          <w:rFonts w:eastAsia="Times New Roman" w:cs="Arial"/>
          <w:szCs w:val="20"/>
        </w:rPr>
        <w:t xml:space="preserve">determining </w:t>
      </w:r>
      <w:r w:rsidRPr="00211817">
        <w:rPr>
          <w:rFonts w:eastAsia="Times New Roman" w:cs="Arial"/>
          <w:szCs w:val="20"/>
        </w:rPr>
        <w:t>final NRVs</w:t>
      </w:r>
      <w:r>
        <w:rPr>
          <w:rFonts w:eastAsia="Times New Roman" w:cs="Arial"/>
          <w:szCs w:val="20"/>
        </w:rPr>
        <w:t>.</w:t>
      </w:r>
    </w:p>
    <w:p w14:paraId="025C70E7"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Other factors (health equity impacts, sustainability, nutrient interactions)</w:t>
      </w:r>
    </w:p>
    <w:p w14:paraId="2F63FE66" w14:textId="77777777" w:rsidR="002A7D19" w:rsidRPr="00A635FB" w:rsidRDefault="002A7D19" w:rsidP="002A7D19">
      <w:pPr>
        <w:pStyle w:val="Heading4"/>
      </w:pPr>
      <w:r w:rsidRPr="00A635FB">
        <w:t>Equity impacts</w:t>
      </w:r>
    </w:p>
    <w:p w14:paraId="2A23568A" w14:textId="77777777" w:rsidR="002A7D19" w:rsidRDefault="002A7D19" w:rsidP="002A7D19">
      <w:pPr>
        <w:spacing w:after="120"/>
        <w:ind w:right="172"/>
        <w:rPr>
          <w:rFonts w:eastAsia="Times New Roman" w:cs="Arial"/>
          <w:iCs/>
        </w:rPr>
      </w:pPr>
      <w:r w:rsidRPr="00A635FB">
        <w:rPr>
          <w:rFonts w:eastAsia="Times New Roman" w:cs="Arial"/>
          <w:iCs/>
        </w:rPr>
        <w:t xml:space="preserve">Equity impacts relating to sodium consumption predominantly relate to excess sodium consumption among vulnerable groups. </w:t>
      </w:r>
      <w:proofErr w:type="gramStart"/>
      <w:r w:rsidRPr="00A635FB">
        <w:rPr>
          <w:rFonts w:eastAsia="Times New Roman" w:cs="Arial"/>
          <w:iCs/>
        </w:rPr>
        <w:t>Consequently</w:t>
      </w:r>
      <w:proofErr w:type="gramEnd"/>
      <w:r w:rsidRPr="00A635FB">
        <w:rPr>
          <w:rFonts w:eastAsia="Times New Roman" w:cs="Arial"/>
          <w:iCs/>
        </w:rPr>
        <w:t xml:space="preserve"> no specific considerations have been identified relevant to achieving an Adequate Intake. </w:t>
      </w:r>
    </w:p>
    <w:p w14:paraId="28BBC18E" w14:textId="77777777" w:rsidR="002A7D19" w:rsidRPr="00857B0C" w:rsidRDefault="002A7D19" w:rsidP="002A7D19">
      <w:pPr>
        <w:pStyle w:val="Heading4"/>
      </w:pPr>
      <w:r w:rsidRPr="00857B0C">
        <w:t>Other nutrients</w:t>
      </w:r>
    </w:p>
    <w:p w14:paraId="45FD1AC2" w14:textId="77777777" w:rsidR="002A7D19" w:rsidRDefault="002A7D19" w:rsidP="002A7D19">
      <w:pPr>
        <w:spacing w:after="120"/>
        <w:ind w:right="172"/>
        <w:rPr>
          <w:rFonts w:eastAsia="Times New Roman" w:cs="Arial"/>
          <w:iCs/>
        </w:rPr>
      </w:pPr>
      <w:r w:rsidRPr="00594C6B">
        <w:rPr>
          <w:rFonts w:eastAsia="Times New Roman" w:cs="Arial"/>
          <w:iCs/>
        </w:rPr>
        <w:t xml:space="preserve">Sodium is widespread in the basic food supply and consequently the AI must also factor in the balanced nutrient intake for other essential nutrients across the </w:t>
      </w:r>
      <w:proofErr w:type="gramStart"/>
      <w:r w:rsidRPr="00594C6B">
        <w:rPr>
          <w:rFonts w:eastAsia="Times New Roman" w:cs="Arial"/>
          <w:iCs/>
        </w:rPr>
        <w:t>diet as a whole</w:t>
      </w:r>
      <w:proofErr w:type="gramEnd"/>
      <w:r w:rsidRPr="00594C6B">
        <w:rPr>
          <w:rFonts w:eastAsia="Times New Roman" w:cs="Arial"/>
          <w:iCs/>
        </w:rPr>
        <w:t>.</w:t>
      </w:r>
      <w:r>
        <w:rPr>
          <w:rFonts w:eastAsia="Times New Roman" w:cs="Arial"/>
          <w:iCs/>
        </w:rPr>
        <w:t xml:space="preserve"> Establishing the AI at a level that can only be achieved with a restricted dietary intake may have adverse impacts on the ability to achieve requirements for other essential nutrients. The food modelling data above suggests that this may be a relevant factor for intakes on the lower bound of current recommendations (460 mg/day). </w:t>
      </w:r>
    </w:p>
    <w:p w14:paraId="19F86AD5" w14:textId="77777777" w:rsidR="002A7D19" w:rsidRDefault="002A7D19" w:rsidP="002A7D19">
      <w:pPr>
        <w:spacing w:after="120"/>
        <w:ind w:right="172"/>
        <w:rPr>
          <w:rFonts w:eastAsia="Times New Roman" w:cs="Arial"/>
          <w:iCs/>
        </w:rPr>
      </w:pPr>
      <w:r>
        <w:rPr>
          <w:rFonts w:eastAsia="Times New Roman" w:cs="Arial"/>
          <w:iCs/>
        </w:rPr>
        <w:t xml:space="preserve">Although sodium interacts closely with potassium, chloride and calcium, these nutrient interactions are not sufficiently characterised to inform sodium NRV establishment </w:t>
      </w:r>
      <w:r>
        <w:rPr>
          <w:rFonts w:eastAsia="Times New Roman" w:cs="Arial"/>
          <w:iCs/>
        </w:rPr>
        <w:fldChar w:fldCharType="begin"/>
      </w:r>
      <w:r>
        <w:rPr>
          <w:rFonts w:eastAsia="Times New Roman" w:cs="Arial"/>
          <w:iCs/>
        </w:rPr>
        <w:instrText xml:space="preserve"> ADDIN EN.CITE &lt;EndNote&gt;&lt;Cite ExcludeAuth="1"&gt;&lt;Author&gt;European Food Safety Authority&lt;/Author&gt;&lt;Year&gt;2019&lt;/Year&gt;&lt;RecNum&gt;4610&lt;/RecNum&gt;&lt;Prefix&gt;EFSA`, &lt;/Prefix&gt;&lt;DisplayText&gt;(EFSA, 2019; NASEM, 2019)&lt;/DisplayText&gt;&lt;record&gt;&lt;rec-number&gt;4610&lt;/rec-number&gt;&lt;foreign-keys&gt;&lt;key app="EN" db-id="wwsdv2wwp29fenerv0kx5tw9zxtx2fdrprx2" timestamp="1774919605"&gt;4610&lt;/key&gt;&lt;/foreign-keys&gt;&lt;ref-type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Cite ExcludeAuth="1"&gt;&lt;Author&gt;National Academies of Sciences&lt;/Author&gt;&lt;Year&gt;2019&lt;/Year&gt;&lt;RecNum&gt;4618&lt;/RecNum&gt;&lt;Prefix&gt;NASEM`, &lt;/Prefix&gt;&lt;record&gt;&lt;rec-number&gt;4618&lt;/rec-number&gt;&lt;foreign-keys&gt;&lt;key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Pr>
          <w:rFonts w:eastAsia="Times New Roman" w:cs="Arial"/>
          <w:iCs/>
        </w:rPr>
        <w:fldChar w:fldCharType="separate"/>
      </w:r>
      <w:r>
        <w:rPr>
          <w:rFonts w:eastAsia="Times New Roman" w:cs="Arial"/>
          <w:iCs/>
          <w:noProof/>
        </w:rPr>
        <w:t>(EFSA, 2019; NASEM, 2019)</w:t>
      </w:r>
      <w:r>
        <w:rPr>
          <w:rFonts w:eastAsia="Times New Roman" w:cs="Arial"/>
          <w:iCs/>
        </w:rPr>
        <w:fldChar w:fldCharType="end"/>
      </w:r>
      <w:r>
        <w:rPr>
          <w:rFonts w:eastAsia="Times New Roman" w:cs="Arial"/>
          <w:iCs/>
        </w:rPr>
        <w:t xml:space="preserve">. </w:t>
      </w:r>
    </w:p>
    <w:p w14:paraId="6A27257F"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Decision</w:t>
      </w:r>
    </w:p>
    <w:p w14:paraId="7AD67B35" w14:textId="77777777" w:rsidR="002A7D19" w:rsidRPr="00C45FCA" w:rsidRDefault="002A7D19" w:rsidP="002A7D19">
      <w:pPr>
        <w:spacing w:line="276" w:lineRule="auto"/>
      </w:pPr>
      <w:r>
        <w:t xml:space="preserve">An AI of </w:t>
      </w:r>
      <w:r w:rsidRPr="00C45FCA">
        <w:t xml:space="preserve">920 mg/day </w:t>
      </w:r>
      <w:r>
        <w:t xml:space="preserve">to be established </w:t>
      </w:r>
      <w:r w:rsidRPr="00C45FCA">
        <w:t xml:space="preserve">to align with the current upper bound of the adult AI </w:t>
      </w:r>
      <w:r>
        <w:t>range, for the following reasons</w:t>
      </w:r>
      <w:r w:rsidRPr="00C45FCA">
        <w:t>:</w:t>
      </w:r>
    </w:p>
    <w:p w14:paraId="1141AD0C" w14:textId="77777777" w:rsidR="002A7D19" w:rsidRPr="00C45FCA" w:rsidRDefault="002A7D19" w:rsidP="002A7D19">
      <w:pPr>
        <w:pStyle w:val="ListParagraph"/>
        <w:numPr>
          <w:ilvl w:val="0"/>
          <w:numId w:val="1"/>
        </w:numPr>
        <w:spacing w:line="276" w:lineRule="auto"/>
      </w:pPr>
      <w:r>
        <w:t xml:space="preserve">there is </w:t>
      </w:r>
      <w:r w:rsidRPr="00C45FCA">
        <w:t xml:space="preserve">no evidence </w:t>
      </w:r>
      <w:r>
        <w:t>to suggest that intakes at this level are insufficient to meet physiological requirements</w:t>
      </w:r>
    </w:p>
    <w:p w14:paraId="1F986487" w14:textId="77777777" w:rsidR="002A7D19" w:rsidRPr="00C45FCA" w:rsidRDefault="002A7D19" w:rsidP="002A7D19">
      <w:pPr>
        <w:pStyle w:val="ListParagraph"/>
        <w:numPr>
          <w:ilvl w:val="0"/>
          <w:numId w:val="1"/>
        </w:numPr>
        <w:spacing w:line="276" w:lineRule="auto"/>
      </w:pPr>
      <w:r>
        <w:t xml:space="preserve">this level exceeds </w:t>
      </w:r>
      <w:r w:rsidRPr="00C45FCA">
        <w:t>the lowe</w:t>
      </w:r>
      <w:r>
        <w:t xml:space="preserve">st mean intake reported by RCTs showing no adverse effects of </w:t>
      </w:r>
      <w:r w:rsidRPr="00C45FCA">
        <w:t>low sodium</w:t>
      </w:r>
      <w:r>
        <w:t xml:space="preserve"> intake (851 mg/day reported in </w:t>
      </w:r>
      <w:r>
        <w:fldChar w:fldCharType="begin"/>
      </w:r>
      <w:r>
        <w:instrText xml:space="preserve"> ADDIN EN.CITE &lt;EndNote&gt;&lt;Cite AuthorYear="1"&gt;&lt;Author&gt;Beard&lt;/Author&gt;&lt;Year&gt;1982&lt;/Year&gt;&lt;RecNum&gt;4764&lt;/RecNum&gt;&lt;DisplayText&gt;Beard et al. (1982)&lt;/DisplayText&gt;&lt;record&gt;&lt;rec-number&gt;4764&lt;/rec-number&gt;&lt;foreign-keys&gt;&lt;key app="EN" db-id="wwsdv2wwp29fenerv0kx5tw9zxtx2fdrprx2" timestamp="1782794697"&gt;4764&lt;/key&gt;&lt;/foreign-keys&gt;&lt;ref-type name="Journal Article"&gt;17&lt;/ref-type&gt;&lt;contributors&gt;&lt;authors&gt;&lt;author&gt;Beard, T. C.&lt;/author&gt;&lt;author&gt;Cooke, H. M.&lt;/author&gt;&lt;author&gt;Gray, W. R.&lt;/author&gt;&lt;author&gt;Barge, R.&lt;/author&gt;&lt;/authors&gt;&lt;/contributors&gt;&lt;titles&gt;&lt;title&gt;Randomised controlled trial of a no-added-sodium diet for mild hypertension&lt;/title&gt;&lt;secondary-title&gt;Lancet&lt;/secondary-title&gt;&lt;/titles&gt;&lt;periodical&gt;&lt;full-title&gt;Lancet&lt;/full-title&gt;&lt;/periodical&gt;&lt;pages&gt;455-8&lt;/pages&gt;&lt;volume&gt;2&lt;/volume&gt;&lt;number&gt;8296&lt;/number&gt;&lt;keywords&gt;&lt;keyword&gt;Adult&lt;/keyword&gt;&lt;keyword&gt;Aged&lt;/keyword&gt;&lt;keyword&gt;Blood Pressure&lt;/keyword&gt;&lt;keyword&gt;Body Weight&lt;/keyword&gt;&lt;keyword&gt;Clinical Trials as Topic&lt;/keyword&gt;&lt;keyword&gt;*Diet, Sodium-Restricted&lt;/keyword&gt;&lt;keyword&gt;Double-Blind Method&lt;/keyword&gt;&lt;keyword&gt;Female&lt;/keyword&gt;&lt;keyword&gt;Humans&lt;/keyword&gt;&lt;keyword&gt;Hypertension/*diet therapy/prevention &amp;amp; control&lt;/keyword&gt;&lt;keyword&gt;Male&lt;/keyword&gt;&lt;keyword&gt;Middle Aged&lt;/keyword&gt;&lt;keyword&gt;Quality of Life&lt;/keyword&gt;&lt;keyword&gt;Random Allocation&lt;/keyword&gt;&lt;/keywords&gt;&lt;dates&gt;&lt;year&gt;1982&lt;/year&gt;&lt;pub-dates&gt;&lt;date&gt;Aug 28&lt;/date&gt;&lt;/pub-dates&gt;&lt;/dates&gt;&lt;isbn&gt;0140-6736 (Print)&amp;#xD;0140-6736&lt;/isbn&gt;&lt;accession-num&gt;6125636&lt;/accession-num&gt;&lt;urls&gt;&lt;/urls&gt;&lt;electronic-resource-num&gt;10.1016/s0140-6736(82)90491-3&lt;/electronic-resource-num&gt;&lt;remote-database-provider&gt;NLM&lt;/remote-database-provider&gt;&lt;language&gt;eng&lt;/language&gt;&lt;/record&gt;&lt;/Cite&gt;&lt;/EndNote&gt;</w:instrText>
      </w:r>
      <w:r>
        <w:fldChar w:fldCharType="separate"/>
      </w:r>
      <w:r>
        <w:rPr>
          <w:noProof/>
        </w:rPr>
        <w:t>Beard et al. (1982)</w:t>
      </w:r>
      <w:r>
        <w:fldChar w:fldCharType="end"/>
      </w:r>
      <w:r>
        <w:t>)</w:t>
      </w:r>
    </w:p>
    <w:p w14:paraId="3455473D" w14:textId="767784A3" w:rsidR="002A7D19" w:rsidRDefault="002A7D19" w:rsidP="002A7D19">
      <w:pPr>
        <w:pStyle w:val="ListParagraph"/>
        <w:numPr>
          <w:ilvl w:val="0"/>
          <w:numId w:val="1"/>
        </w:numPr>
        <w:spacing w:line="276" w:lineRule="auto"/>
      </w:pPr>
      <w:r>
        <w:t>alignment with existing recommendations supports consistent public health messaging regarding the harms of excessive sodium intake. This avoids confusion that may arise if the AI were increased, which may be misinterpreted as a need for higher intake levels in a context where population intakes already exceed requirements and – for many individuals – chronic disease risk reduction targets</w:t>
      </w:r>
    </w:p>
    <w:p w14:paraId="469AD1D7" w14:textId="4DED685E" w:rsidR="002A7D19" w:rsidRPr="00E316B5" w:rsidRDefault="002C1104" w:rsidP="004E5DAC">
      <w:pPr>
        <w:pStyle w:val="ListParagraph"/>
        <w:numPr>
          <w:ilvl w:val="0"/>
          <w:numId w:val="1"/>
        </w:numPr>
        <w:spacing w:line="276" w:lineRule="auto"/>
        <w:rPr>
          <w:rFonts w:eastAsiaTheme="majorEastAsia" w:cstheme="majorBidi"/>
          <w:color w:val="0F4761" w:themeColor="accent1" w:themeShade="BF"/>
          <w:sz w:val="24"/>
          <w:szCs w:val="28"/>
        </w:rPr>
      </w:pPr>
      <w:r>
        <w:t>contemporary Australian 24-hour urinary sodium excretion data indicate that a sodium intake of 920 mg/d falls within the lower tail of the observed distribution (between the 1st and 5th percentiles), supporting that intakes at this level are observed in apparently healthy, free-living adults</w:t>
      </w:r>
      <w:r w:rsidR="005D5EA9">
        <w:t xml:space="preserve"> </w:t>
      </w:r>
      <w:r w:rsidR="005D5EA9">
        <w:fldChar w:fldCharType="begin"/>
      </w:r>
      <w:r w:rsidR="00DC049A">
        <w:instrText xml:space="preserve"> ADDIN EN.CITE &lt;EndNote&gt;&lt;Cite ExcludeAuth="1"&gt;&lt;Author&gt;Carley Grimes&lt;/Author&gt;&lt;Year&gt;2026&lt;/Year&gt;&lt;RecNum&gt;4781&lt;/RecNum&gt;&lt;Prefix&gt;Grimes`, &lt;/Prefix&gt;&lt;DisplayText&gt;(Grimes, 2026)&lt;/DisplayText&gt;&lt;record&gt;&lt;rec-number&gt;4781&lt;/rec-number&gt;&lt;foreign-keys&gt;&lt;key app="EN" db-id="wwsdv2wwp29fenerv0kx5tw9zxtx2fdrprx2" timestamp="1784003730"&gt;4781&lt;/key&gt;&lt;/foreign-keys&gt;&lt;ref-type name="Personal Communication"&gt;26&lt;/ref-type&gt;&lt;contributors&gt;&lt;authors&gt;&lt;author&gt;Carley Grimes,&lt;/author&gt;&lt;/authors&gt;&lt;secondary-authors&gt;&lt;author&gt;NHMRC Project Team&lt;/author&gt;&lt;/secondary-authors&gt;&lt;/contributors&gt;&lt;titles&gt;&lt;title&gt;Unpublished analysis of 2016-17 data supplied in correspondence&lt;/title&gt;&lt;/titles&gt;&lt;dates&gt;&lt;year&gt;2026&lt;/year&gt;&lt;/dates&gt;&lt;urls&gt;&lt;/urls&gt;&lt;/record&gt;&lt;/Cite&gt;&lt;/EndNote&gt;</w:instrText>
      </w:r>
      <w:r w:rsidR="005D5EA9">
        <w:fldChar w:fldCharType="separate"/>
      </w:r>
      <w:r w:rsidR="00DC049A">
        <w:rPr>
          <w:noProof/>
        </w:rPr>
        <w:t>(Grimes, 2026)</w:t>
      </w:r>
      <w:r w:rsidR="005D5EA9">
        <w:fldChar w:fldCharType="end"/>
      </w:r>
      <w:r>
        <w:t>.</w:t>
      </w:r>
      <w:r w:rsidR="002A7D19">
        <w:br w:type="page"/>
      </w:r>
    </w:p>
    <w:p w14:paraId="3C710769" w14:textId="77777777" w:rsidR="002A7D19" w:rsidRPr="003435D4" w:rsidRDefault="002A7D19" w:rsidP="002A7D19">
      <w:pPr>
        <w:pStyle w:val="Heading4"/>
        <w:pBdr>
          <w:top w:val="single" w:sz="4" w:space="1" w:color="auto"/>
          <w:left w:val="single" w:sz="4" w:space="4" w:color="auto"/>
          <w:bottom w:val="single" w:sz="4" w:space="1" w:color="auto"/>
          <w:right w:val="single" w:sz="4" w:space="4" w:color="auto"/>
        </w:pBdr>
        <w:spacing w:after="0"/>
        <w:rPr>
          <w:i w:val="0"/>
          <w:iCs w:val="0"/>
          <w:sz w:val="28"/>
          <w:szCs w:val="28"/>
        </w:rPr>
      </w:pPr>
      <w:bookmarkStart w:id="159" w:name="_Toc228804624"/>
      <w:r>
        <w:rPr>
          <w:i w:val="0"/>
          <w:iCs w:val="0"/>
          <w:sz w:val="28"/>
          <w:szCs w:val="28"/>
        </w:rPr>
        <w:lastRenderedPageBreak/>
        <w:t>PREGNANCY</w:t>
      </w:r>
    </w:p>
    <w:bookmarkEnd w:id="159"/>
    <w:p w14:paraId="57362CF9" w14:textId="61A2AFFD" w:rsidR="002A7D19" w:rsidRDefault="002A7D19" w:rsidP="002A7D19">
      <w:pPr>
        <w:spacing w:after="120"/>
        <w:ind w:right="172"/>
        <w:rPr>
          <w:rFonts w:eastAsiaTheme="majorEastAsia" w:cstheme="majorBidi"/>
          <w:color w:val="0F4761" w:themeColor="accent1" w:themeShade="BF"/>
          <w:sz w:val="24"/>
          <w:szCs w:val="28"/>
        </w:rPr>
      </w:pPr>
      <w:r>
        <w:rPr>
          <w:rFonts w:eastAsia="Times New Roman" w:cs="Arial"/>
          <w:iCs/>
        </w:rPr>
        <w:t xml:space="preserve">Although there is </w:t>
      </w:r>
      <w:r w:rsidRPr="00421081">
        <w:rPr>
          <w:rFonts w:eastAsia="Times New Roman" w:cs="Arial"/>
          <w:iCs/>
        </w:rPr>
        <w:t xml:space="preserve">a small additional requirement </w:t>
      </w:r>
      <w:r>
        <w:rPr>
          <w:rFonts w:eastAsia="Times New Roman" w:cs="Arial"/>
          <w:iCs/>
        </w:rPr>
        <w:t xml:space="preserve">of sodium associated with </w:t>
      </w:r>
      <w:r w:rsidR="0005341A" w:rsidRPr="00421081">
        <w:rPr>
          <w:rFonts w:eastAsia="Times New Roman" w:cs="Arial"/>
          <w:iCs/>
        </w:rPr>
        <w:t>foetal</w:t>
      </w:r>
      <w:r w:rsidRPr="00421081">
        <w:rPr>
          <w:rFonts w:eastAsia="Times New Roman" w:cs="Arial"/>
          <w:iCs/>
        </w:rPr>
        <w:t xml:space="preserve"> and maternal tissue accretion over the course of pregnancy, this is minimal and readily accommodated by normal homeostatic mechanisms, including increased renal sodium conservation. Consistent with approaches taken by NASEM (2019) and EFSA (2019), no distinct dietary sodium requirement for pregnancy is specified, and recommendations are aligned with those for non-pregnant adults. This reflects the absence of evidence demonstrating increased dietary needs in pregnancy and the capacity for physiological regulation to maintain sodium balance across a wide range of intakes. </w:t>
      </w:r>
    </w:p>
    <w:p w14:paraId="54682087" w14:textId="77777777" w:rsidR="002A7D19" w:rsidRPr="003435D4" w:rsidRDefault="002A7D19" w:rsidP="002A7D19">
      <w:pPr>
        <w:pStyle w:val="Heading4"/>
        <w:pBdr>
          <w:top w:val="single" w:sz="4" w:space="1" w:color="auto"/>
          <w:left w:val="single" w:sz="4" w:space="4" w:color="auto"/>
          <w:bottom w:val="single" w:sz="4" w:space="1" w:color="auto"/>
          <w:right w:val="single" w:sz="4" w:space="4" w:color="auto"/>
        </w:pBdr>
        <w:spacing w:after="0"/>
        <w:rPr>
          <w:i w:val="0"/>
          <w:iCs w:val="0"/>
          <w:sz w:val="28"/>
          <w:szCs w:val="28"/>
        </w:rPr>
      </w:pPr>
      <w:bookmarkStart w:id="160" w:name="_Toc228804625"/>
      <w:r>
        <w:rPr>
          <w:i w:val="0"/>
          <w:iCs w:val="0"/>
          <w:sz w:val="28"/>
          <w:szCs w:val="28"/>
        </w:rPr>
        <w:t>LACTATION</w:t>
      </w:r>
    </w:p>
    <w:bookmarkEnd w:id="160"/>
    <w:p w14:paraId="39B4AD3D" w14:textId="77777777" w:rsidR="002A7D19" w:rsidRDefault="002A7D19" w:rsidP="002A7D19">
      <w:pPr>
        <w:spacing w:after="120"/>
        <w:ind w:right="172"/>
        <w:rPr>
          <w:rFonts w:eastAsia="SimHei" w:cs="Times New Roman"/>
          <w:color w:val="09002E"/>
          <w:sz w:val="28"/>
          <w:szCs w:val="28"/>
        </w:rPr>
      </w:pPr>
      <w:r w:rsidRPr="00742E72">
        <w:rPr>
          <w:rFonts w:eastAsia="Times New Roman" w:cs="Arial"/>
          <w:iCs/>
        </w:rPr>
        <w:t xml:space="preserve">Sodium is excreted in breast milk during lactation; however, the concentration of sodium in milk is regulated by physiological mechanisms within the mammary gland, largely determined by electrochemical gradients rather than maternal dietary intake. As a result, maternal sodium intake has limited influence on the sodium content of breast milk. </w:t>
      </w:r>
      <w:r>
        <w:rPr>
          <w:rFonts w:eastAsia="Times New Roman" w:cs="Arial"/>
          <w:iCs/>
        </w:rPr>
        <w:t xml:space="preserve">On this basis, both NASEM (2019) and ESFA (2019) concluded that </w:t>
      </w:r>
      <w:r w:rsidRPr="00742E72">
        <w:rPr>
          <w:rFonts w:eastAsia="Times New Roman" w:cs="Arial"/>
          <w:iCs/>
        </w:rPr>
        <w:t>there is no evidence to suggest that sodium requirements during lactation differ from those of non-pregnant, non-lactating adults. Accordingly, no separate requirement is specified, and sodium recommendations for lactating women are aligned with those for the general adult population.</w:t>
      </w:r>
    </w:p>
    <w:p w14:paraId="6366E0F6" w14:textId="77777777" w:rsidR="002A7D19" w:rsidRDefault="002A7D19" w:rsidP="002A7D19">
      <w:pPr>
        <w:rPr>
          <w:rFonts w:eastAsia="SimHei" w:cs="Times New Roman"/>
          <w:color w:val="09002E"/>
          <w:sz w:val="28"/>
          <w:szCs w:val="28"/>
        </w:rPr>
      </w:pPr>
      <w:r>
        <w:rPr>
          <w:rFonts w:eastAsia="SimHei" w:cs="Times New Roman"/>
          <w:color w:val="09002E"/>
          <w:sz w:val="28"/>
          <w:szCs w:val="28"/>
        </w:rPr>
        <w:br w:type="page"/>
      </w:r>
    </w:p>
    <w:p w14:paraId="7CD13B78" w14:textId="77777777" w:rsidR="002A7D19" w:rsidRPr="003435D4" w:rsidRDefault="002A7D19" w:rsidP="00E316B5">
      <w:pPr>
        <w:pStyle w:val="Heading4"/>
        <w:pBdr>
          <w:top w:val="single" w:sz="4" w:space="1" w:color="auto"/>
          <w:left w:val="single" w:sz="4" w:space="4" w:color="auto"/>
          <w:bottom w:val="single" w:sz="4" w:space="1" w:color="auto"/>
          <w:right w:val="single" w:sz="4" w:space="4" w:color="auto"/>
        </w:pBdr>
        <w:spacing w:after="120"/>
        <w:rPr>
          <w:i w:val="0"/>
          <w:iCs w:val="0"/>
          <w:sz w:val="28"/>
          <w:szCs w:val="28"/>
        </w:rPr>
      </w:pPr>
      <w:bookmarkStart w:id="161" w:name="_Toc228804626"/>
      <w:r>
        <w:rPr>
          <w:i w:val="0"/>
          <w:iCs w:val="0"/>
          <w:sz w:val="28"/>
          <w:szCs w:val="28"/>
        </w:rPr>
        <w:lastRenderedPageBreak/>
        <w:t>CHILDREN AND ADOLESCENTS</w:t>
      </w:r>
    </w:p>
    <w:p w14:paraId="01E35F56" w14:textId="77777777" w:rsidR="002A7D19" w:rsidRPr="00C33341" w:rsidRDefault="002A7D19" w:rsidP="002A7D19">
      <w:pPr>
        <w:keepNext/>
        <w:keepLines/>
        <w:shd w:val="clear" w:color="auto" w:fill="005F85"/>
        <w:spacing w:after="120" w:line="280" w:lineRule="atLeast"/>
        <w:outlineLvl w:val="4"/>
        <w:rPr>
          <w:rFonts w:ascii="Gotham Medium" w:eastAsia="SimHei" w:hAnsi="Gotham Medium" w:cs="Arial"/>
          <w:i/>
          <w:iCs/>
          <w:color w:val="FFFFFF"/>
          <w:kern w:val="0"/>
          <w:lang w:eastAsia="en-AU"/>
          <w14:ligatures w14:val="none"/>
        </w:rPr>
      </w:pPr>
      <w:r>
        <w:rPr>
          <w:rFonts w:ascii="Gotham Medium" w:eastAsia="SimHei" w:hAnsi="Gotham Medium" w:cs="Arial"/>
          <w:i/>
          <w:iCs/>
          <w:color w:val="FFFFFF"/>
          <w:kern w:val="0"/>
          <w:lang w:eastAsia="en-AU"/>
          <w14:ligatures w14:val="none"/>
        </w:rPr>
        <w:t>Options for recommendations under consideration</w:t>
      </w:r>
    </w:p>
    <w:tbl>
      <w:tblPr>
        <w:tblStyle w:val="DefaultTable12"/>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2235"/>
        <w:gridCol w:w="2370"/>
        <w:gridCol w:w="2523"/>
        <w:gridCol w:w="2444"/>
        <w:gridCol w:w="2444"/>
      </w:tblGrid>
      <w:tr w:rsidR="002A7D19" w:rsidRPr="00C12A6C" w14:paraId="7ACC30E7" w14:textId="77777777" w:rsidTr="003A3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pct"/>
            <w:gridSpan w:val="3"/>
            <w:tcBorders>
              <w:top w:val="single" w:sz="4" w:space="0" w:color="156082" w:themeColor="accent1"/>
              <w:left w:val="single" w:sz="4" w:space="0" w:color="156082" w:themeColor="accent1"/>
              <w:bottom w:val="single" w:sz="4" w:space="0" w:color="156082" w:themeColor="accent1"/>
              <w:right w:val="single" w:sz="4" w:space="0" w:color="A6A6A6"/>
            </w:tcBorders>
            <w:shd w:val="clear" w:color="auto" w:fill="C8E4EF"/>
          </w:tcPr>
          <w:p w14:paraId="0ACD19B9" w14:textId="77777777" w:rsidR="002A7D19" w:rsidRPr="00C12A6C" w:rsidRDefault="002A7D19" w:rsidP="003A31ED">
            <w:pPr>
              <w:spacing w:line="276" w:lineRule="auto"/>
              <w:ind w:left="142"/>
              <w:rPr>
                <w:rFonts w:ascii="Gotham Book" w:eastAsia="Times New Roman" w:hAnsi="Gotham Book" w:cs="Times New Roman"/>
                <w:color w:val="004663"/>
                <w:sz w:val="20"/>
                <w:szCs w:val="20"/>
              </w:rPr>
            </w:pPr>
            <w:r w:rsidRPr="00C12A6C">
              <w:rPr>
                <w:rFonts w:ascii="Gotham Book" w:eastAsia="Times New Roman" w:hAnsi="Gotham Book" w:cs="Arial"/>
                <w:color w:val="004663"/>
                <w:sz w:val="20"/>
                <w:szCs w:val="20"/>
                <w:u w:val="single"/>
              </w:rPr>
              <w:t>OPTION 1</w:t>
            </w:r>
            <w:r w:rsidRPr="00C12A6C">
              <w:rPr>
                <w:rFonts w:ascii="Gotham Book" w:eastAsia="Times New Roman" w:hAnsi="Gotham Book" w:cs="Arial"/>
                <w:color w:val="004663"/>
                <w:sz w:val="20"/>
                <w:szCs w:val="20"/>
              </w:rPr>
              <w:t>:</w:t>
            </w:r>
            <w:r w:rsidRPr="00C12A6C">
              <w:rPr>
                <w:rFonts w:ascii="Gotham Book" w:eastAsia="Times New Roman" w:hAnsi="Gotham Book" w:cs="Times New Roman"/>
                <w:color w:val="004663"/>
                <w:sz w:val="20"/>
                <w:szCs w:val="20"/>
              </w:rPr>
              <w:t xml:space="preserve"> </w:t>
            </w:r>
          </w:p>
          <w:p w14:paraId="79607984" w14:textId="77777777" w:rsidR="002A7D19" w:rsidRPr="00C12A6C" w:rsidRDefault="002A7D19" w:rsidP="003A31ED">
            <w:pPr>
              <w:spacing w:line="276" w:lineRule="auto"/>
              <w:ind w:left="142"/>
              <w:rPr>
                <w:rFonts w:ascii="Gotham Book" w:eastAsia="Arial" w:hAnsi="Gotham Book" w:cs="Arial"/>
                <w:color w:val="004663"/>
                <w:sz w:val="20"/>
              </w:rPr>
            </w:pPr>
            <w:r w:rsidRPr="0014323B">
              <w:rPr>
                <w:rFonts w:ascii="Gotham Book" w:eastAsia="Times New Roman" w:hAnsi="Gotham Book" w:cs="Arial"/>
                <w:color w:val="004663"/>
                <w:sz w:val="20"/>
                <w:szCs w:val="20"/>
              </w:rPr>
              <w:t xml:space="preserve">Maintain current </w:t>
            </w:r>
            <w:r>
              <w:rPr>
                <w:rFonts w:ascii="Gotham Book" w:eastAsia="Times New Roman" w:hAnsi="Gotham Book" w:cs="Arial"/>
                <w:color w:val="004663"/>
                <w:sz w:val="20"/>
                <w:szCs w:val="20"/>
              </w:rPr>
              <w:t>AI r</w:t>
            </w:r>
            <w:r w:rsidRPr="0014323B">
              <w:rPr>
                <w:rFonts w:ascii="Gotham Book" w:eastAsia="Times New Roman" w:hAnsi="Gotham Book" w:cs="Arial"/>
                <w:color w:val="004663"/>
                <w:sz w:val="20"/>
                <w:szCs w:val="20"/>
              </w:rPr>
              <w:t>ecommendations</w:t>
            </w:r>
            <w:r>
              <w:rPr>
                <w:rFonts w:ascii="Gotham Book" w:eastAsia="Times New Roman" w:hAnsi="Gotham Book" w:cs="Arial"/>
                <w:color w:val="004663"/>
                <w:sz w:val="20"/>
                <w:szCs w:val="20"/>
              </w:rPr>
              <w:t>,</w:t>
            </w:r>
            <w:r w:rsidRPr="005E2070">
              <w:rPr>
                <w:rFonts w:ascii="Gotham Book" w:eastAsia="Times New Roman" w:hAnsi="Gotham Book" w:cs="Arial"/>
                <w:color w:val="004663"/>
                <w:sz w:val="20"/>
                <w:szCs w:val="20"/>
              </w:rPr>
              <w:t xml:space="preserve"> i</w:t>
            </w:r>
            <w:r w:rsidRPr="000C11EB">
              <w:rPr>
                <w:rFonts w:ascii="Gotham Book" w:eastAsia="Times New Roman" w:hAnsi="Gotham Book" w:cs="Arial"/>
                <w:color w:val="004663"/>
                <w:sz w:val="20"/>
                <w:szCs w:val="20"/>
              </w:rPr>
              <w:t>nclude additional school-age groupings in Appendix.</w:t>
            </w:r>
          </w:p>
        </w:tc>
        <w:tc>
          <w:tcPr>
            <w:tcW w:w="2526" w:type="pct"/>
            <w:gridSpan w:val="3"/>
            <w:tcBorders>
              <w:top w:val="single" w:sz="4" w:space="0" w:color="156082" w:themeColor="accent1"/>
              <w:bottom w:val="single" w:sz="4" w:space="0" w:color="156082" w:themeColor="accent1"/>
              <w:right w:val="single" w:sz="4" w:space="0" w:color="156082" w:themeColor="accent1"/>
            </w:tcBorders>
            <w:shd w:val="clear" w:color="auto" w:fill="C8E4EF"/>
          </w:tcPr>
          <w:p w14:paraId="0522AD57" w14:textId="77777777" w:rsidR="002A7D19" w:rsidRPr="00C12A6C" w:rsidRDefault="002A7D19" w:rsidP="003A31ED">
            <w:pPr>
              <w:spacing w:line="276" w:lineRule="auto"/>
              <w:ind w:left="136"/>
              <w:cnfStyle w:val="100000000000" w:firstRow="1" w:lastRow="0" w:firstColumn="0" w:lastColumn="0" w:oddVBand="0" w:evenVBand="0" w:oddHBand="0" w:evenHBand="0" w:firstRowFirstColumn="0" w:firstRowLastColumn="0" w:lastRowFirstColumn="0" w:lastRowLastColumn="0"/>
              <w:rPr>
                <w:rFonts w:ascii="Gotham Book" w:eastAsia="Times New Roman" w:hAnsi="Gotham Book" w:cs="Arial"/>
                <w:color w:val="004663"/>
                <w:sz w:val="20"/>
                <w:szCs w:val="20"/>
              </w:rPr>
            </w:pPr>
            <w:r w:rsidRPr="00C12A6C">
              <w:rPr>
                <w:rFonts w:ascii="Gotham Book" w:eastAsia="Times New Roman" w:hAnsi="Gotham Book" w:cs="Arial"/>
                <w:color w:val="004663"/>
                <w:sz w:val="20"/>
                <w:szCs w:val="20"/>
                <w:u w:val="single"/>
              </w:rPr>
              <w:t>OPTION 2</w:t>
            </w:r>
            <w:r w:rsidRPr="00C12A6C">
              <w:rPr>
                <w:rFonts w:ascii="Gotham Book" w:eastAsia="Times New Roman" w:hAnsi="Gotham Book" w:cs="Arial"/>
                <w:color w:val="004663"/>
                <w:sz w:val="20"/>
                <w:szCs w:val="20"/>
              </w:rPr>
              <w:t>:</w:t>
            </w:r>
          </w:p>
          <w:p w14:paraId="1E6098A2" w14:textId="5103BAE0" w:rsidR="002A7D19" w:rsidRPr="00C12A6C" w:rsidRDefault="002A7D19" w:rsidP="003A31ED">
            <w:pPr>
              <w:spacing w:line="276" w:lineRule="auto"/>
              <w:ind w:left="136"/>
              <w:cnfStyle w:val="100000000000" w:firstRow="1" w:lastRow="0" w:firstColumn="0" w:lastColumn="0" w:oddVBand="0" w:evenVBand="0" w:oddHBand="0" w:evenHBand="0" w:firstRowFirstColumn="0" w:firstRowLastColumn="0" w:lastRowFirstColumn="0" w:lastRowLastColumn="0"/>
              <w:rPr>
                <w:rFonts w:ascii="Gotham Book" w:eastAsia="Arial" w:hAnsi="Gotham Book" w:cs="Arial"/>
                <w:color w:val="004663"/>
                <w:sz w:val="20"/>
              </w:rPr>
            </w:pPr>
            <w:r>
              <w:rPr>
                <w:rFonts w:ascii="Gotham Book" w:eastAsia="Times New Roman" w:hAnsi="Gotham Book" w:cs="Arial"/>
                <w:color w:val="004663"/>
                <w:sz w:val="20"/>
                <w:szCs w:val="20"/>
              </w:rPr>
              <w:t>Increased AI</w:t>
            </w:r>
            <w:r w:rsidR="0005341A">
              <w:rPr>
                <w:rFonts w:ascii="Gotham Book" w:eastAsia="Times New Roman" w:hAnsi="Gotham Book" w:cs="Arial"/>
                <w:color w:val="004663"/>
                <w:sz w:val="20"/>
                <w:szCs w:val="20"/>
              </w:rPr>
              <w:t xml:space="preserve"> (extrapolated from adult recommendations)</w:t>
            </w:r>
            <w:r>
              <w:rPr>
                <w:rFonts w:ascii="Gotham Book" w:eastAsia="Times New Roman" w:hAnsi="Gotham Book" w:cs="Arial"/>
                <w:color w:val="004663"/>
                <w:sz w:val="20"/>
                <w:szCs w:val="20"/>
              </w:rPr>
              <w:t>,</w:t>
            </w:r>
            <w:r w:rsidRPr="005E2070">
              <w:rPr>
                <w:rFonts w:ascii="Gotham Book" w:eastAsia="Times New Roman" w:hAnsi="Gotham Book" w:cs="Arial"/>
                <w:color w:val="004663"/>
                <w:sz w:val="20"/>
                <w:szCs w:val="20"/>
              </w:rPr>
              <w:t xml:space="preserve"> i</w:t>
            </w:r>
            <w:r w:rsidRPr="000C11EB">
              <w:rPr>
                <w:rFonts w:ascii="Gotham Book" w:eastAsia="Times New Roman" w:hAnsi="Gotham Book" w:cs="Arial"/>
                <w:color w:val="004663"/>
                <w:sz w:val="20"/>
                <w:szCs w:val="20"/>
              </w:rPr>
              <w:t>nclude additional school-age groupings in Appendix.</w:t>
            </w:r>
          </w:p>
        </w:tc>
      </w:tr>
      <w:tr w:rsidR="002A7D19" w:rsidRPr="00C12A6C" w14:paraId="02E5A41A"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067CF4A6" w14:textId="77777777" w:rsidR="002A7D19" w:rsidRPr="00234CF7" w:rsidRDefault="002A7D19" w:rsidP="003A31ED">
            <w:pPr>
              <w:spacing w:line="280" w:lineRule="atLeast"/>
              <w:ind w:left="142"/>
              <w:rPr>
                <w:rFonts w:eastAsia="Times New Roman" w:cs="Arial"/>
                <w:color w:val="000000" w:themeColor="text1"/>
                <w:sz w:val="22"/>
                <w:szCs w:val="22"/>
              </w:rPr>
            </w:pPr>
          </w:p>
        </w:tc>
        <w:tc>
          <w:tcPr>
            <w:tcW w:w="762"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2C238FC" w14:textId="77777777" w:rsidR="002A7D19" w:rsidRPr="00234CF7" w:rsidRDefault="002A7D19" w:rsidP="003A31ED">
            <w:pPr>
              <w:spacing w:line="280" w:lineRule="atLeast"/>
              <w:ind w:left="142"/>
              <w:jc w:val="center"/>
              <w:cnfStyle w:val="000000100000" w:firstRow="0" w:lastRow="0" w:firstColumn="0" w:lastColumn="0" w:oddVBand="0" w:evenVBand="0" w:oddHBand="1" w:evenHBand="0" w:firstRowFirstColumn="0" w:firstRowLastColumn="0" w:lastRowFirstColumn="0" w:lastRowLastColumn="0"/>
              <w:rPr>
                <w:rFonts w:eastAsia="Arial" w:cs="Arial"/>
                <w:sz w:val="22"/>
                <w:szCs w:val="22"/>
              </w:rPr>
            </w:pPr>
            <w:r w:rsidRPr="00234CF7">
              <w:rPr>
                <w:rFonts w:eastAsia="Arial" w:cs="Arial"/>
                <w:b/>
                <w:sz w:val="22"/>
                <w:szCs w:val="22"/>
              </w:rPr>
              <w:t>AI (mg/day)</w:t>
            </w:r>
          </w:p>
        </w:tc>
        <w:tc>
          <w:tcPr>
            <w:tcW w:w="808"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010C342" w14:textId="77777777" w:rsidR="002A7D19" w:rsidRPr="00234CF7" w:rsidRDefault="002A7D19" w:rsidP="003A31ED">
            <w:pPr>
              <w:spacing w:line="280" w:lineRule="atLeast"/>
              <w:ind w:left="142"/>
              <w:jc w:val="center"/>
              <w:cnfStyle w:val="000000100000" w:firstRow="0" w:lastRow="0" w:firstColumn="0" w:lastColumn="0" w:oddVBand="0" w:evenVBand="0" w:oddHBand="1" w:evenHBand="0" w:firstRowFirstColumn="0" w:firstRowLastColumn="0" w:lastRowFirstColumn="0" w:lastRowLastColumn="0"/>
              <w:rPr>
                <w:rFonts w:eastAsia="Arial" w:cs="Arial"/>
                <w:sz w:val="22"/>
                <w:szCs w:val="22"/>
              </w:rPr>
            </w:pPr>
            <w:r w:rsidRPr="00234CF7">
              <w:rPr>
                <w:rFonts w:eastAsia="Arial" w:cs="Arial"/>
                <w:b/>
                <w:sz w:val="22"/>
                <w:szCs w:val="22"/>
              </w:rPr>
              <w:t>AI (mmol/day)</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4E1F9F28" w14:textId="77777777" w:rsidR="002A7D19" w:rsidRPr="00234CF7" w:rsidRDefault="002A7D19" w:rsidP="003A31ED">
            <w:pPr>
              <w:spacing w:line="280" w:lineRule="atLeast"/>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2E29ACC1" w14:textId="77777777" w:rsidR="002A7D19" w:rsidRPr="00234CF7" w:rsidRDefault="002A7D19" w:rsidP="003A31ED">
            <w:pPr>
              <w:spacing w:line="280" w:lineRule="atLeast"/>
              <w:jc w:val="center"/>
              <w:cnfStyle w:val="000000100000" w:firstRow="0" w:lastRow="0" w:firstColumn="0" w:lastColumn="0" w:oddVBand="0" w:evenVBand="0" w:oddHBand="1" w:evenHBand="0" w:firstRowFirstColumn="0" w:firstRowLastColumn="0" w:lastRowFirstColumn="0" w:lastRowLastColumn="0"/>
              <w:rPr>
                <w:rFonts w:eastAsia="Arial" w:cs="Arial"/>
                <w:b/>
                <w:sz w:val="22"/>
                <w:szCs w:val="22"/>
              </w:rPr>
            </w:pPr>
            <w:r w:rsidRPr="00234CF7">
              <w:rPr>
                <w:rFonts w:eastAsia="Arial" w:cs="Arial"/>
                <w:b/>
                <w:sz w:val="22"/>
                <w:szCs w:val="22"/>
              </w:rPr>
              <w:t>AI (mg/day)</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FD53F2F" w14:textId="77777777" w:rsidR="002A7D19" w:rsidRPr="00234CF7" w:rsidRDefault="002A7D19" w:rsidP="003A31ED">
            <w:pPr>
              <w:spacing w:line="280" w:lineRule="atLeast"/>
              <w:jc w:val="center"/>
              <w:cnfStyle w:val="000000100000" w:firstRow="0" w:lastRow="0" w:firstColumn="0" w:lastColumn="0" w:oddVBand="0" w:evenVBand="0" w:oddHBand="1" w:evenHBand="0" w:firstRowFirstColumn="0" w:firstRowLastColumn="0" w:lastRowFirstColumn="0" w:lastRowLastColumn="0"/>
              <w:rPr>
                <w:rFonts w:eastAsia="Arial" w:cs="Arial"/>
                <w:sz w:val="22"/>
                <w:szCs w:val="22"/>
              </w:rPr>
            </w:pPr>
            <w:r w:rsidRPr="00234CF7">
              <w:rPr>
                <w:rFonts w:eastAsia="Arial" w:cs="Arial"/>
                <w:b/>
                <w:sz w:val="22"/>
                <w:szCs w:val="22"/>
              </w:rPr>
              <w:t>AI (mg/day)</w:t>
            </w:r>
          </w:p>
        </w:tc>
      </w:tr>
      <w:tr w:rsidR="002A7D19" w:rsidRPr="00C12A6C" w14:paraId="3A1B0E83"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3ED52B7F" w14:textId="77777777" w:rsidR="002A7D19" w:rsidRPr="00234CF7" w:rsidRDefault="002A7D19" w:rsidP="002431EC">
            <w:pPr>
              <w:spacing w:before="0" w:after="0" w:line="240" w:lineRule="auto"/>
              <w:ind w:left="142"/>
              <w:rPr>
                <w:rFonts w:eastAsia="Times New Roman" w:cs="Arial"/>
                <w:b w:val="0"/>
                <w:bCs w:val="0"/>
                <w:color w:val="000000" w:themeColor="text1"/>
                <w:sz w:val="22"/>
                <w:szCs w:val="22"/>
              </w:rPr>
            </w:pPr>
            <w:r w:rsidRPr="00234CF7">
              <w:rPr>
                <w:rFonts w:eastAsia="Times New Roman" w:cs="Arial"/>
                <w:b w:val="0"/>
                <w:bCs w:val="0"/>
                <w:color w:val="000000" w:themeColor="text1"/>
                <w:sz w:val="22"/>
                <w:szCs w:val="22"/>
              </w:rPr>
              <w:t xml:space="preserve">1 to under 4 years </w:t>
            </w:r>
          </w:p>
        </w:tc>
        <w:tc>
          <w:tcPr>
            <w:tcW w:w="762"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vAlign w:val="center"/>
          </w:tcPr>
          <w:p w14:paraId="12F28DDE" w14:textId="77777777" w:rsidR="002A7D19" w:rsidRPr="00234CF7" w:rsidRDefault="002A7D19" w:rsidP="002431EC">
            <w:pPr>
              <w:spacing w:before="0" w:after="0" w:line="240" w:lineRule="auto"/>
              <w:ind w:left="142"/>
              <w:jc w:val="center"/>
              <w:cnfStyle w:val="000000010000" w:firstRow="0" w:lastRow="0" w:firstColumn="0" w:lastColumn="0" w:oddVBand="0" w:evenVBand="0" w:oddHBand="0" w:evenHBand="1" w:firstRowFirstColumn="0" w:firstRowLastColumn="0" w:lastRowFirstColumn="0" w:lastRowLastColumn="0"/>
              <w:rPr>
                <w:rFonts w:eastAsia="Arial" w:cs="Arial"/>
                <w:sz w:val="22"/>
                <w:szCs w:val="22"/>
              </w:rPr>
            </w:pPr>
            <w:r w:rsidRPr="00234CF7">
              <w:rPr>
                <w:rFonts w:eastAsia="Times New Roman" w:cs="Arial"/>
                <w:i/>
                <w:iCs/>
                <w:sz w:val="22"/>
                <w:szCs w:val="22"/>
              </w:rPr>
              <w:t>200 - 400</w:t>
            </w:r>
          </w:p>
        </w:tc>
        <w:tc>
          <w:tcPr>
            <w:tcW w:w="808"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vAlign w:val="center"/>
          </w:tcPr>
          <w:p w14:paraId="7E39493F" w14:textId="77777777" w:rsidR="002A7D19" w:rsidRPr="00234CF7" w:rsidRDefault="002A7D19" w:rsidP="002431EC">
            <w:pPr>
              <w:spacing w:before="0" w:after="0" w:line="240" w:lineRule="auto"/>
              <w:ind w:left="142"/>
              <w:jc w:val="center"/>
              <w:cnfStyle w:val="000000010000" w:firstRow="0" w:lastRow="0" w:firstColumn="0" w:lastColumn="0" w:oddVBand="0" w:evenVBand="0" w:oddHBand="0" w:evenHBand="1" w:firstRowFirstColumn="0" w:firstRowLastColumn="0" w:lastRowFirstColumn="0" w:lastRowLastColumn="0"/>
              <w:rPr>
                <w:rFonts w:eastAsia="Arial" w:cs="Arial"/>
                <w:sz w:val="22"/>
                <w:szCs w:val="22"/>
              </w:rPr>
            </w:pPr>
            <w:r w:rsidRPr="00234CF7">
              <w:rPr>
                <w:rFonts w:eastAsia="Times New Roman" w:cs="Arial"/>
                <w:i/>
                <w:iCs/>
                <w:sz w:val="22"/>
                <w:szCs w:val="22"/>
              </w:rPr>
              <w:t>9-17</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76BC00A7" w14:textId="77777777" w:rsidR="002A7D19" w:rsidRPr="00234CF7" w:rsidRDefault="002A7D19" w:rsidP="002431EC">
            <w:pPr>
              <w:spacing w:before="0" w:after="0" w:line="240" w:lineRule="auto"/>
              <w:ind w:left="136"/>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234CF7">
              <w:rPr>
                <w:rFonts w:eastAsia="Times New Roman" w:cs="Arial"/>
                <w:color w:val="000000" w:themeColor="text1"/>
                <w:sz w:val="22"/>
                <w:szCs w:val="22"/>
              </w:rPr>
              <w:t xml:space="preserve">1 to under 4 years </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2571EFCB" w14:textId="63B7E2C3" w:rsidR="002A7D19" w:rsidRPr="00234CF7" w:rsidRDefault="002A7D19" w:rsidP="002431EC">
            <w:pPr>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eastAsia="Arial" w:cs="Arial"/>
                <w:i/>
                <w:iCs/>
                <w:sz w:val="22"/>
                <w:szCs w:val="22"/>
              </w:rPr>
            </w:pPr>
            <w:r w:rsidRPr="00234CF7">
              <w:rPr>
                <w:rFonts w:eastAsia="Arial" w:cs="Arial"/>
                <w:i/>
                <w:iCs/>
                <w:sz w:val="22"/>
                <w:szCs w:val="22"/>
              </w:rPr>
              <w:t>4</w:t>
            </w:r>
            <w:r w:rsidR="001E2A49">
              <w:rPr>
                <w:rFonts w:eastAsia="Arial" w:cs="Arial"/>
                <w:i/>
                <w:iCs/>
                <w:sz w:val="22"/>
                <w:szCs w:val="22"/>
              </w:rPr>
              <w:t>0</w:t>
            </w:r>
            <w:r w:rsidRPr="00234CF7">
              <w:rPr>
                <w:rFonts w:eastAsia="Arial" w:cs="Arial"/>
                <w:i/>
                <w:iCs/>
                <w:sz w:val="22"/>
                <w:szCs w:val="22"/>
              </w:rPr>
              <w:t>0</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1F091298" w14:textId="3837F843" w:rsidR="002A7D19" w:rsidRPr="00234CF7" w:rsidRDefault="001E2A49" w:rsidP="002431EC">
            <w:pPr>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eastAsia="Arial" w:cs="Arial"/>
                <w:sz w:val="22"/>
                <w:szCs w:val="22"/>
              </w:rPr>
            </w:pPr>
            <w:r>
              <w:rPr>
                <w:rFonts w:eastAsia="Arial" w:cs="Arial"/>
                <w:i/>
                <w:sz w:val="22"/>
                <w:szCs w:val="22"/>
              </w:rPr>
              <w:t>17</w:t>
            </w:r>
          </w:p>
        </w:tc>
      </w:tr>
      <w:tr w:rsidR="002A7D19" w:rsidRPr="00C12A6C" w14:paraId="152FAEAA"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3B088165" w14:textId="77777777" w:rsidR="002A7D19" w:rsidRPr="00234CF7" w:rsidRDefault="002A7D19" w:rsidP="002431EC">
            <w:pPr>
              <w:spacing w:before="0" w:after="0" w:line="240" w:lineRule="auto"/>
              <w:ind w:left="142"/>
              <w:rPr>
                <w:rFonts w:eastAsia="Times New Roman" w:cs="Arial"/>
                <w:b w:val="0"/>
                <w:bCs w:val="0"/>
                <w:color w:val="000000" w:themeColor="text1"/>
                <w:sz w:val="22"/>
                <w:szCs w:val="22"/>
              </w:rPr>
            </w:pPr>
            <w:r w:rsidRPr="00234CF7">
              <w:rPr>
                <w:rFonts w:eastAsia="Times New Roman" w:cs="Arial"/>
                <w:b w:val="0"/>
                <w:bCs w:val="0"/>
                <w:color w:val="000000" w:themeColor="text1"/>
                <w:sz w:val="22"/>
                <w:szCs w:val="22"/>
              </w:rPr>
              <w:t>4 to under 9 years</w:t>
            </w:r>
          </w:p>
        </w:tc>
        <w:tc>
          <w:tcPr>
            <w:tcW w:w="762"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vAlign w:val="center"/>
          </w:tcPr>
          <w:p w14:paraId="5058D64F" w14:textId="77777777" w:rsidR="002A7D19" w:rsidRPr="00234CF7" w:rsidRDefault="002A7D19" w:rsidP="002431EC">
            <w:pPr>
              <w:spacing w:before="0" w:after="0" w:line="240" w:lineRule="auto"/>
              <w:ind w:left="142"/>
              <w:jc w:val="center"/>
              <w:cnfStyle w:val="000000100000" w:firstRow="0" w:lastRow="0" w:firstColumn="0" w:lastColumn="0" w:oddVBand="0" w:evenVBand="0" w:oddHBand="1" w:evenHBand="0" w:firstRowFirstColumn="0" w:firstRowLastColumn="0" w:lastRowFirstColumn="0" w:lastRowLastColumn="0"/>
              <w:rPr>
                <w:rFonts w:eastAsia="Arial" w:cs="Arial"/>
                <w:i/>
                <w:sz w:val="22"/>
                <w:szCs w:val="22"/>
              </w:rPr>
            </w:pPr>
            <w:r w:rsidRPr="00234CF7">
              <w:rPr>
                <w:rFonts w:eastAsia="Times New Roman" w:cs="Arial"/>
                <w:i/>
                <w:iCs/>
                <w:sz w:val="22"/>
                <w:szCs w:val="22"/>
              </w:rPr>
              <w:t>300 – 600</w:t>
            </w:r>
          </w:p>
        </w:tc>
        <w:tc>
          <w:tcPr>
            <w:tcW w:w="808"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vAlign w:val="center"/>
          </w:tcPr>
          <w:p w14:paraId="7B226DA3" w14:textId="77777777" w:rsidR="002A7D19" w:rsidRPr="00234CF7" w:rsidRDefault="002A7D19" w:rsidP="002431EC">
            <w:pPr>
              <w:spacing w:before="0" w:after="0" w:line="240" w:lineRule="auto"/>
              <w:ind w:left="142"/>
              <w:jc w:val="center"/>
              <w:cnfStyle w:val="000000100000" w:firstRow="0" w:lastRow="0" w:firstColumn="0" w:lastColumn="0" w:oddVBand="0" w:evenVBand="0" w:oddHBand="1" w:evenHBand="0" w:firstRowFirstColumn="0" w:firstRowLastColumn="0" w:lastRowFirstColumn="0" w:lastRowLastColumn="0"/>
              <w:rPr>
                <w:rFonts w:eastAsia="Arial" w:cs="Arial"/>
                <w:i/>
                <w:sz w:val="22"/>
                <w:szCs w:val="22"/>
              </w:rPr>
            </w:pPr>
            <w:r w:rsidRPr="00234CF7">
              <w:rPr>
                <w:rFonts w:eastAsia="Times New Roman" w:cs="Arial"/>
                <w:i/>
                <w:iCs/>
                <w:sz w:val="22"/>
                <w:szCs w:val="22"/>
              </w:rPr>
              <w:t>13-26</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2D4F75B" w14:textId="77777777" w:rsidR="002A7D19" w:rsidRPr="00234CF7" w:rsidRDefault="002A7D19" w:rsidP="002431EC">
            <w:pPr>
              <w:spacing w:before="0" w:after="0" w:line="240" w:lineRule="auto"/>
              <w:ind w:left="136"/>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234CF7">
              <w:rPr>
                <w:rFonts w:eastAsia="Times New Roman" w:cs="Arial"/>
                <w:color w:val="000000" w:themeColor="text1"/>
                <w:sz w:val="22"/>
                <w:szCs w:val="22"/>
              </w:rPr>
              <w:t>4 to under 9 years</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6F2242AF" w14:textId="66413F42" w:rsidR="002A7D19" w:rsidRPr="00234CF7" w:rsidRDefault="002A7D19" w:rsidP="002431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Arial" w:cs="Arial"/>
                <w:i/>
                <w:sz w:val="22"/>
                <w:szCs w:val="22"/>
              </w:rPr>
            </w:pPr>
            <w:r w:rsidRPr="00234CF7">
              <w:rPr>
                <w:rFonts w:eastAsia="Arial" w:cs="Arial"/>
                <w:i/>
                <w:sz w:val="22"/>
                <w:szCs w:val="22"/>
              </w:rPr>
              <w:t>6</w:t>
            </w:r>
            <w:r w:rsidR="001E2A49">
              <w:rPr>
                <w:rFonts w:eastAsia="Arial" w:cs="Arial"/>
                <w:i/>
                <w:sz w:val="22"/>
                <w:szCs w:val="22"/>
              </w:rPr>
              <w:t>0</w:t>
            </w:r>
            <w:r w:rsidRPr="00234CF7">
              <w:rPr>
                <w:rFonts w:eastAsia="Arial" w:cs="Arial"/>
                <w:i/>
                <w:sz w:val="22"/>
                <w:szCs w:val="22"/>
              </w:rPr>
              <w:t>0</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106531AF" w14:textId="66DCDDD2" w:rsidR="002A7D19" w:rsidRPr="00234CF7" w:rsidRDefault="001E2A49" w:rsidP="002431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Arial" w:cs="Arial"/>
                <w:i/>
                <w:sz w:val="22"/>
                <w:szCs w:val="22"/>
              </w:rPr>
            </w:pPr>
            <w:r>
              <w:rPr>
                <w:rFonts w:eastAsia="Arial" w:cs="Arial"/>
                <w:i/>
                <w:sz w:val="22"/>
                <w:szCs w:val="22"/>
              </w:rPr>
              <w:t>26</w:t>
            </w:r>
          </w:p>
        </w:tc>
      </w:tr>
      <w:tr w:rsidR="002A7D19" w:rsidRPr="00C12A6C" w14:paraId="5B75C729"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614C6A0D" w14:textId="77777777" w:rsidR="002A7D19" w:rsidRPr="00234CF7" w:rsidRDefault="002A7D19" w:rsidP="002431EC">
            <w:pPr>
              <w:spacing w:before="0" w:after="0" w:line="240" w:lineRule="auto"/>
              <w:ind w:left="142"/>
              <w:rPr>
                <w:rFonts w:eastAsia="Times New Roman" w:cs="Arial"/>
                <w:b w:val="0"/>
                <w:bCs w:val="0"/>
                <w:color w:val="000000" w:themeColor="text1"/>
                <w:sz w:val="22"/>
                <w:szCs w:val="22"/>
              </w:rPr>
            </w:pPr>
            <w:r w:rsidRPr="00234CF7">
              <w:rPr>
                <w:rFonts w:eastAsia="Times New Roman" w:cs="Arial"/>
                <w:b w:val="0"/>
                <w:bCs w:val="0"/>
                <w:color w:val="000000" w:themeColor="text1"/>
                <w:sz w:val="22"/>
                <w:szCs w:val="22"/>
              </w:rPr>
              <w:t>9 to under 14 years</w:t>
            </w:r>
          </w:p>
        </w:tc>
        <w:tc>
          <w:tcPr>
            <w:tcW w:w="762"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vAlign w:val="center"/>
          </w:tcPr>
          <w:p w14:paraId="4B8D5AB3" w14:textId="77777777" w:rsidR="002A7D19" w:rsidRPr="00234CF7" w:rsidRDefault="002A7D19" w:rsidP="002431EC">
            <w:pPr>
              <w:spacing w:before="0" w:after="0" w:line="240" w:lineRule="auto"/>
              <w:ind w:left="142"/>
              <w:jc w:val="center"/>
              <w:cnfStyle w:val="000000010000" w:firstRow="0" w:lastRow="0" w:firstColumn="0" w:lastColumn="0" w:oddVBand="0" w:evenVBand="0" w:oddHBand="0" w:evenHBand="1" w:firstRowFirstColumn="0" w:firstRowLastColumn="0" w:lastRowFirstColumn="0" w:lastRowLastColumn="0"/>
              <w:rPr>
                <w:rFonts w:eastAsia="Arial" w:cs="Arial"/>
                <w:i/>
                <w:sz w:val="22"/>
                <w:szCs w:val="22"/>
              </w:rPr>
            </w:pPr>
            <w:r w:rsidRPr="00234CF7">
              <w:rPr>
                <w:rFonts w:eastAsia="Times New Roman" w:cs="Arial"/>
                <w:i/>
                <w:iCs/>
                <w:sz w:val="22"/>
                <w:szCs w:val="22"/>
              </w:rPr>
              <w:t>400 – 800</w:t>
            </w:r>
          </w:p>
        </w:tc>
        <w:tc>
          <w:tcPr>
            <w:tcW w:w="808"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vAlign w:val="center"/>
          </w:tcPr>
          <w:p w14:paraId="08DD670A" w14:textId="77777777" w:rsidR="002A7D19" w:rsidRPr="00234CF7" w:rsidRDefault="002A7D19" w:rsidP="002431EC">
            <w:pPr>
              <w:spacing w:before="0" w:after="0" w:line="240" w:lineRule="auto"/>
              <w:ind w:left="142"/>
              <w:jc w:val="center"/>
              <w:cnfStyle w:val="000000010000" w:firstRow="0" w:lastRow="0" w:firstColumn="0" w:lastColumn="0" w:oddVBand="0" w:evenVBand="0" w:oddHBand="0" w:evenHBand="1" w:firstRowFirstColumn="0" w:firstRowLastColumn="0" w:lastRowFirstColumn="0" w:lastRowLastColumn="0"/>
              <w:rPr>
                <w:rFonts w:eastAsia="Arial" w:cs="Arial"/>
                <w:i/>
                <w:sz w:val="22"/>
                <w:szCs w:val="22"/>
              </w:rPr>
            </w:pPr>
            <w:r w:rsidRPr="00234CF7">
              <w:rPr>
                <w:rFonts w:eastAsia="Times New Roman" w:cs="Arial"/>
                <w:i/>
                <w:iCs/>
                <w:sz w:val="22"/>
                <w:szCs w:val="22"/>
              </w:rPr>
              <w:t>17-34</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30C68E3A" w14:textId="77777777" w:rsidR="002A7D19" w:rsidRPr="00234CF7" w:rsidRDefault="002A7D19" w:rsidP="002431EC">
            <w:pPr>
              <w:spacing w:before="0" w:after="0" w:line="240" w:lineRule="auto"/>
              <w:ind w:left="136"/>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234CF7">
              <w:rPr>
                <w:rFonts w:eastAsia="Times New Roman" w:cs="Arial"/>
                <w:color w:val="000000" w:themeColor="text1"/>
                <w:sz w:val="22"/>
                <w:szCs w:val="22"/>
              </w:rPr>
              <w:t>9 to under 14 years</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4C4B0543" w14:textId="48907FB8" w:rsidR="002A7D19" w:rsidRPr="00234CF7" w:rsidRDefault="002A7D19" w:rsidP="002431EC">
            <w:pPr>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eastAsia="Arial" w:cs="Arial"/>
                <w:i/>
                <w:sz w:val="22"/>
                <w:szCs w:val="22"/>
              </w:rPr>
            </w:pPr>
            <w:r w:rsidRPr="00234CF7">
              <w:rPr>
                <w:rFonts w:eastAsia="Arial" w:cs="Arial"/>
                <w:i/>
                <w:sz w:val="22"/>
                <w:szCs w:val="22"/>
              </w:rPr>
              <w:t>8</w:t>
            </w:r>
            <w:r w:rsidR="001E2A49">
              <w:rPr>
                <w:rFonts w:eastAsia="Arial" w:cs="Arial"/>
                <w:i/>
                <w:sz w:val="22"/>
                <w:szCs w:val="22"/>
              </w:rPr>
              <w:t>0</w:t>
            </w:r>
            <w:r w:rsidRPr="00234CF7">
              <w:rPr>
                <w:rFonts w:eastAsia="Arial" w:cs="Arial"/>
                <w:i/>
                <w:sz w:val="22"/>
                <w:szCs w:val="22"/>
              </w:rPr>
              <w:t>0</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7515AC09" w14:textId="14B47FFA" w:rsidR="002A7D19" w:rsidRPr="00234CF7" w:rsidRDefault="001E2A49" w:rsidP="002431EC">
            <w:pPr>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eastAsia="Arial" w:cs="Arial"/>
                <w:i/>
                <w:sz w:val="22"/>
                <w:szCs w:val="22"/>
              </w:rPr>
            </w:pPr>
            <w:r>
              <w:rPr>
                <w:rFonts w:eastAsia="Arial" w:cs="Arial"/>
                <w:i/>
                <w:sz w:val="22"/>
                <w:szCs w:val="22"/>
              </w:rPr>
              <w:t>34</w:t>
            </w:r>
          </w:p>
        </w:tc>
      </w:tr>
      <w:tr w:rsidR="002A7D19" w:rsidRPr="00C12A6C" w14:paraId="57955338"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50664D54" w14:textId="77777777" w:rsidR="002A7D19" w:rsidRPr="00234CF7" w:rsidRDefault="002A7D19" w:rsidP="002431EC">
            <w:pPr>
              <w:spacing w:before="0" w:after="0" w:line="240" w:lineRule="auto"/>
              <w:ind w:left="142"/>
              <w:rPr>
                <w:rFonts w:eastAsia="Times New Roman" w:cs="Arial"/>
                <w:b w:val="0"/>
                <w:bCs w:val="0"/>
                <w:color w:val="000000" w:themeColor="text1"/>
                <w:sz w:val="22"/>
                <w:szCs w:val="22"/>
              </w:rPr>
            </w:pPr>
            <w:r w:rsidRPr="00234CF7">
              <w:rPr>
                <w:rFonts w:eastAsia="Times New Roman" w:cs="Arial"/>
                <w:b w:val="0"/>
                <w:bCs w:val="0"/>
                <w:color w:val="000000" w:themeColor="text1"/>
                <w:sz w:val="22"/>
                <w:szCs w:val="22"/>
              </w:rPr>
              <w:t>14 to under 18 years</w:t>
            </w:r>
          </w:p>
        </w:tc>
        <w:tc>
          <w:tcPr>
            <w:tcW w:w="762"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vAlign w:val="center"/>
          </w:tcPr>
          <w:p w14:paraId="7FB17CC2" w14:textId="77777777" w:rsidR="002A7D19" w:rsidRPr="00234CF7" w:rsidRDefault="002A7D19" w:rsidP="002431EC">
            <w:pPr>
              <w:spacing w:before="0" w:after="0" w:line="240" w:lineRule="auto"/>
              <w:ind w:left="142"/>
              <w:jc w:val="center"/>
              <w:cnfStyle w:val="000000100000" w:firstRow="0" w:lastRow="0" w:firstColumn="0" w:lastColumn="0" w:oddVBand="0" w:evenVBand="0" w:oddHBand="1" w:evenHBand="0" w:firstRowFirstColumn="0" w:firstRowLastColumn="0" w:lastRowFirstColumn="0" w:lastRowLastColumn="0"/>
              <w:rPr>
                <w:rFonts w:eastAsia="Arial" w:cs="Arial"/>
                <w:i/>
                <w:sz w:val="22"/>
                <w:szCs w:val="22"/>
              </w:rPr>
            </w:pPr>
            <w:r w:rsidRPr="00234CF7">
              <w:rPr>
                <w:rFonts w:eastAsia="Times New Roman" w:cs="Arial"/>
                <w:i/>
                <w:iCs/>
                <w:sz w:val="22"/>
                <w:szCs w:val="22"/>
              </w:rPr>
              <w:t>460 - 920</w:t>
            </w:r>
          </w:p>
        </w:tc>
        <w:tc>
          <w:tcPr>
            <w:tcW w:w="808"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vAlign w:val="center"/>
          </w:tcPr>
          <w:p w14:paraId="570C183C" w14:textId="77777777" w:rsidR="002A7D19" w:rsidRPr="00234CF7" w:rsidRDefault="002A7D19" w:rsidP="002431EC">
            <w:pPr>
              <w:spacing w:before="0" w:after="0" w:line="240" w:lineRule="auto"/>
              <w:ind w:left="142"/>
              <w:jc w:val="center"/>
              <w:cnfStyle w:val="000000100000" w:firstRow="0" w:lastRow="0" w:firstColumn="0" w:lastColumn="0" w:oddVBand="0" w:evenVBand="0" w:oddHBand="1" w:evenHBand="0" w:firstRowFirstColumn="0" w:firstRowLastColumn="0" w:lastRowFirstColumn="0" w:lastRowLastColumn="0"/>
              <w:rPr>
                <w:rFonts w:eastAsia="Arial" w:cs="Arial"/>
                <w:i/>
                <w:sz w:val="22"/>
                <w:szCs w:val="22"/>
              </w:rPr>
            </w:pPr>
            <w:r w:rsidRPr="00234CF7">
              <w:rPr>
                <w:rFonts w:eastAsia="Times New Roman" w:cs="Arial"/>
                <w:i/>
                <w:iCs/>
                <w:sz w:val="22"/>
                <w:szCs w:val="22"/>
              </w:rPr>
              <w:t>20-40</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60A9615" w14:textId="77777777" w:rsidR="002A7D19" w:rsidRPr="00234CF7" w:rsidRDefault="002A7D19" w:rsidP="002431EC">
            <w:pPr>
              <w:spacing w:before="0" w:after="0" w:line="240" w:lineRule="auto"/>
              <w:ind w:left="136"/>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234CF7">
              <w:rPr>
                <w:rFonts w:eastAsia="Times New Roman" w:cs="Arial"/>
                <w:color w:val="000000" w:themeColor="text1"/>
                <w:sz w:val="22"/>
                <w:szCs w:val="22"/>
              </w:rPr>
              <w:t>14 to under 18 years</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5F2C66C3" w14:textId="604052E1" w:rsidR="002A7D19" w:rsidRPr="00234CF7" w:rsidRDefault="001E2A49" w:rsidP="002431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Arial" w:cs="Arial"/>
                <w:i/>
                <w:sz w:val="22"/>
                <w:szCs w:val="22"/>
              </w:rPr>
            </w:pPr>
            <w:r>
              <w:rPr>
                <w:rFonts w:eastAsia="Arial" w:cs="Arial"/>
                <w:i/>
                <w:sz w:val="22"/>
                <w:szCs w:val="22"/>
              </w:rPr>
              <w:t>920</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456F3D74" w14:textId="2E340A84" w:rsidR="002A7D19" w:rsidRPr="00234CF7" w:rsidRDefault="001E2A49" w:rsidP="002431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Arial" w:cs="Arial"/>
                <w:i/>
                <w:sz w:val="22"/>
                <w:szCs w:val="22"/>
              </w:rPr>
            </w:pPr>
            <w:r>
              <w:rPr>
                <w:rFonts w:eastAsia="Arial" w:cs="Arial"/>
                <w:i/>
                <w:sz w:val="22"/>
                <w:szCs w:val="22"/>
              </w:rPr>
              <w:t>40</w:t>
            </w:r>
          </w:p>
        </w:tc>
      </w:tr>
      <w:tr w:rsidR="002A7D19" w:rsidRPr="00C12A6C" w14:paraId="34370C73"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pct"/>
            <w:gridSpan w:val="3"/>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16A68182" w14:textId="77777777" w:rsidR="002A7D19" w:rsidRPr="00234CF7" w:rsidRDefault="002A7D19" w:rsidP="002431EC">
            <w:pPr>
              <w:spacing w:before="0" w:after="0" w:line="240" w:lineRule="auto"/>
              <w:ind w:left="142"/>
              <w:rPr>
                <w:rFonts w:eastAsia="Arial" w:cs="Arial"/>
                <w:i/>
                <w:sz w:val="22"/>
                <w:szCs w:val="22"/>
              </w:rPr>
            </w:pPr>
            <w:r w:rsidRPr="00234CF7">
              <w:rPr>
                <w:rFonts w:eastAsia="Times New Roman" w:cs="Arial"/>
                <w:color w:val="000000" w:themeColor="text1"/>
                <w:sz w:val="22"/>
                <w:szCs w:val="22"/>
              </w:rPr>
              <w:t xml:space="preserve">Alternative school-age groupings </w:t>
            </w:r>
          </w:p>
        </w:tc>
        <w:tc>
          <w:tcPr>
            <w:tcW w:w="2526" w:type="pct"/>
            <w:gridSpan w:val="3"/>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0CC31CDD" w14:textId="77777777" w:rsidR="002A7D19" w:rsidRPr="00234CF7" w:rsidRDefault="002A7D19" w:rsidP="002431EC">
            <w:pPr>
              <w:spacing w:before="0" w:after="0" w:line="240" w:lineRule="auto"/>
              <w:ind w:left="136"/>
              <w:cnfStyle w:val="000000010000" w:firstRow="0" w:lastRow="0" w:firstColumn="0" w:lastColumn="0" w:oddVBand="0" w:evenVBand="0" w:oddHBand="0" w:evenHBand="1" w:firstRowFirstColumn="0" w:firstRowLastColumn="0" w:lastRowFirstColumn="0" w:lastRowLastColumn="0"/>
              <w:rPr>
                <w:rFonts w:eastAsia="Arial" w:cs="Arial"/>
                <w:b/>
                <w:bCs/>
                <w:i/>
                <w:sz w:val="22"/>
                <w:szCs w:val="22"/>
              </w:rPr>
            </w:pPr>
            <w:r w:rsidRPr="00234CF7">
              <w:rPr>
                <w:rFonts w:eastAsia="Times New Roman" w:cs="Arial"/>
                <w:b/>
                <w:bCs/>
                <w:color w:val="000000" w:themeColor="text1"/>
                <w:sz w:val="22"/>
                <w:szCs w:val="22"/>
              </w:rPr>
              <w:t>Alternative school-age groupings</w:t>
            </w:r>
          </w:p>
        </w:tc>
      </w:tr>
      <w:tr w:rsidR="002A7D19" w:rsidRPr="00C12A6C" w14:paraId="2F429055"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3EE55A2A" w14:textId="77777777" w:rsidR="002A7D19" w:rsidRPr="00234CF7" w:rsidRDefault="002A7D19" w:rsidP="002431EC">
            <w:pPr>
              <w:spacing w:before="0" w:after="0" w:line="240" w:lineRule="auto"/>
              <w:ind w:left="142"/>
              <w:rPr>
                <w:rFonts w:eastAsia="Times New Roman" w:cs="Arial"/>
                <w:b w:val="0"/>
                <w:bCs w:val="0"/>
                <w:color w:val="000000" w:themeColor="text1"/>
                <w:sz w:val="22"/>
                <w:szCs w:val="22"/>
              </w:rPr>
            </w:pPr>
            <w:r w:rsidRPr="00234CF7">
              <w:rPr>
                <w:rFonts w:eastAsia="Times New Roman" w:cs="Arial"/>
                <w:b w:val="0"/>
                <w:bCs w:val="0"/>
                <w:color w:val="000000" w:themeColor="text1"/>
                <w:sz w:val="22"/>
                <w:szCs w:val="22"/>
              </w:rPr>
              <w:t xml:space="preserve">12 to under 24 months </w:t>
            </w:r>
          </w:p>
        </w:tc>
        <w:tc>
          <w:tcPr>
            <w:tcW w:w="762"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7FC0D48C" w14:textId="77777777" w:rsidR="002A7D19" w:rsidRPr="00234CF7" w:rsidRDefault="002A7D19" w:rsidP="002431EC">
            <w:pPr>
              <w:spacing w:before="0" w:after="0" w:line="240" w:lineRule="auto"/>
              <w:ind w:left="142"/>
              <w:jc w:val="center"/>
              <w:cnfStyle w:val="000000100000" w:firstRow="0" w:lastRow="0" w:firstColumn="0" w:lastColumn="0" w:oddVBand="0" w:evenVBand="0" w:oddHBand="1" w:evenHBand="0" w:firstRowFirstColumn="0" w:firstRowLastColumn="0" w:lastRowFirstColumn="0" w:lastRowLastColumn="0"/>
              <w:rPr>
                <w:rFonts w:eastAsia="Times New Roman" w:cs="Arial"/>
                <w:i/>
                <w:iCs/>
                <w:sz w:val="22"/>
                <w:szCs w:val="22"/>
              </w:rPr>
            </w:pPr>
            <w:r w:rsidRPr="00234CF7">
              <w:rPr>
                <w:rFonts w:eastAsia="Times New Roman" w:cs="Arial"/>
                <w:i/>
                <w:iCs/>
                <w:sz w:val="22"/>
                <w:szCs w:val="22"/>
              </w:rPr>
              <w:t>200 – 350</w:t>
            </w:r>
          </w:p>
        </w:tc>
        <w:tc>
          <w:tcPr>
            <w:tcW w:w="808"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23A6F027" w14:textId="77777777" w:rsidR="002A7D19" w:rsidRPr="00234CF7" w:rsidRDefault="002A7D19" w:rsidP="002431EC">
            <w:pPr>
              <w:spacing w:before="0" w:after="0" w:line="240" w:lineRule="auto"/>
              <w:ind w:left="142"/>
              <w:jc w:val="center"/>
              <w:cnfStyle w:val="000000100000" w:firstRow="0" w:lastRow="0" w:firstColumn="0" w:lastColumn="0" w:oddVBand="0" w:evenVBand="0" w:oddHBand="1" w:evenHBand="0" w:firstRowFirstColumn="0" w:firstRowLastColumn="0" w:lastRowFirstColumn="0" w:lastRowLastColumn="0"/>
              <w:rPr>
                <w:rFonts w:eastAsia="Times New Roman" w:cs="Arial"/>
                <w:i/>
                <w:iCs/>
                <w:sz w:val="22"/>
                <w:szCs w:val="22"/>
              </w:rPr>
            </w:pPr>
            <w:r w:rsidRPr="00234CF7">
              <w:rPr>
                <w:rFonts w:eastAsia="Times New Roman" w:cs="Arial"/>
                <w:i/>
                <w:iCs/>
                <w:sz w:val="22"/>
                <w:szCs w:val="22"/>
              </w:rPr>
              <w:t>9 – 15</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657D438" w14:textId="77777777" w:rsidR="002A7D19" w:rsidRPr="00234CF7" w:rsidRDefault="002A7D19" w:rsidP="002431EC">
            <w:pPr>
              <w:spacing w:before="0" w:after="0" w:line="240" w:lineRule="auto"/>
              <w:ind w:left="136"/>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22"/>
                <w:szCs w:val="22"/>
              </w:rPr>
            </w:pPr>
            <w:r w:rsidRPr="00234CF7">
              <w:rPr>
                <w:rFonts w:eastAsia="Times New Roman" w:cs="Arial"/>
                <w:color w:val="000000" w:themeColor="text1"/>
                <w:sz w:val="22"/>
                <w:szCs w:val="22"/>
              </w:rPr>
              <w:t xml:space="preserve">12 to under 24 months </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02755033" w14:textId="77777777" w:rsidR="002A7D19" w:rsidRPr="00234CF7" w:rsidRDefault="002A7D19" w:rsidP="002431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Arial" w:cs="Arial"/>
                <w:i/>
                <w:sz w:val="22"/>
                <w:szCs w:val="22"/>
              </w:rPr>
            </w:pPr>
            <w:r w:rsidRPr="00234CF7">
              <w:rPr>
                <w:rFonts w:eastAsia="Arial" w:cs="Arial"/>
                <w:i/>
                <w:sz w:val="22"/>
                <w:szCs w:val="22"/>
              </w:rPr>
              <w:t>350</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69925E8F" w14:textId="77777777" w:rsidR="002A7D19" w:rsidRPr="00234CF7" w:rsidRDefault="002A7D19" w:rsidP="002431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Arial" w:cs="Arial"/>
                <w:i/>
                <w:sz w:val="22"/>
                <w:szCs w:val="22"/>
              </w:rPr>
            </w:pPr>
            <w:r w:rsidRPr="00234CF7">
              <w:rPr>
                <w:rFonts w:eastAsia="Arial" w:cs="Arial"/>
                <w:i/>
                <w:sz w:val="22"/>
                <w:szCs w:val="22"/>
              </w:rPr>
              <w:t>15</w:t>
            </w:r>
          </w:p>
        </w:tc>
      </w:tr>
      <w:tr w:rsidR="002A7D19" w:rsidRPr="00C12A6C" w14:paraId="3E6159F2"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27A7EB71" w14:textId="77777777" w:rsidR="002A7D19" w:rsidRPr="00234CF7" w:rsidRDefault="002A7D19" w:rsidP="002431EC">
            <w:pPr>
              <w:spacing w:before="0" w:after="0" w:line="240" w:lineRule="auto"/>
              <w:ind w:left="142"/>
              <w:rPr>
                <w:rFonts w:eastAsia="Times New Roman" w:cs="Arial"/>
                <w:b w:val="0"/>
                <w:bCs w:val="0"/>
                <w:color w:val="000000" w:themeColor="text1"/>
                <w:sz w:val="22"/>
                <w:szCs w:val="22"/>
              </w:rPr>
            </w:pPr>
            <w:r w:rsidRPr="00234CF7">
              <w:rPr>
                <w:rFonts w:eastAsia="Times New Roman" w:cs="Arial"/>
                <w:b w:val="0"/>
                <w:bCs w:val="0"/>
                <w:color w:val="000000" w:themeColor="text1"/>
                <w:sz w:val="22"/>
                <w:szCs w:val="22"/>
              </w:rPr>
              <w:t>2 to under 5 years</w:t>
            </w:r>
          </w:p>
        </w:tc>
        <w:tc>
          <w:tcPr>
            <w:tcW w:w="762"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70000A5E" w14:textId="77777777" w:rsidR="002A7D19" w:rsidRPr="00234CF7" w:rsidRDefault="002A7D19" w:rsidP="002431EC">
            <w:pPr>
              <w:spacing w:before="0" w:after="0" w:line="240" w:lineRule="auto"/>
              <w:ind w:left="142"/>
              <w:jc w:val="center"/>
              <w:cnfStyle w:val="000000010000" w:firstRow="0" w:lastRow="0" w:firstColumn="0" w:lastColumn="0" w:oddVBand="0" w:evenVBand="0" w:oddHBand="0" w:evenHBand="1" w:firstRowFirstColumn="0" w:firstRowLastColumn="0" w:lastRowFirstColumn="0" w:lastRowLastColumn="0"/>
              <w:rPr>
                <w:rFonts w:eastAsia="Times New Roman" w:cs="Arial"/>
                <w:i/>
                <w:iCs/>
                <w:sz w:val="22"/>
                <w:szCs w:val="22"/>
              </w:rPr>
            </w:pPr>
            <w:r w:rsidRPr="00234CF7">
              <w:rPr>
                <w:rFonts w:eastAsia="Times New Roman" w:cs="Arial"/>
                <w:i/>
                <w:iCs/>
                <w:sz w:val="22"/>
                <w:szCs w:val="22"/>
              </w:rPr>
              <w:t>250 – 500</w:t>
            </w:r>
          </w:p>
        </w:tc>
        <w:tc>
          <w:tcPr>
            <w:tcW w:w="808"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4C9A9A74" w14:textId="77777777" w:rsidR="002A7D19" w:rsidRPr="00234CF7" w:rsidRDefault="002A7D19" w:rsidP="002431EC">
            <w:pPr>
              <w:spacing w:before="0" w:after="0" w:line="240" w:lineRule="auto"/>
              <w:ind w:left="142"/>
              <w:jc w:val="center"/>
              <w:cnfStyle w:val="000000010000" w:firstRow="0" w:lastRow="0" w:firstColumn="0" w:lastColumn="0" w:oddVBand="0" w:evenVBand="0" w:oddHBand="0" w:evenHBand="1" w:firstRowFirstColumn="0" w:firstRowLastColumn="0" w:lastRowFirstColumn="0" w:lastRowLastColumn="0"/>
              <w:rPr>
                <w:rFonts w:eastAsia="Times New Roman" w:cs="Arial"/>
                <w:i/>
                <w:iCs/>
                <w:sz w:val="22"/>
                <w:szCs w:val="22"/>
              </w:rPr>
            </w:pPr>
            <w:r w:rsidRPr="00234CF7">
              <w:rPr>
                <w:rFonts w:eastAsia="Times New Roman" w:cs="Arial"/>
                <w:i/>
                <w:iCs/>
                <w:sz w:val="22"/>
                <w:szCs w:val="22"/>
              </w:rPr>
              <w:t>11 – 22</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622439F7" w14:textId="77777777" w:rsidR="002A7D19" w:rsidRPr="00234CF7" w:rsidRDefault="002A7D19" w:rsidP="002431EC">
            <w:pPr>
              <w:spacing w:before="0" w:after="0" w:line="240" w:lineRule="auto"/>
              <w:ind w:left="136"/>
              <w:cnfStyle w:val="000000010000" w:firstRow="0" w:lastRow="0" w:firstColumn="0" w:lastColumn="0" w:oddVBand="0" w:evenVBand="0" w:oddHBand="0" w:evenHBand="1" w:firstRowFirstColumn="0" w:firstRowLastColumn="0" w:lastRowFirstColumn="0" w:lastRowLastColumn="0"/>
              <w:rPr>
                <w:rFonts w:eastAsia="Times New Roman" w:cs="Arial"/>
                <w:color w:val="000000" w:themeColor="text1"/>
                <w:sz w:val="22"/>
                <w:szCs w:val="22"/>
              </w:rPr>
            </w:pPr>
            <w:r w:rsidRPr="00234CF7">
              <w:rPr>
                <w:rFonts w:eastAsia="Times New Roman" w:cs="Arial"/>
                <w:color w:val="000000" w:themeColor="text1"/>
                <w:sz w:val="22"/>
                <w:szCs w:val="22"/>
              </w:rPr>
              <w:t>2 to under 5 years</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22D0B32A" w14:textId="77777777" w:rsidR="002A7D19" w:rsidRPr="00234CF7" w:rsidRDefault="002A7D19" w:rsidP="002431EC">
            <w:pPr>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eastAsia="Arial" w:cs="Arial"/>
                <w:i/>
                <w:sz w:val="22"/>
                <w:szCs w:val="22"/>
              </w:rPr>
            </w:pPr>
            <w:r w:rsidRPr="00234CF7">
              <w:rPr>
                <w:rFonts w:eastAsia="Arial" w:cs="Arial"/>
                <w:i/>
                <w:sz w:val="22"/>
                <w:szCs w:val="22"/>
              </w:rPr>
              <w:t>500</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3B762474" w14:textId="77777777" w:rsidR="002A7D19" w:rsidRPr="00234CF7" w:rsidRDefault="002A7D19" w:rsidP="002431EC">
            <w:pPr>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eastAsia="Arial" w:cs="Arial"/>
                <w:i/>
                <w:sz w:val="22"/>
                <w:szCs w:val="22"/>
              </w:rPr>
            </w:pPr>
            <w:r w:rsidRPr="00234CF7">
              <w:rPr>
                <w:rFonts w:eastAsia="Arial" w:cs="Arial"/>
                <w:i/>
                <w:sz w:val="22"/>
                <w:szCs w:val="22"/>
              </w:rPr>
              <w:t>22</w:t>
            </w:r>
          </w:p>
        </w:tc>
      </w:tr>
      <w:tr w:rsidR="002A7D19" w:rsidRPr="00C12A6C" w14:paraId="2F3F08C5"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37C470A8" w14:textId="77777777" w:rsidR="002A7D19" w:rsidRPr="00234CF7" w:rsidRDefault="002A7D19" w:rsidP="002431EC">
            <w:pPr>
              <w:spacing w:before="0" w:after="0" w:line="240" w:lineRule="auto"/>
              <w:ind w:left="142"/>
              <w:rPr>
                <w:rFonts w:eastAsia="Times New Roman" w:cs="Arial"/>
                <w:b w:val="0"/>
                <w:bCs w:val="0"/>
                <w:color w:val="000000" w:themeColor="text1"/>
                <w:sz w:val="22"/>
                <w:szCs w:val="22"/>
              </w:rPr>
            </w:pPr>
            <w:r w:rsidRPr="00234CF7">
              <w:rPr>
                <w:rFonts w:eastAsia="Times New Roman" w:cs="Arial"/>
                <w:b w:val="0"/>
                <w:bCs w:val="0"/>
                <w:color w:val="000000" w:themeColor="text1"/>
                <w:sz w:val="22"/>
                <w:szCs w:val="22"/>
              </w:rPr>
              <w:t>5 to under 12 years</w:t>
            </w:r>
          </w:p>
        </w:tc>
        <w:tc>
          <w:tcPr>
            <w:tcW w:w="762"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0622AB69" w14:textId="77777777" w:rsidR="002A7D19" w:rsidRPr="00234CF7" w:rsidRDefault="002A7D19" w:rsidP="002431EC">
            <w:pPr>
              <w:spacing w:before="0" w:after="0" w:line="240" w:lineRule="auto"/>
              <w:ind w:left="142"/>
              <w:jc w:val="center"/>
              <w:cnfStyle w:val="000000100000" w:firstRow="0" w:lastRow="0" w:firstColumn="0" w:lastColumn="0" w:oddVBand="0" w:evenVBand="0" w:oddHBand="1" w:evenHBand="0" w:firstRowFirstColumn="0" w:firstRowLastColumn="0" w:lastRowFirstColumn="0" w:lastRowLastColumn="0"/>
              <w:rPr>
                <w:rFonts w:eastAsia="Times New Roman" w:cs="Arial"/>
                <w:i/>
                <w:iCs/>
                <w:sz w:val="22"/>
                <w:szCs w:val="22"/>
              </w:rPr>
            </w:pPr>
            <w:r w:rsidRPr="00234CF7">
              <w:rPr>
                <w:rFonts w:eastAsia="Times New Roman" w:cs="Arial"/>
                <w:i/>
                <w:iCs/>
                <w:sz w:val="22"/>
                <w:szCs w:val="22"/>
              </w:rPr>
              <w:t>350 – 700</w:t>
            </w:r>
          </w:p>
        </w:tc>
        <w:tc>
          <w:tcPr>
            <w:tcW w:w="808"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7B168E78" w14:textId="77777777" w:rsidR="002A7D19" w:rsidRPr="00234CF7" w:rsidRDefault="002A7D19" w:rsidP="002431EC">
            <w:pPr>
              <w:spacing w:before="0" w:after="0" w:line="240" w:lineRule="auto"/>
              <w:ind w:left="142"/>
              <w:jc w:val="center"/>
              <w:cnfStyle w:val="000000100000" w:firstRow="0" w:lastRow="0" w:firstColumn="0" w:lastColumn="0" w:oddVBand="0" w:evenVBand="0" w:oddHBand="1" w:evenHBand="0" w:firstRowFirstColumn="0" w:firstRowLastColumn="0" w:lastRowFirstColumn="0" w:lastRowLastColumn="0"/>
              <w:rPr>
                <w:rFonts w:eastAsia="Times New Roman" w:cs="Arial"/>
                <w:i/>
                <w:iCs/>
                <w:sz w:val="22"/>
                <w:szCs w:val="22"/>
              </w:rPr>
            </w:pPr>
            <w:r w:rsidRPr="00234CF7">
              <w:rPr>
                <w:rFonts w:eastAsia="Times New Roman" w:cs="Arial"/>
                <w:i/>
                <w:iCs/>
                <w:sz w:val="22"/>
                <w:szCs w:val="22"/>
              </w:rPr>
              <w:t>15 – 30</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2B647BB2" w14:textId="77777777" w:rsidR="002A7D19" w:rsidRPr="00234CF7" w:rsidRDefault="002A7D19" w:rsidP="002431EC">
            <w:pPr>
              <w:spacing w:before="0" w:after="0" w:line="240" w:lineRule="auto"/>
              <w:ind w:left="136"/>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22"/>
                <w:szCs w:val="22"/>
              </w:rPr>
            </w:pPr>
            <w:r w:rsidRPr="00234CF7">
              <w:rPr>
                <w:rFonts w:eastAsia="Times New Roman" w:cs="Arial"/>
                <w:color w:val="000000" w:themeColor="text1"/>
                <w:sz w:val="22"/>
                <w:szCs w:val="22"/>
              </w:rPr>
              <w:t>5 to under 12 years</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48EA16EF" w14:textId="77777777" w:rsidR="002A7D19" w:rsidRPr="00234CF7" w:rsidRDefault="002A7D19" w:rsidP="002431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Arial" w:cs="Arial"/>
                <w:i/>
                <w:sz w:val="22"/>
                <w:szCs w:val="22"/>
              </w:rPr>
            </w:pPr>
            <w:r w:rsidRPr="00234CF7">
              <w:rPr>
                <w:rFonts w:eastAsia="Arial" w:cs="Arial"/>
                <w:i/>
                <w:sz w:val="22"/>
                <w:szCs w:val="22"/>
              </w:rPr>
              <w:t>700</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577E9C4D" w14:textId="77777777" w:rsidR="002A7D19" w:rsidRPr="00234CF7" w:rsidRDefault="002A7D19" w:rsidP="002431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Arial" w:cs="Arial"/>
                <w:i/>
                <w:sz w:val="22"/>
                <w:szCs w:val="22"/>
              </w:rPr>
            </w:pPr>
            <w:r w:rsidRPr="00234CF7">
              <w:rPr>
                <w:rFonts w:eastAsia="Arial" w:cs="Arial"/>
                <w:i/>
                <w:sz w:val="22"/>
                <w:szCs w:val="22"/>
              </w:rPr>
              <w:t>30</w:t>
            </w:r>
          </w:p>
        </w:tc>
      </w:tr>
      <w:tr w:rsidR="002A7D19" w:rsidRPr="00C12A6C" w14:paraId="583C2AB2"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20403C65" w14:textId="77777777" w:rsidR="002A7D19" w:rsidRPr="00234CF7" w:rsidRDefault="002A7D19" w:rsidP="002431EC">
            <w:pPr>
              <w:spacing w:before="0" w:after="0" w:line="240" w:lineRule="auto"/>
              <w:ind w:left="142"/>
              <w:rPr>
                <w:rFonts w:eastAsia="Times New Roman" w:cs="Arial"/>
                <w:b w:val="0"/>
                <w:bCs w:val="0"/>
                <w:color w:val="000000" w:themeColor="text1"/>
                <w:sz w:val="22"/>
                <w:szCs w:val="22"/>
              </w:rPr>
            </w:pPr>
            <w:r w:rsidRPr="00234CF7">
              <w:rPr>
                <w:rFonts w:eastAsia="Times New Roman" w:cs="Arial"/>
                <w:b w:val="0"/>
                <w:bCs w:val="0"/>
                <w:color w:val="000000" w:themeColor="text1"/>
                <w:sz w:val="22"/>
                <w:szCs w:val="22"/>
              </w:rPr>
              <w:t>12 to under 18 years</w:t>
            </w:r>
          </w:p>
        </w:tc>
        <w:tc>
          <w:tcPr>
            <w:tcW w:w="762"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5B59A576" w14:textId="77777777" w:rsidR="002A7D19" w:rsidRPr="00234CF7" w:rsidRDefault="002A7D19" w:rsidP="002431EC">
            <w:pPr>
              <w:spacing w:before="0" w:after="0" w:line="240" w:lineRule="auto"/>
              <w:ind w:left="142"/>
              <w:jc w:val="center"/>
              <w:cnfStyle w:val="000000010000" w:firstRow="0" w:lastRow="0" w:firstColumn="0" w:lastColumn="0" w:oddVBand="0" w:evenVBand="0" w:oddHBand="0" w:evenHBand="1" w:firstRowFirstColumn="0" w:firstRowLastColumn="0" w:lastRowFirstColumn="0" w:lastRowLastColumn="0"/>
              <w:rPr>
                <w:rFonts w:eastAsia="Times New Roman" w:cs="Arial"/>
                <w:i/>
                <w:iCs/>
                <w:sz w:val="22"/>
                <w:szCs w:val="22"/>
              </w:rPr>
            </w:pPr>
            <w:r w:rsidRPr="00234CF7">
              <w:rPr>
                <w:rFonts w:eastAsia="Times New Roman" w:cs="Arial"/>
                <w:i/>
                <w:iCs/>
                <w:sz w:val="22"/>
                <w:szCs w:val="22"/>
              </w:rPr>
              <w:t>450 - 920</w:t>
            </w:r>
          </w:p>
        </w:tc>
        <w:tc>
          <w:tcPr>
            <w:tcW w:w="808"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192D979B" w14:textId="77777777" w:rsidR="002A7D19" w:rsidRPr="00234CF7" w:rsidRDefault="002A7D19" w:rsidP="002431EC">
            <w:pPr>
              <w:spacing w:before="0" w:after="0" w:line="240" w:lineRule="auto"/>
              <w:ind w:left="142"/>
              <w:jc w:val="center"/>
              <w:cnfStyle w:val="000000010000" w:firstRow="0" w:lastRow="0" w:firstColumn="0" w:lastColumn="0" w:oddVBand="0" w:evenVBand="0" w:oddHBand="0" w:evenHBand="1" w:firstRowFirstColumn="0" w:firstRowLastColumn="0" w:lastRowFirstColumn="0" w:lastRowLastColumn="0"/>
              <w:rPr>
                <w:rFonts w:eastAsia="Times New Roman" w:cs="Arial"/>
                <w:i/>
                <w:iCs/>
                <w:sz w:val="22"/>
                <w:szCs w:val="22"/>
              </w:rPr>
            </w:pPr>
            <w:r w:rsidRPr="00234CF7">
              <w:rPr>
                <w:rFonts w:eastAsia="Times New Roman" w:cs="Arial"/>
                <w:i/>
                <w:iCs/>
                <w:sz w:val="22"/>
                <w:szCs w:val="22"/>
              </w:rPr>
              <w:t>20 - 40</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051DD2D4" w14:textId="77777777" w:rsidR="002A7D19" w:rsidRPr="00234CF7" w:rsidRDefault="002A7D19" w:rsidP="002431EC">
            <w:pPr>
              <w:spacing w:before="0" w:after="0" w:line="240" w:lineRule="auto"/>
              <w:ind w:left="136"/>
              <w:cnfStyle w:val="000000010000" w:firstRow="0" w:lastRow="0" w:firstColumn="0" w:lastColumn="0" w:oddVBand="0" w:evenVBand="0" w:oddHBand="0" w:evenHBand="1" w:firstRowFirstColumn="0" w:firstRowLastColumn="0" w:lastRowFirstColumn="0" w:lastRowLastColumn="0"/>
              <w:rPr>
                <w:rFonts w:eastAsia="Times New Roman" w:cs="Arial"/>
                <w:color w:val="000000" w:themeColor="text1"/>
                <w:sz w:val="22"/>
                <w:szCs w:val="22"/>
              </w:rPr>
            </w:pPr>
            <w:r w:rsidRPr="00234CF7">
              <w:rPr>
                <w:rFonts w:eastAsia="Times New Roman" w:cs="Arial"/>
                <w:color w:val="000000" w:themeColor="text1"/>
                <w:sz w:val="22"/>
                <w:szCs w:val="22"/>
              </w:rPr>
              <w:t>12 to under 18 years</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642DC75C" w14:textId="22954351" w:rsidR="002A7D19" w:rsidRPr="00234CF7" w:rsidRDefault="002A7D19" w:rsidP="002431EC">
            <w:pPr>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eastAsia="Arial" w:cs="Arial"/>
                <w:i/>
                <w:sz w:val="22"/>
                <w:szCs w:val="22"/>
              </w:rPr>
            </w:pPr>
            <w:r w:rsidRPr="00234CF7">
              <w:rPr>
                <w:rFonts w:eastAsia="Arial" w:cs="Arial"/>
                <w:i/>
                <w:sz w:val="22"/>
                <w:szCs w:val="22"/>
              </w:rPr>
              <w:t>9</w:t>
            </w:r>
            <w:r w:rsidR="001E2A49">
              <w:rPr>
                <w:rFonts w:eastAsia="Arial" w:cs="Arial"/>
                <w:i/>
                <w:sz w:val="22"/>
                <w:szCs w:val="22"/>
              </w:rPr>
              <w:t>2</w:t>
            </w:r>
            <w:r w:rsidRPr="00234CF7">
              <w:rPr>
                <w:rFonts w:eastAsia="Arial" w:cs="Arial"/>
                <w:i/>
                <w:sz w:val="22"/>
                <w:szCs w:val="22"/>
              </w:rPr>
              <w:t>0</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4B46050A" w14:textId="76EA2BC0" w:rsidR="002A7D19" w:rsidRPr="00234CF7" w:rsidRDefault="002A7D19" w:rsidP="002431EC">
            <w:pPr>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eastAsia="Arial" w:cs="Arial"/>
                <w:i/>
                <w:sz w:val="22"/>
                <w:szCs w:val="22"/>
              </w:rPr>
            </w:pPr>
            <w:r w:rsidRPr="00234CF7">
              <w:rPr>
                <w:rFonts w:eastAsia="Arial" w:cs="Arial"/>
                <w:i/>
                <w:sz w:val="22"/>
                <w:szCs w:val="22"/>
              </w:rPr>
              <w:t>4</w:t>
            </w:r>
            <w:r w:rsidR="001E2A49">
              <w:rPr>
                <w:rFonts w:eastAsia="Arial" w:cs="Arial"/>
                <w:i/>
                <w:sz w:val="22"/>
                <w:szCs w:val="22"/>
              </w:rPr>
              <w:t>0</w:t>
            </w:r>
          </w:p>
        </w:tc>
      </w:tr>
    </w:tbl>
    <w:p w14:paraId="173ED53E"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Health evidence profile and supporting information</w:t>
      </w:r>
    </w:p>
    <w:p w14:paraId="6087788C" w14:textId="77777777" w:rsidR="002A7D19" w:rsidRDefault="002A7D19" w:rsidP="002A7D19">
      <w:r>
        <w:rPr>
          <w:rFonts w:eastAsia="Times New Roman" w:cs="Arial"/>
          <w:iCs/>
          <w:lang w:eastAsia="en-AU"/>
        </w:rPr>
        <w:t xml:space="preserve">The evidence for sodium requirements in children and adolescents is very limited, with only a single balance study identified in </w:t>
      </w:r>
      <w:r>
        <w:t xml:space="preserve">girls aged 11 to 15 years. The study had </w:t>
      </w:r>
      <w:r>
        <w:rPr>
          <w:rFonts w:eastAsia="Times New Roman" w:cs="Arial"/>
          <w:iCs/>
          <w:lang w:eastAsia="en-AU"/>
        </w:rPr>
        <w:t xml:space="preserve">robust measurement of intake and losses, </w:t>
      </w:r>
      <w:r>
        <w:t xml:space="preserve">and found positive balance with intakes between 1,300 and 4,000 mg/day </w:t>
      </w:r>
      <w:r>
        <w:fldChar w:fldCharType="begin"/>
      </w:r>
      <w:r>
        <w:instrText xml:space="preserve"> ADDIN EN.CITE &lt;EndNote&gt;&lt;Cite&gt;&lt;Author&gt;Palacios&lt;/Author&gt;&lt;Year&gt;2004&lt;/Year&gt;&lt;RecNum&gt;4649&lt;/RecNum&gt;&lt;DisplayText&gt;(Palacios et al., 2004)&lt;/DisplayText&gt;&lt;record&gt;&lt;rec-number&gt;4649&lt;/rec-number&gt;&lt;foreign-keys&gt;&lt;key app="EN" db-id="wwsdv2wwp29fenerv0kx5tw9zxtx2fdrprx2" timestamp="1774936584"&gt;4649&lt;/key&gt;&lt;/foreign-keys&gt;&lt;ref-type name="Journal Article"&gt;17&lt;/ref-type&gt;&lt;contributors&gt;&lt;authors&gt;&lt;author&gt;Palacios, C.&lt;/author&gt;&lt;author&gt;Wigertz, K.&lt;/author&gt;&lt;author&gt;Martin, B. R.&lt;/author&gt;&lt;author&gt;Jackman, L.&lt;/author&gt;&lt;author&gt;Pratt, J. H.&lt;/author&gt;&lt;author&gt;Peacock, M.&lt;/author&gt;&lt;author&gt;McCabe, G.&lt;/author&gt;&lt;author&gt;Weaver, C. M.&lt;/author&gt;&lt;/authors&gt;&lt;/contributors&gt;&lt;auth-address&gt;Department of Foods and Nutrition, Purdue University, West Lafayette, Indiana 47907, USA.&lt;/auth-address&gt;&lt;titles&gt;&lt;title&gt;Sodium retention in black and white female adolescents in response to salt intake&lt;/title&gt;&lt;secondary-title&gt;J Clin Endocrinol Metab&lt;/secondary-title&gt;&lt;/titles&gt;&lt;periodical&gt;&lt;full-title&gt;J Clin Endocrinol Metab&lt;/full-title&gt;&lt;/periodical&gt;&lt;pages&gt;1858-63&lt;/pages&gt;&lt;volume&gt;89&lt;/volume&gt;&lt;number&gt;4&lt;/number&gt;&lt;keywords&gt;&lt;keyword&gt;Adolescent&lt;/keyword&gt;&lt;keyword&gt;*Black People&lt;/keyword&gt;&lt;keyword&gt;Diuresis/drug effects&lt;/keyword&gt;&lt;keyword&gt;Dose-Response Relationship, Drug&lt;/keyword&gt;&lt;keyword&gt;Energy Intake&lt;/keyword&gt;&lt;keyword&gt;Feces/chemistry&lt;/keyword&gt;&lt;keyword&gt;Female&lt;/keyword&gt;&lt;keyword&gt;Humans&lt;/keyword&gt;&lt;keyword&gt;Sodium/analysis/*pharmacokinetics&lt;/keyword&gt;&lt;keyword&gt;Sodium, Dietary/*administration &amp;amp; dosage&lt;/keyword&gt;&lt;keyword&gt;*White People&lt;/keyword&gt;&lt;/keywords&gt;&lt;dates&gt;&lt;year&gt;2004&lt;/year&gt;&lt;pub-dates&gt;&lt;date&gt;Apr&lt;/date&gt;&lt;/pub-dates&gt;&lt;/dates&gt;&lt;isbn&gt;0021-972X (Print)&amp;#xD;0021-972x&lt;/isbn&gt;&lt;accession-num&gt;15070956&lt;/accession-num&gt;&lt;urls&gt;&lt;/urls&gt;&lt;electronic-resource-num&gt;10.1210/jc.2003-031446&lt;/electronic-resource-num&gt;&lt;remote-database-provider&gt;NLM&lt;/remote-database-provider&gt;&lt;language&gt;eng&lt;/language&gt;&lt;/record&gt;&lt;/Cite&gt;&lt;/EndNote&gt;</w:instrText>
      </w:r>
      <w:r>
        <w:fldChar w:fldCharType="separate"/>
      </w:r>
      <w:r>
        <w:rPr>
          <w:noProof/>
        </w:rPr>
        <w:t>(Palacios et al., 2004)</w:t>
      </w:r>
      <w:r>
        <w:fldChar w:fldCharType="end"/>
      </w:r>
      <w:r>
        <w:t>. However, both NASEM (2019) and EFSA (2019) have raised concerns about the validity of balance studies for determining sodium requirements, concluding that they could not be used to derive sodium requirements, although they provide supportive evidence about the intake level that is adequate for null sodium balance.</w:t>
      </w:r>
    </w:p>
    <w:p w14:paraId="48288892" w14:textId="77777777" w:rsidR="002A7D19" w:rsidRDefault="002A7D19" w:rsidP="002A7D19">
      <w:r>
        <w:t>Due to this lack of evidence, Adequate Intakes in children and adolescents must be extrapolated from adult values.</w:t>
      </w:r>
    </w:p>
    <w:p w14:paraId="560C3097" w14:textId="77777777" w:rsidR="002A7D19" w:rsidRDefault="002A7D19" w:rsidP="002A7D19">
      <w:r>
        <w:t xml:space="preserve">Consistent with previous approaches and the US NASEM (2019) methods, values for children and adolescents in Australia and New Zealand have been extrapolated </w:t>
      </w:r>
      <w:proofErr w:type="gramStart"/>
      <w:r>
        <w:t>on the basis of</w:t>
      </w:r>
      <w:proofErr w:type="gramEnd"/>
      <w:r>
        <w:t xml:space="preserve"> relative energy requirements, using the formula:</w:t>
      </w:r>
    </w:p>
    <w:p w14:paraId="2CB0EBBF" w14:textId="77777777" w:rsidR="002A7D19" w:rsidRDefault="002A7D19" w:rsidP="002A7D19">
      <w:proofErr w:type="spellStart"/>
      <w:r>
        <w:t>AI</w:t>
      </w:r>
      <w:r w:rsidRPr="00D15D15">
        <w:rPr>
          <w:vertAlign w:val="subscript"/>
        </w:rPr>
        <w:t>child</w:t>
      </w:r>
      <w:proofErr w:type="spellEnd"/>
      <w:r>
        <w:t xml:space="preserve"> = </w:t>
      </w:r>
      <w:proofErr w:type="spellStart"/>
      <w:r>
        <w:t>AI</w:t>
      </w:r>
      <w:r w:rsidRPr="00D15D15">
        <w:rPr>
          <w:vertAlign w:val="subscript"/>
        </w:rPr>
        <w:t>adult</w:t>
      </w:r>
      <w:proofErr w:type="spellEnd"/>
      <w:r>
        <w:t xml:space="preserve"> x (</w:t>
      </w:r>
      <w:proofErr w:type="spellStart"/>
      <w:r>
        <w:t>EER</w:t>
      </w:r>
      <w:r w:rsidRPr="00D15D15">
        <w:rPr>
          <w:vertAlign w:val="subscript"/>
        </w:rPr>
        <w:t>child</w:t>
      </w:r>
      <w:proofErr w:type="spellEnd"/>
      <w:r>
        <w:t xml:space="preserve">/ </w:t>
      </w:r>
      <w:proofErr w:type="spellStart"/>
      <w:r>
        <w:t>EER</w:t>
      </w:r>
      <w:r w:rsidRPr="00D15D15">
        <w:rPr>
          <w:vertAlign w:val="subscript"/>
        </w:rPr>
        <w:t>adult</w:t>
      </w:r>
      <w:proofErr w:type="spellEnd"/>
      <w:r>
        <w:t>)</w:t>
      </w:r>
    </w:p>
    <w:p w14:paraId="1A50BE87" w14:textId="5C966249" w:rsidR="002A7D19" w:rsidRPr="00FA6775" w:rsidRDefault="002A7D19" w:rsidP="002A7D19">
      <w:r>
        <w:lastRenderedPageBreak/>
        <w:t xml:space="preserve">Calculations and resulting values (both un-rounded and rounded) are provided in </w:t>
      </w:r>
      <w:r>
        <w:fldChar w:fldCharType="begin"/>
      </w:r>
      <w:r>
        <w:instrText xml:space="preserve"> REF _Ref231330227 \h </w:instrText>
      </w:r>
      <w:r>
        <w:fldChar w:fldCharType="separate"/>
      </w:r>
      <w:r w:rsidR="00F569E8">
        <w:t xml:space="preserve">Table </w:t>
      </w:r>
      <w:r w:rsidR="00F569E8">
        <w:rPr>
          <w:noProof/>
        </w:rPr>
        <w:t>24</w:t>
      </w:r>
      <w:r>
        <w:fldChar w:fldCharType="end"/>
      </w:r>
      <w:r>
        <w:t xml:space="preserve"> below. This includes new alternative age groupings which are to be included in future NRV iterations to facilitate reporting of usual intake data from n</w:t>
      </w:r>
      <w:r w:rsidRPr="00FA6775">
        <w:t>ational nutrition survey results</w:t>
      </w:r>
      <w:r>
        <w:t xml:space="preserve"> against NRV recommendations. These recommendations will be presented in a separate appendix to prevent confusion amongst stakeholders about which are the prevailing recommendations for each age group.</w:t>
      </w:r>
    </w:p>
    <w:p w14:paraId="26AA071A" w14:textId="23610EF8" w:rsidR="002A7D19" w:rsidRDefault="002A7D19" w:rsidP="002A7D19">
      <w:pPr>
        <w:pStyle w:val="Caption"/>
        <w:keepNext/>
      </w:pPr>
      <w:bookmarkStart w:id="162" w:name="_Ref231330227"/>
      <w:r>
        <w:t xml:space="preserve">Table </w:t>
      </w:r>
      <w:r>
        <w:fldChar w:fldCharType="begin"/>
      </w:r>
      <w:r>
        <w:instrText>SEQ Table \* ARABIC</w:instrText>
      </w:r>
      <w:r>
        <w:fldChar w:fldCharType="separate"/>
      </w:r>
      <w:r w:rsidR="00B90577">
        <w:rPr>
          <w:noProof/>
        </w:rPr>
        <w:t>23</w:t>
      </w:r>
      <w:r>
        <w:fldChar w:fldCharType="end"/>
      </w:r>
      <w:bookmarkEnd w:id="162"/>
      <w:r>
        <w:t xml:space="preserve"> - Data inputs and resulting extrapolation of adult values (current vs proposed) to children and adolescents</w:t>
      </w:r>
    </w:p>
    <w:tbl>
      <w:tblPr>
        <w:tblStyle w:val="TableGrid"/>
        <w:tblW w:w="0" w:type="auto"/>
        <w:tblLook w:val="04A0" w:firstRow="1" w:lastRow="0" w:firstColumn="1" w:lastColumn="0" w:noHBand="0" w:noVBand="1"/>
      </w:tblPr>
      <w:tblGrid>
        <w:gridCol w:w="2800"/>
        <w:gridCol w:w="1164"/>
        <w:gridCol w:w="1217"/>
        <w:gridCol w:w="993"/>
        <w:gridCol w:w="1134"/>
        <w:gridCol w:w="1417"/>
        <w:gridCol w:w="1701"/>
        <w:gridCol w:w="1701"/>
        <w:gridCol w:w="1701"/>
      </w:tblGrid>
      <w:tr w:rsidR="002A7D19" w:rsidRPr="001B39CA" w14:paraId="47290DE9" w14:textId="77777777" w:rsidTr="003A31ED">
        <w:tc>
          <w:tcPr>
            <w:tcW w:w="2800" w:type="dxa"/>
            <w:vMerge w:val="restart"/>
            <w:shd w:val="clear" w:color="auto" w:fill="156082" w:themeFill="accent1"/>
            <w:vAlign w:val="bottom"/>
          </w:tcPr>
          <w:p w14:paraId="63DF43EA" w14:textId="77777777" w:rsidR="002A7D19" w:rsidRPr="00D75259" w:rsidRDefault="002A7D19" w:rsidP="003A31ED">
            <w:pPr>
              <w:jc w:val="center"/>
              <w:rPr>
                <w:rFonts w:ascii="Aptos" w:hAnsi="Aptos"/>
                <w:b/>
                <w:bCs/>
                <w:color w:val="FFFFFF" w:themeColor="background1"/>
                <w:sz w:val="20"/>
                <w:szCs w:val="20"/>
              </w:rPr>
            </w:pPr>
            <w:r w:rsidRPr="00D75259">
              <w:rPr>
                <w:rFonts w:ascii="Aptos" w:hAnsi="Aptos"/>
                <w:b/>
                <w:bCs/>
                <w:color w:val="FFFFFF" w:themeColor="background1"/>
                <w:kern w:val="2"/>
                <w:sz w:val="20"/>
                <w:szCs w:val="20"/>
                <w14:ligatures w14:val="standardContextual"/>
              </w:rPr>
              <w:t>Age group</w:t>
            </w:r>
          </w:p>
        </w:tc>
        <w:tc>
          <w:tcPr>
            <w:tcW w:w="1164" w:type="dxa"/>
            <w:shd w:val="clear" w:color="auto" w:fill="156082" w:themeFill="accent1"/>
          </w:tcPr>
          <w:p w14:paraId="073D4F30" w14:textId="77777777" w:rsidR="002A7D19" w:rsidRPr="00D75259" w:rsidRDefault="002A7D19"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A</w:t>
            </w:r>
          </w:p>
        </w:tc>
        <w:tc>
          <w:tcPr>
            <w:tcW w:w="1217" w:type="dxa"/>
            <w:shd w:val="clear" w:color="auto" w:fill="156082" w:themeFill="accent1"/>
          </w:tcPr>
          <w:p w14:paraId="56139C7C" w14:textId="77777777" w:rsidR="002A7D19" w:rsidRPr="00D75259" w:rsidRDefault="002A7D19"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B</w:t>
            </w:r>
          </w:p>
        </w:tc>
        <w:tc>
          <w:tcPr>
            <w:tcW w:w="993" w:type="dxa"/>
            <w:shd w:val="clear" w:color="auto" w:fill="156082" w:themeFill="accent1"/>
          </w:tcPr>
          <w:p w14:paraId="496715CA" w14:textId="77777777" w:rsidR="002A7D19" w:rsidRPr="00D75259" w:rsidRDefault="002A7D19"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C</w:t>
            </w:r>
          </w:p>
        </w:tc>
        <w:tc>
          <w:tcPr>
            <w:tcW w:w="1134" w:type="dxa"/>
            <w:shd w:val="clear" w:color="auto" w:fill="156082" w:themeFill="accent1"/>
          </w:tcPr>
          <w:p w14:paraId="12BBD0EF" w14:textId="77777777" w:rsidR="002A7D19" w:rsidRPr="00D75259" w:rsidRDefault="002A7D19"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D</w:t>
            </w:r>
          </w:p>
        </w:tc>
        <w:tc>
          <w:tcPr>
            <w:tcW w:w="1417" w:type="dxa"/>
            <w:shd w:val="clear" w:color="auto" w:fill="156082" w:themeFill="accent1"/>
          </w:tcPr>
          <w:p w14:paraId="4A4B1F8A" w14:textId="77777777" w:rsidR="002A7D19" w:rsidRPr="00D75259" w:rsidRDefault="002A7D19"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E = A x (C/D)</w:t>
            </w:r>
          </w:p>
        </w:tc>
        <w:tc>
          <w:tcPr>
            <w:tcW w:w="1701" w:type="dxa"/>
            <w:shd w:val="clear" w:color="auto" w:fill="156082" w:themeFill="accent1"/>
          </w:tcPr>
          <w:p w14:paraId="3F05CC3F" w14:textId="77777777" w:rsidR="002A7D19" w:rsidRPr="00D75259" w:rsidRDefault="002A7D19"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F = E + rounding</w:t>
            </w:r>
          </w:p>
        </w:tc>
        <w:tc>
          <w:tcPr>
            <w:tcW w:w="1701" w:type="dxa"/>
            <w:shd w:val="clear" w:color="auto" w:fill="156082" w:themeFill="accent1"/>
          </w:tcPr>
          <w:p w14:paraId="5C7961EE" w14:textId="77777777" w:rsidR="002A7D19" w:rsidRPr="00D75259" w:rsidRDefault="002A7D19"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G = B x (C/D)</w:t>
            </w:r>
          </w:p>
        </w:tc>
        <w:tc>
          <w:tcPr>
            <w:tcW w:w="1701" w:type="dxa"/>
            <w:shd w:val="clear" w:color="auto" w:fill="156082" w:themeFill="accent1"/>
          </w:tcPr>
          <w:p w14:paraId="37AEC785" w14:textId="77777777" w:rsidR="002A7D19" w:rsidRPr="00D75259" w:rsidRDefault="002A7D19"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H = G + rounding</w:t>
            </w:r>
          </w:p>
        </w:tc>
      </w:tr>
      <w:tr w:rsidR="002A7D19" w:rsidRPr="001B39CA" w14:paraId="3F8A481F" w14:textId="77777777" w:rsidTr="003A31ED">
        <w:tc>
          <w:tcPr>
            <w:tcW w:w="2800" w:type="dxa"/>
            <w:vMerge/>
            <w:shd w:val="clear" w:color="auto" w:fill="156082" w:themeFill="accent1"/>
          </w:tcPr>
          <w:p w14:paraId="0D078042" w14:textId="77777777" w:rsidR="002A7D19" w:rsidRPr="00D75259" w:rsidRDefault="002A7D19" w:rsidP="003A31ED">
            <w:pPr>
              <w:rPr>
                <w:rFonts w:ascii="Aptos" w:hAnsi="Aptos"/>
                <w:b/>
                <w:bCs/>
                <w:color w:val="FFFFFF" w:themeColor="background1"/>
                <w:sz w:val="20"/>
                <w:szCs w:val="20"/>
              </w:rPr>
            </w:pPr>
          </w:p>
        </w:tc>
        <w:tc>
          <w:tcPr>
            <w:tcW w:w="1164" w:type="dxa"/>
            <w:shd w:val="clear" w:color="auto" w:fill="156082" w:themeFill="accent1"/>
            <w:vAlign w:val="bottom"/>
          </w:tcPr>
          <w:p w14:paraId="73D02AEE" w14:textId="77777777" w:rsidR="002A7D19" w:rsidRPr="00D75259" w:rsidRDefault="002A7D19"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 xml:space="preserve">Current </w:t>
            </w:r>
            <w:proofErr w:type="spellStart"/>
            <w:r w:rsidRPr="00D75259">
              <w:rPr>
                <w:rFonts w:ascii="Aptos" w:hAnsi="Aptos"/>
                <w:b/>
                <w:bCs/>
                <w:color w:val="FFFFFF" w:themeColor="background1"/>
                <w:sz w:val="20"/>
                <w:szCs w:val="20"/>
              </w:rPr>
              <w:t>AI</w:t>
            </w:r>
            <w:r w:rsidRPr="00D75259">
              <w:rPr>
                <w:rFonts w:ascii="Aptos" w:hAnsi="Aptos"/>
                <w:b/>
                <w:bCs/>
                <w:color w:val="FFFFFF" w:themeColor="background1"/>
                <w:sz w:val="20"/>
                <w:szCs w:val="20"/>
                <w:vertAlign w:val="subscript"/>
              </w:rPr>
              <w:t>adult</w:t>
            </w:r>
            <w:proofErr w:type="spellEnd"/>
          </w:p>
        </w:tc>
        <w:tc>
          <w:tcPr>
            <w:tcW w:w="1217" w:type="dxa"/>
            <w:shd w:val="clear" w:color="auto" w:fill="156082" w:themeFill="accent1"/>
            <w:vAlign w:val="bottom"/>
          </w:tcPr>
          <w:p w14:paraId="140BED31" w14:textId="77777777" w:rsidR="002A7D19" w:rsidRPr="00D75259" w:rsidRDefault="002A7D19"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 xml:space="preserve">Alternative </w:t>
            </w:r>
            <w:proofErr w:type="spellStart"/>
            <w:r w:rsidRPr="00D75259">
              <w:rPr>
                <w:rFonts w:ascii="Aptos" w:hAnsi="Aptos"/>
                <w:b/>
                <w:bCs/>
                <w:color w:val="FFFFFF" w:themeColor="background1"/>
                <w:sz w:val="20"/>
                <w:szCs w:val="20"/>
              </w:rPr>
              <w:t>AI</w:t>
            </w:r>
            <w:r w:rsidRPr="00D75259">
              <w:rPr>
                <w:rFonts w:ascii="Aptos" w:hAnsi="Aptos"/>
                <w:b/>
                <w:bCs/>
                <w:color w:val="FFFFFF" w:themeColor="background1"/>
                <w:sz w:val="20"/>
                <w:szCs w:val="20"/>
                <w:vertAlign w:val="subscript"/>
              </w:rPr>
              <w:t>adult</w:t>
            </w:r>
            <w:proofErr w:type="spellEnd"/>
          </w:p>
        </w:tc>
        <w:tc>
          <w:tcPr>
            <w:tcW w:w="993" w:type="dxa"/>
            <w:shd w:val="clear" w:color="auto" w:fill="156082" w:themeFill="accent1"/>
            <w:vAlign w:val="bottom"/>
          </w:tcPr>
          <w:p w14:paraId="289726AD" w14:textId="77777777" w:rsidR="002A7D19" w:rsidRPr="00D75259" w:rsidRDefault="002A7D19" w:rsidP="003A31ED">
            <w:pPr>
              <w:jc w:val="center"/>
              <w:rPr>
                <w:rFonts w:ascii="Aptos" w:hAnsi="Aptos"/>
                <w:b/>
                <w:bCs/>
                <w:color w:val="FFFFFF" w:themeColor="background1"/>
                <w:sz w:val="20"/>
                <w:szCs w:val="20"/>
              </w:rPr>
            </w:pPr>
            <w:proofErr w:type="spellStart"/>
            <w:r w:rsidRPr="00D75259">
              <w:rPr>
                <w:rFonts w:ascii="Aptos" w:hAnsi="Aptos"/>
                <w:b/>
                <w:bCs/>
                <w:color w:val="FFFFFF" w:themeColor="background1"/>
                <w:sz w:val="20"/>
                <w:szCs w:val="20"/>
              </w:rPr>
              <w:t>EER</w:t>
            </w:r>
            <w:r w:rsidRPr="00D75259">
              <w:rPr>
                <w:rFonts w:ascii="Aptos" w:hAnsi="Aptos"/>
                <w:b/>
                <w:bCs/>
                <w:color w:val="FFFFFF" w:themeColor="background1"/>
                <w:sz w:val="20"/>
                <w:szCs w:val="20"/>
                <w:vertAlign w:val="subscript"/>
              </w:rPr>
              <w:t>child</w:t>
            </w:r>
            <w:proofErr w:type="spellEnd"/>
          </w:p>
        </w:tc>
        <w:tc>
          <w:tcPr>
            <w:tcW w:w="1134" w:type="dxa"/>
            <w:shd w:val="clear" w:color="auto" w:fill="156082" w:themeFill="accent1"/>
            <w:vAlign w:val="bottom"/>
          </w:tcPr>
          <w:p w14:paraId="49B38553" w14:textId="77777777" w:rsidR="002A7D19" w:rsidRPr="00D75259" w:rsidRDefault="002A7D19" w:rsidP="003A31ED">
            <w:pPr>
              <w:jc w:val="center"/>
              <w:rPr>
                <w:rFonts w:ascii="Aptos" w:hAnsi="Aptos"/>
                <w:b/>
                <w:bCs/>
                <w:color w:val="FFFFFF" w:themeColor="background1"/>
                <w:sz w:val="20"/>
                <w:szCs w:val="20"/>
              </w:rPr>
            </w:pPr>
            <w:proofErr w:type="spellStart"/>
            <w:r w:rsidRPr="00D75259">
              <w:rPr>
                <w:rFonts w:ascii="Aptos" w:hAnsi="Aptos"/>
                <w:b/>
                <w:bCs/>
                <w:color w:val="FFFFFF" w:themeColor="background1"/>
                <w:sz w:val="20"/>
                <w:szCs w:val="20"/>
              </w:rPr>
              <w:t>EER</w:t>
            </w:r>
            <w:r w:rsidRPr="00D75259">
              <w:rPr>
                <w:rFonts w:ascii="Aptos" w:hAnsi="Aptos"/>
                <w:b/>
                <w:bCs/>
                <w:color w:val="FFFFFF" w:themeColor="background1"/>
                <w:sz w:val="20"/>
                <w:szCs w:val="20"/>
                <w:vertAlign w:val="subscript"/>
              </w:rPr>
              <w:t>adult</w:t>
            </w:r>
            <w:proofErr w:type="spellEnd"/>
          </w:p>
        </w:tc>
        <w:tc>
          <w:tcPr>
            <w:tcW w:w="1417" w:type="dxa"/>
            <w:shd w:val="clear" w:color="auto" w:fill="156082" w:themeFill="accent1"/>
            <w:vAlign w:val="bottom"/>
          </w:tcPr>
          <w:p w14:paraId="070EB020" w14:textId="77777777" w:rsidR="002A7D19" w:rsidRPr="00D75259" w:rsidRDefault="002A7D19"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 xml:space="preserve">Calculated current </w:t>
            </w:r>
            <w:proofErr w:type="spellStart"/>
            <w:r w:rsidRPr="00D75259">
              <w:rPr>
                <w:rFonts w:ascii="Aptos" w:hAnsi="Aptos"/>
                <w:b/>
                <w:bCs/>
                <w:color w:val="FFFFFF" w:themeColor="background1"/>
                <w:sz w:val="20"/>
                <w:szCs w:val="20"/>
              </w:rPr>
              <w:t>AI</w:t>
            </w:r>
            <w:r w:rsidRPr="00D75259">
              <w:rPr>
                <w:rFonts w:ascii="Aptos" w:hAnsi="Aptos"/>
                <w:b/>
                <w:bCs/>
                <w:color w:val="FFFFFF" w:themeColor="background1"/>
                <w:sz w:val="20"/>
                <w:szCs w:val="20"/>
                <w:vertAlign w:val="subscript"/>
              </w:rPr>
              <w:t>child</w:t>
            </w:r>
            <w:proofErr w:type="spellEnd"/>
          </w:p>
        </w:tc>
        <w:tc>
          <w:tcPr>
            <w:tcW w:w="1701" w:type="dxa"/>
            <w:shd w:val="clear" w:color="auto" w:fill="156082" w:themeFill="accent1"/>
            <w:vAlign w:val="bottom"/>
          </w:tcPr>
          <w:p w14:paraId="59876F79" w14:textId="77777777" w:rsidR="002A7D19" w:rsidRPr="00D75259" w:rsidRDefault="002A7D19"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 xml:space="preserve">Current Rounded </w:t>
            </w:r>
            <w:proofErr w:type="spellStart"/>
            <w:r w:rsidRPr="00D75259">
              <w:rPr>
                <w:rFonts w:ascii="Aptos" w:hAnsi="Aptos"/>
                <w:b/>
                <w:bCs/>
                <w:color w:val="FFFFFF" w:themeColor="background1"/>
                <w:sz w:val="20"/>
                <w:szCs w:val="20"/>
              </w:rPr>
              <w:t>AI</w:t>
            </w:r>
            <w:r w:rsidRPr="00D75259">
              <w:rPr>
                <w:rFonts w:ascii="Aptos" w:hAnsi="Aptos"/>
                <w:b/>
                <w:bCs/>
                <w:color w:val="FFFFFF" w:themeColor="background1"/>
                <w:sz w:val="20"/>
                <w:szCs w:val="20"/>
                <w:vertAlign w:val="subscript"/>
              </w:rPr>
              <w:t>child</w:t>
            </w:r>
            <w:proofErr w:type="spellEnd"/>
          </w:p>
        </w:tc>
        <w:tc>
          <w:tcPr>
            <w:tcW w:w="1701" w:type="dxa"/>
            <w:shd w:val="clear" w:color="auto" w:fill="156082" w:themeFill="accent1"/>
            <w:vAlign w:val="bottom"/>
          </w:tcPr>
          <w:p w14:paraId="3BCC6979" w14:textId="77777777" w:rsidR="002A7D19" w:rsidRPr="00D75259" w:rsidRDefault="002A7D19"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 xml:space="preserve">Calculated Alternative </w:t>
            </w:r>
            <w:proofErr w:type="spellStart"/>
            <w:r w:rsidRPr="00D75259">
              <w:rPr>
                <w:rFonts w:ascii="Aptos" w:hAnsi="Aptos"/>
                <w:b/>
                <w:bCs/>
                <w:color w:val="FFFFFF" w:themeColor="background1"/>
                <w:sz w:val="20"/>
                <w:szCs w:val="20"/>
              </w:rPr>
              <w:t>AI</w:t>
            </w:r>
            <w:r w:rsidRPr="00D75259">
              <w:rPr>
                <w:rFonts w:ascii="Aptos" w:hAnsi="Aptos"/>
                <w:b/>
                <w:bCs/>
                <w:color w:val="FFFFFF" w:themeColor="background1"/>
                <w:sz w:val="20"/>
                <w:szCs w:val="20"/>
                <w:vertAlign w:val="subscript"/>
              </w:rPr>
              <w:t>child</w:t>
            </w:r>
            <w:proofErr w:type="spellEnd"/>
          </w:p>
        </w:tc>
        <w:tc>
          <w:tcPr>
            <w:tcW w:w="1701" w:type="dxa"/>
            <w:shd w:val="clear" w:color="auto" w:fill="156082" w:themeFill="accent1"/>
            <w:vAlign w:val="bottom"/>
          </w:tcPr>
          <w:p w14:paraId="2BF70BBE" w14:textId="77777777" w:rsidR="002A7D19" w:rsidRPr="00D75259" w:rsidRDefault="002A7D19"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 xml:space="preserve">Alternative Rounded </w:t>
            </w:r>
            <w:proofErr w:type="spellStart"/>
            <w:r w:rsidRPr="00D75259">
              <w:rPr>
                <w:rFonts w:ascii="Aptos" w:hAnsi="Aptos"/>
                <w:b/>
                <w:bCs/>
                <w:color w:val="FFFFFF" w:themeColor="background1"/>
                <w:sz w:val="20"/>
                <w:szCs w:val="20"/>
              </w:rPr>
              <w:t>AI</w:t>
            </w:r>
            <w:r w:rsidRPr="00D75259">
              <w:rPr>
                <w:rFonts w:ascii="Aptos" w:hAnsi="Aptos"/>
                <w:b/>
                <w:bCs/>
                <w:color w:val="FFFFFF" w:themeColor="background1"/>
                <w:sz w:val="20"/>
                <w:szCs w:val="20"/>
                <w:vertAlign w:val="subscript"/>
              </w:rPr>
              <w:t>child</w:t>
            </w:r>
            <w:proofErr w:type="spellEnd"/>
          </w:p>
        </w:tc>
      </w:tr>
      <w:tr w:rsidR="002A7D19" w:rsidRPr="001B39CA" w14:paraId="663B52A0" w14:textId="77777777" w:rsidTr="003A31ED">
        <w:tc>
          <w:tcPr>
            <w:tcW w:w="2800" w:type="dxa"/>
          </w:tcPr>
          <w:p w14:paraId="36FDADC5" w14:textId="77777777" w:rsidR="002A7D19" w:rsidRPr="001B39CA" w:rsidRDefault="002A7D19" w:rsidP="003A31ED">
            <w:pPr>
              <w:rPr>
                <w:rFonts w:ascii="Aptos" w:hAnsi="Aptos"/>
                <w:sz w:val="20"/>
                <w:szCs w:val="20"/>
              </w:rPr>
            </w:pPr>
            <w:r w:rsidRPr="001B39CA">
              <w:rPr>
                <w:rFonts w:ascii="Aptos" w:hAnsi="Aptos"/>
                <w:sz w:val="20"/>
                <w:szCs w:val="20"/>
              </w:rPr>
              <w:t>1 to under 4 years</w:t>
            </w:r>
          </w:p>
        </w:tc>
        <w:tc>
          <w:tcPr>
            <w:tcW w:w="1164" w:type="dxa"/>
            <w:vMerge w:val="restart"/>
            <w:vAlign w:val="center"/>
          </w:tcPr>
          <w:p w14:paraId="3D00369C" w14:textId="77777777" w:rsidR="002A7D19" w:rsidRPr="001B39CA" w:rsidRDefault="002A7D19" w:rsidP="003A31ED">
            <w:pPr>
              <w:rPr>
                <w:rFonts w:ascii="Aptos" w:hAnsi="Aptos"/>
                <w:sz w:val="20"/>
                <w:szCs w:val="20"/>
              </w:rPr>
            </w:pPr>
            <w:r w:rsidRPr="001B39CA">
              <w:rPr>
                <w:rFonts w:ascii="Aptos" w:hAnsi="Aptos"/>
                <w:sz w:val="20"/>
                <w:szCs w:val="20"/>
              </w:rPr>
              <w:t>460 - 920</w:t>
            </w:r>
          </w:p>
        </w:tc>
        <w:tc>
          <w:tcPr>
            <w:tcW w:w="1217" w:type="dxa"/>
            <w:vMerge w:val="restart"/>
            <w:vAlign w:val="center"/>
          </w:tcPr>
          <w:p w14:paraId="4C3BC28E" w14:textId="64554EAB" w:rsidR="002A7D19" w:rsidRPr="001B39CA" w:rsidRDefault="001E2A49" w:rsidP="003A31ED">
            <w:pPr>
              <w:jc w:val="center"/>
              <w:rPr>
                <w:rFonts w:ascii="Aptos" w:hAnsi="Aptos"/>
                <w:color w:val="000000"/>
                <w:sz w:val="20"/>
                <w:szCs w:val="20"/>
              </w:rPr>
            </w:pPr>
            <w:r>
              <w:rPr>
                <w:rFonts w:ascii="Aptos" w:hAnsi="Aptos"/>
                <w:color w:val="000000"/>
                <w:sz w:val="20"/>
                <w:szCs w:val="20"/>
              </w:rPr>
              <w:t>920</w:t>
            </w:r>
          </w:p>
        </w:tc>
        <w:tc>
          <w:tcPr>
            <w:tcW w:w="993" w:type="dxa"/>
            <w:vAlign w:val="bottom"/>
          </w:tcPr>
          <w:p w14:paraId="2BA3B128" w14:textId="77777777" w:rsidR="002A7D19" w:rsidRPr="001B39CA" w:rsidRDefault="002A7D19" w:rsidP="003A31ED">
            <w:pPr>
              <w:jc w:val="center"/>
              <w:rPr>
                <w:rFonts w:ascii="Aptos" w:hAnsi="Aptos"/>
                <w:sz w:val="20"/>
                <w:szCs w:val="20"/>
              </w:rPr>
            </w:pPr>
            <w:r w:rsidRPr="001B39CA">
              <w:rPr>
                <w:rFonts w:ascii="Aptos" w:hAnsi="Aptos"/>
                <w:color w:val="000000"/>
                <w:sz w:val="20"/>
                <w:szCs w:val="20"/>
              </w:rPr>
              <w:t>4.4</w:t>
            </w:r>
          </w:p>
        </w:tc>
        <w:tc>
          <w:tcPr>
            <w:tcW w:w="1134" w:type="dxa"/>
            <w:vMerge w:val="restart"/>
            <w:vAlign w:val="center"/>
          </w:tcPr>
          <w:p w14:paraId="41D010C4" w14:textId="77777777" w:rsidR="002A7D19" w:rsidRPr="001B39CA" w:rsidRDefault="002A7D19" w:rsidP="003A31ED">
            <w:pPr>
              <w:jc w:val="center"/>
              <w:rPr>
                <w:rFonts w:ascii="Aptos" w:hAnsi="Aptos"/>
                <w:sz w:val="20"/>
                <w:szCs w:val="20"/>
              </w:rPr>
            </w:pPr>
            <w:r w:rsidRPr="001B39CA">
              <w:rPr>
                <w:rFonts w:ascii="Aptos" w:hAnsi="Aptos"/>
                <w:color w:val="000000"/>
                <w:sz w:val="20"/>
                <w:szCs w:val="20"/>
              </w:rPr>
              <w:t>10.3</w:t>
            </w:r>
          </w:p>
        </w:tc>
        <w:tc>
          <w:tcPr>
            <w:tcW w:w="1417" w:type="dxa"/>
            <w:vAlign w:val="bottom"/>
          </w:tcPr>
          <w:p w14:paraId="662002BF" w14:textId="77777777" w:rsidR="002A7D19" w:rsidRPr="005D3224" w:rsidRDefault="002A7D19" w:rsidP="003A31ED">
            <w:pPr>
              <w:jc w:val="center"/>
              <w:rPr>
                <w:rFonts w:ascii="Aptos" w:hAnsi="Aptos"/>
                <w:color w:val="000000"/>
                <w:sz w:val="20"/>
                <w:szCs w:val="20"/>
              </w:rPr>
            </w:pPr>
            <w:r w:rsidRPr="005D3224">
              <w:rPr>
                <w:rFonts w:ascii="Aptos" w:hAnsi="Aptos"/>
                <w:color w:val="000000"/>
                <w:sz w:val="20"/>
                <w:szCs w:val="20"/>
              </w:rPr>
              <w:t>195 – 390</w:t>
            </w:r>
          </w:p>
        </w:tc>
        <w:tc>
          <w:tcPr>
            <w:tcW w:w="1701" w:type="dxa"/>
            <w:shd w:val="clear" w:color="auto" w:fill="E8E8E8" w:themeFill="background2"/>
          </w:tcPr>
          <w:p w14:paraId="75164787" w14:textId="77777777" w:rsidR="002A7D19" w:rsidRPr="000E6A6C" w:rsidRDefault="002A7D19" w:rsidP="003A31ED">
            <w:pPr>
              <w:jc w:val="center"/>
              <w:rPr>
                <w:rFonts w:ascii="Aptos" w:hAnsi="Aptos"/>
                <w:b/>
                <w:bCs/>
                <w:color w:val="000000"/>
                <w:sz w:val="20"/>
                <w:szCs w:val="20"/>
              </w:rPr>
            </w:pPr>
            <w:r w:rsidRPr="000E6A6C">
              <w:rPr>
                <w:rFonts w:ascii="Aptos" w:hAnsi="Aptos"/>
                <w:b/>
                <w:bCs/>
                <w:color w:val="000000"/>
                <w:sz w:val="20"/>
                <w:szCs w:val="20"/>
              </w:rPr>
              <w:t>200 - 400</w:t>
            </w:r>
          </w:p>
        </w:tc>
        <w:tc>
          <w:tcPr>
            <w:tcW w:w="1701" w:type="dxa"/>
          </w:tcPr>
          <w:p w14:paraId="72C306B1" w14:textId="55AAE1A2" w:rsidR="002A7D19" w:rsidRPr="005D3224" w:rsidRDefault="00897E2A" w:rsidP="003A31ED">
            <w:pPr>
              <w:jc w:val="center"/>
              <w:rPr>
                <w:rFonts w:ascii="Aptos" w:hAnsi="Aptos"/>
                <w:color w:val="000000"/>
                <w:sz w:val="20"/>
                <w:szCs w:val="20"/>
              </w:rPr>
            </w:pPr>
            <w:r>
              <w:rPr>
                <w:rFonts w:ascii="Aptos" w:hAnsi="Aptos"/>
                <w:color w:val="000000"/>
                <w:sz w:val="20"/>
                <w:szCs w:val="20"/>
              </w:rPr>
              <w:t>390</w:t>
            </w:r>
          </w:p>
        </w:tc>
        <w:tc>
          <w:tcPr>
            <w:tcW w:w="1701" w:type="dxa"/>
            <w:shd w:val="clear" w:color="auto" w:fill="E8E8E8" w:themeFill="background2"/>
            <w:vAlign w:val="bottom"/>
          </w:tcPr>
          <w:p w14:paraId="3EE4AFDC" w14:textId="24B49B27" w:rsidR="002A7D19" w:rsidRPr="000E6A6C" w:rsidRDefault="00897E2A" w:rsidP="003A31ED">
            <w:pPr>
              <w:jc w:val="center"/>
              <w:rPr>
                <w:rFonts w:ascii="Aptos" w:hAnsi="Aptos"/>
                <w:b/>
                <w:bCs/>
                <w:color w:val="000000"/>
                <w:sz w:val="20"/>
                <w:szCs w:val="20"/>
              </w:rPr>
            </w:pPr>
            <w:r>
              <w:rPr>
                <w:rFonts w:ascii="Aptos" w:hAnsi="Aptos"/>
                <w:b/>
                <w:bCs/>
                <w:color w:val="000000"/>
                <w:sz w:val="20"/>
                <w:szCs w:val="20"/>
              </w:rPr>
              <w:t>400</w:t>
            </w:r>
          </w:p>
        </w:tc>
      </w:tr>
      <w:tr w:rsidR="002A7D19" w:rsidRPr="001B39CA" w14:paraId="55E29454" w14:textId="77777777" w:rsidTr="003A31ED">
        <w:tc>
          <w:tcPr>
            <w:tcW w:w="2800" w:type="dxa"/>
          </w:tcPr>
          <w:p w14:paraId="0CDDBDD0" w14:textId="77777777" w:rsidR="002A7D19" w:rsidRPr="001B39CA" w:rsidRDefault="002A7D19" w:rsidP="003A31ED">
            <w:pPr>
              <w:rPr>
                <w:rFonts w:ascii="Aptos" w:hAnsi="Aptos"/>
                <w:sz w:val="20"/>
                <w:szCs w:val="20"/>
              </w:rPr>
            </w:pPr>
            <w:r w:rsidRPr="001B39CA">
              <w:rPr>
                <w:rFonts w:ascii="Aptos" w:hAnsi="Aptos"/>
                <w:sz w:val="20"/>
                <w:szCs w:val="20"/>
              </w:rPr>
              <w:t>4 to under 9 years</w:t>
            </w:r>
          </w:p>
        </w:tc>
        <w:tc>
          <w:tcPr>
            <w:tcW w:w="1164" w:type="dxa"/>
            <w:vMerge/>
            <w:vAlign w:val="center"/>
          </w:tcPr>
          <w:p w14:paraId="31C78771" w14:textId="77777777" w:rsidR="002A7D19" w:rsidRPr="001B39CA" w:rsidRDefault="002A7D19" w:rsidP="003A31ED">
            <w:pPr>
              <w:rPr>
                <w:rFonts w:ascii="Aptos" w:hAnsi="Aptos"/>
                <w:sz w:val="20"/>
                <w:szCs w:val="20"/>
              </w:rPr>
            </w:pPr>
          </w:p>
        </w:tc>
        <w:tc>
          <w:tcPr>
            <w:tcW w:w="1217" w:type="dxa"/>
            <w:vMerge/>
            <w:vAlign w:val="center"/>
          </w:tcPr>
          <w:p w14:paraId="4EA3BA57" w14:textId="77777777" w:rsidR="002A7D19" w:rsidRPr="001B39CA" w:rsidRDefault="002A7D19" w:rsidP="003A31ED">
            <w:pPr>
              <w:jc w:val="center"/>
              <w:rPr>
                <w:rFonts w:ascii="Aptos" w:hAnsi="Aptos"/>
                <w:color w:val="000000"/>
                <w:sz w:val="20"/>
                <w:szCs w:val="20"/>
              </w:rPr>
            </w:pPr>
          </w:p>
        </w:tc>
        <w:tc>
          <w:tcPr>
            <w:tcW w:w="993" w:type="dxa"/>
            <w:vAlign w:val="bottom"/>
          </w:tcPr>
          <w:p w14:paraId="7A306F99" w14:textId="77777777" w:rsidR="002A7D19" w:rsidRPr="001B39CA" w:rsidRDefault="002A7D19" w:rsidP="003A31ED">
            <w:pPr>
              <w:jc w:val="center"/>
              <w:rPr>
                <w:rFonts w:ascii="Aptos" w:hAnsi="Aptos"/>
                <w:sz w:val="20"/>
                <w:szCs w:val="20"/>
              </w:rPr>
            </w:pPr>
            <w:r w:rsidRPr="001B39CA">
              <w:rPr>
                <w:rFonts w:ascii="Aptos" w:hAnsi="Aptos"/>
                <w:color w:val="000000"/>
                <w:sz w:val="20"/>
                <w:szCs w:val="20"/>
              </w:rPr>
              <w:t>6.4</w:t>
            </w:r>
          </w:p>
        </w:tc>
        <w:tc>
          <w:tcPr>
            <w:tcW w:w="1134" w:type="dxa"/>
            <w:vMerge/>
            <w:vAlign w:val="bottom"/>
          </w:tcPr>
          <w:p w14:paraId="2F36322D" w14:textId="77777777" w:rsidR="002A7D19" w:rsidRPr="001B39CA" w:rsidRDefault="002A7D19" w:rsidP="003A31ED">
            <w:pPr>
              <w:jc w:val="center"/>
              <w:rPr>
                <w:rFonts w:ascii="Aptos" w:hAnsi="Aptos"/>
                <w:sz w:val="20"/>
                <w:szCs w:val="20"/>
              </w:rPr>
            </w:pPr>
          </w:p>
        </w:tc>
        <w:tc>
          <w:tcPr>
            <w:tcW w:w="1417" w:type="dxa"/>
            <w:vAlign w:val="bottom"/>
          </w:tcPr>
          <w:p w14:paraId="4D2FA9E9" w14:textId="77777777" w:rsidR="002A7D19" w:rsidRPr="005D3224" w:rsidRDefault="002A7D19" w:rsidP="003A31ED">
            <w:pPr>
              <w:jc w:val="center"/>
              <w:rPr>
                <w:rFonts w:ascii="Aptos" w:hAnsi="Aptos"/>
                <w:color w:val="000000"/>
                <w:sz w:val="20"/>
                <w:szCs w:val="20"/>
              </w:rPr>
            </w:pPr>
            <w:r w:rsidRPr="005D3224">
              <w:rPr>
                <w:rFonts w:ascii="Aptos" w:hAnsi="Aptos"/>
                <w:color w:val="000000"/>
                <w:sz w:val="20"/>
                <w:szCs w:val="20"/>
              </w:rPr>
              <w:t>284 – 569</w:t>
            </w:r>
          </w:p>
        </w:tc>
        <w:tc>
          <w:tcPr>
            <w:tcW w:w="1701" w:type="dxa"/>
            <w:shd w:val="clear" w:color="auto" w:fill="E8E8E8" w:themeFill="background2"/>
          </w:tcPr>
          <w:p w14:paraId="38962703" w14:textId="77777777" w:rsidR="002A7D19" w:rsidRPr="000E6A6C" w:rsidRDefault="002A7D19" w:rsidP="003A31ED">
            <w:pPr>
              <w:jc w:val="center"/>
              <w:rPr>
                <w:rFonts w:ascii="Aptos" w:hAnsi="Aptos"/>
                <w:b/>
                <w:bCs/>
                <w:color w:val="000000"/>
                <w:sz w:val="20"/>
                <w:szCs w:val="20"/>
              </w:rPr>
            </w:pPr>
            <w:r w:rsidRPr="000E6A6C">
              <w:rPr>
                <w:rFonts w:ascii="Aptos" w:hAnsi="Aptos"/>
                <w:b/>
                <w:bCs/>
                <w:color w:val="000000"/>
                <w:sz w:val="20"/>
                <w:szCs w:val="20"/>
              </w:rPr>
              <w:t>300 - 600</w:t>
            </w:r>
          </w:p>
        </w:tc>
        <w:tc>
          <w:tcPr>
            <w:tcW w:w="1701" w:type="dxa"/>
          </w:tcPr>
          <w:p w14:paraId="73636FFC" w14:textId="4B1D4AD1" w:rsidR="002A7D19" w:rsidRPr="005D3224" w:rsidRDefault="00897E2A" w:rsidP="003A31ED">
            <w:pPr>
              <w:jc w:val="center"/>
              <w:rPr>
                <w:rFonts w:ascii="Aptos" w:hAnsi="Aptos"/>
                <w:color w:val="000000"/>
                <w:sz w:val="20"/>
                <w:szCs w:val="20"/>
              </w:rPr>
            </w:pPr>
            <w:r>
              <w:rPr>
                <w:rFonts w:ascii="Aptos" w:hAnsi="Aptos"/>
                <w:color w:val="000000"/>
                <w:sz w:val="20"/>
                <w:szCs w:val="20"/>
              </w:rPr>
              <w:t>569</w:t>
            </w:r>
          </w:p>
        </w:tc>
        <w:tc>
          <w:tcPr>
            <w:tcW w:w="1701" w:type="dxa"/>
            <w:shd w:val="clear" w:color="auto" w:fill="E8E8E8" w:themeFill="background2"/>
            <w:vAlign w:val="bottom"/>
          </w:tcPr>
          <w:p w14:paraId="48CC04D7" w14:textId="4444A0CF" w:rsidR="002A7D19" w:rsidRPr="000E6A6C" w:rsidRDefault="002A7D19" w:rsidP="003A31ED">
            <w:pPr>
              <w:jc w:val="center"/>
              <w:rPr>
                <w:rFonts w:ascii="Aptos" w:hAnsi="Aptos"/>
                <w:b/>
                <w:bCs/>
                <w:color w:val="000000"/>
                <w:sz w:val="20"/>
                <w:szCs w:val="20"/>
              </w:rPr>
            </w:pPr>
            <w:r w:rsidRPr="000E6A6C">
              <w:rPr>
                <w:rFonts w:ascii="Aptos" w:hAnsi="Aptos"/>
                <w:b/>
                <w:bCs/>
                <w:color w:val="000000"/>
                <w:sz w:val="20"/>
                <w:szCs w:val="20"/>
              </w:rPr>
              <w:t>6</w:t>
            </w:r>
            <w:r w:rsidR="00897E2A">
              <w:rPr>
                <w:rFonts w:ascii="Aptos" w:hAnsi="Aptos"/>
                <w:b/>
                <w:bCs/>
                <w:color w:val="000000"/>
                <w:sz w:val="20"/>
                <w:szCs w:val="20"/>
              </w:rPr>
              <w:t>00</w:t>
            </w:r>
          </w:p>
        </w:tc>
      </w:tr>
      <w:tr w:rsidR="002A7D19" w:rsidRPr="001B39CA" w14:paraId="598BFFAD" w14:textId="77777777" w:rsidTr="003A31ED">
        <w:tc>
          <w:tcPr>
            <w:tcW w:w="2800" w:type="dxa"/>
          </w:tcPr>
          <w:p w14:paraId="70614DC1" w14:textId="77777777" w:rsidR="002A7D19" w:rsidRPr="001B39CA" w:rsidRDefault="002A7D19" w:rsidP="003A31ED">
            <w:pPr>
              <w:rPr>
                <w:rFonts w:ascii="Aptos" w:hAnsi="Aptos"/>
                <w:sz w:val="20"/>
                <w:szCs w:val="20"/>
              </w:rPr>
            </w:pPr>
            <w:r w:rsidRPr="001B39CA">
              <w:rPr>
                <w:rFonts w:ascii="Aptos" w:hAnsi="Aptos"/>
                <w:sz w:val="20"/>
                <w:szCs w:val="20"/>
              </w:rPr>
              <w:t>9 to under 14 years</w:t>
            </w:r>
          </w:p>
        </w:tc>
        <w:tc>
          <w:tcPr>
            <w:tcW w:w="1164" w:type="dxa"/>
            <w:vMerge/>
            <w:vAlign w:val="center"/>
          </w:tcPr>
          <w:p w14:paraId="5FF0CCE3" w14:textId="77777777" w:rsidR="002A7D19" w:rsidRPr="001B39CA" w:rsidRDefault="002A7D19" w:rsidP="003A31ED">
            <w:pPr>
              <w:rPr>
                <w:rFonts w:ascii="Aptos" w:hAnsi="Aptos"/>
                <w:sz w:val="20"/>
                <w:szCs w:val="20"/>
              </w:rPr>
            </w:pPr>
          </w:p>
        </w:tc>
        <w:tc>
          <w:tcPr>
            <w:tcW w:w="1217" w:type="dxa"/>
            <w:vMerge/>
            <w:vAlign w:val="center"/>
          </w:tcPr>
          <w:p w14:paraId="33F11055" w14:textId="77777777" w:rsidR="002A7D19" w:rsidRPr="001B39CA" w:rsidRDefault="002A7D19" w:rsidP="003A31ED">
            <w:pPr>
              <w:jc w:val="center"/>
              <w:rPr>
                <w:rFonts w:ascii="Aptos" w:hAnsi="Aptos"/>
                <w:color w:val="000000"/>
                <w:sz w:val="20"/>
                <w:szCs w:val="20"/>
              </w:rPr>
            </w:pPr>
          </w:p>
        </w:tc>
        <w:tc>
          <w:tcPr>
            <w:tcW w:w="993" w:type="dxa"/>
            <w:vAlign w:val="bottom"/>
          </w:tcPr>
          <w:p w14:paraId="420C6DFC" w14:textId="77777777" w:rsidR="002A7D19" w:rsidRPr="001B39CA" w:rsidRDefault="002A7D19" w:rsidP="003A31ED">
            <w:pPr>
              <w:jc w:val="center"/>
              <w:rPr>
                <w:rFonts w:ascii="Aptos" w:hAnsi="Aptos"/>
                <w:sz w:val="20"/>
                <w:szCs w:val="20"/>
              </w:rPr>
            </w:pPr>
            <w:r w:rsidRPr="001B39CA">
              <w:rPr>
                <w:rFonts w:ascii="Aptos" w:hAnsi="Aptos"/>
                <w:color w:val="000000"/>
                <w:sz w:val="20"/>
                <w:szCs w:val="20"/>
              </w:rPr>
              <w:t>9.0</w:t>
            </w:r>
          </w:p>
        </w:tc>
        <w:tc>
          <w:tcPr>
            <w:tcW w:w="1134" w:type="dxa"/>
            <w:vMerge/>
            <w:vAlign w:val="bottom"/>
          </w:tcPr>
          <w:p w14:paraId="71E445F8" w14:textId="77777777" w:rsidR="002A7D19" w:rsidRPr="001B39CA" w:rsidRDefault="002A7D19" w:rsidP="003A31ED">
            <w:pPr>
              <w:jc w:val="center"/>
              <w:rPr>
                <w:rFonts w:ascii="Aptos" w:hAnsi="Aptos"/>
                <w:sz w:val="20"/>
                <w:szCs w:val="20"/>
              </w:rPr>
            </w:pPr>
          </w:p>
        </w:tc>
        <w:tc>
          <w:tcPr>
            <w:tcW w:w="1417" w:type="dxa"/>
            <w:vAlign w:val="bottom"/>
          </w:tcPr>
          <w:p w14:paraId="5D5D2ABC" w14:textId="77777777" w:rsidR="002A7D19" w:rsidRPr="005D3224" w:rsidRDefault="002A7D19" w:rsidP="003A31ED">
            <w:pPr>
              <w:jc w:val="center"/>
              <w:rPr>
                <w:rFonts w:ascii="Aptos" w:hAnsi="Aptos"/>
                <w:color w:val="000000"/>
                <w:sz w:val="20"/>
                <w:szCs w:val="20"/>
              </w:rPr>
            </w:pPr>
            <w:r w:rsidRPr="005D3224">
              <w:rPr>
                <w:rFonts w:ascii="Aptos" w:hAnsi="Aptos"/>
                <w:color w:val="000000"/>
                <w:sz w:val="20"/>
                <w:szCs w:val="20"/>
              </w:rPr>
              <w:t>401 – 801</w:t>
            </w:r>
          </w:p>
        </w:tc>
        <w:tc>
          <w:tcPr>
            <w:tcW w:w="1701" w:type="dxa"/>
            <w:shd w:val="clear" w:color="auto" w:fill="E8E8E8" w:themeFill="background2"/>
          </w:tcPr>
          <w:p w14:paraId="5A3D6103" w14:textId="77777777" w:rsidR="002A7D19" w:rsidRPr="000E6A6C" w:rsidRDefault="002A7D19" w:rsidP="003A31ED">
            <w:pPr>
              <w:jc w:val="center"/>
              <w:rPr>
                <w:rFonts w:ascii="Aptos" w:hAnsi="Aptos"/>
                <w:b/>
                <w:bCs/>
                <w:color w:val="000000"/>
                <w:sz w:val="20"/>
                <w:szCs w:val="20"/>
              </w:rPr>
            </w:pPr>
            <w:r w:rsidRPr="000E6A6C">
              <w:rPr>
                <w:rFonts w:ascii="Aptos" w:hAnsi="Aptos"/>
                <w:b/>
                <w:bCs/>
                <w:color w:val="000000"/>
                <w:sz w:val="20"/>
                <w:szCs w:val="20"/>
              </w:rPr>
              <w:t>400-800</w:t>
            </w:r>
          </w:p>
        </w:tc>
        <w:tc>
          <w:tcPr>
            <w:tcW w:w="1701" w:type="dxa"/>
          </w:tcPr>
          <w:p w14:paraId="7FBF8D72" w14:textId="4F09CDC6" w:rsidR="002A7D19" w:rsidRPr="005D3224" w:rsidRDefault="002A7D19" w:rsidP="003A31ED">
            <w:pPr>
              <w:jc w:val="center"/>
              <w:rPr>
                <w:rFonts w:ascii="Aptos" w:hAnsi="Aptos"/>
                <w:color w:val="000000"/>
                <w:sz w:val="20"/>
                <w:szCs w:val="20"/>
              </w:rPr>
            </w:pPr>
            <w:r w:rsidRPr="004F7D33">
              <w:rPr>
                <w:rFonts w:ascii="Aptos" w:hAnsi="Aptos"/>
                <w:color w:val="000000"/>
                <w:sz w:val="20"/>
                <w:szCs w:val="20"/>
              </w:rPr>
              <w:t>8</w:t>
            </w:r>
            <w:r w:rsidR="00897E2A">
              <w:rPr>
                <w:rFonts w:ascii="Aptos" w:hAnsi="Aptos"/>
                <w:color w:val="000000"/>
                <w:sz w:val="20"/>
                <w:szCs w:val="20"/>
              </w:rPr>
              <w:t>01</w:t>
            </w:r>
          </w:p>
        </w:tc>
        <w:tc>
          <w:tcPr>
            <w:tcW w:w="1701" w:type="dxa"/>
            <w:shd w:val="clear" w:color="auto" w:fill="E8E8E8" w:themeFill="background2"/>
            <w:vAlign w:val="bottom"/>
          </w:tcPr>
          <w:p w14:paraId="72A25B0D" w14:textId="1F0ECBD8" w:rsidR="002A7D19" w:rsidRPr="000E6A6C" w:rsidRDefault="002A7D19" w:rsidP="003A31ED">
            <w:pPr>
              <w:jc w:val="center"/>
              <w:rPr>
                <w:rFonts w:ascii="Aptos" w:hAnsi="Aptos"/>
                <w:b/>
                <w:bCs/>
                <w:color w:val="000000"/>
                <w:sz w:val="20"/>
                <w:szCs w:val="20"/>
              </w:rPr>
            </w:pPr>
            <w:r w:rsidRPr="000E6A6C">
              <w:rPr>
                <w:rFonts w:ascii="Aptos" w:hAnsi="Aptos"/>
                <w:b/>
                <w:bCs/>
                <w:color w:val="000000"/>
                <w:sz w:val="20"/>
                <w:szCs w:val="20"/>
              </w:rPr>
              <w:t>8</w:t>
            </w:r>
            <w:r w:rsidR="00897E2A">
              <w:rPr>
                <w:rFonts w:ascii="Aptos" w:hAnsi="Aptos"/>
                <w:b/>
                <w:bCs/>
                <w:color w:val="000000"/>
                <w:sz w:val="20"/>
                <w:szCs w:val="20"/>
              </w:rPr>
              <w:t>0</w:t>
            </w:r>
            <w:r w:rsidRPr="000E6A6C">
              <w:rPr>
                <w:rFonts w:ascii="Aptos" w:hAnsi="Aptos"/>
                <w:b/>
                <w:bCs/>
                <w:color w:val="000000"/>
                <w:sz w:val="20"/>
                <w:szCs w:val="20"/>
              </w:rPr>
              <w:t>0</w:t>
            </w:r>
          </w:p>
        </w:tc>
      </w:tr>
      <w:tr w:rsidR="002A7D19" w:rsidRPr="001B39CA" w14:paraId="18738157" w14:textId="77777777" w:rsidTr="003A31ED">
        <w:tc>
          <w:tcPr>
            <w:tcW w:w="2800" w:type="dxa"/>
          </w:tcPr>
          <w:p w14:paraId="6ADC76B9" w14:textId="77777777" w:rsidR="002A7D19" w:rsidRPr="001B39CA" w:rsidRDefault="002A7D19" w:rsidP="003A31ED">
            <w:pPr>
              <w:rPr>
                <w:rFonts w:ascii="Aptos" w:hAnsi="Aptos"/>
                <w:sz w:val="20"/>
                <w:szCs w:val="20"/>
              </w:rPr>
            </w:pPr>
            <w:r w:rsidRPr="001B39CA">
              <w:rPr>
                <w:rFonts w:ascii="Aptos" w:hAnsi="Aptos"/>
                <w:sz w:val="20"/>
                <w:szCs w:val="20"/>
              </w:rPr>
              <w:t>14 to under 18 years</w:t>
            </w:r>
          </w:p>
        </w:tc>
        <w:tc>
          <w:tcPr>
            <w:tcW w:w="1164" w:type="dxa"/>
            <w:vMerge/>
            <w:vAlign w:val="center"/>
          </w:tcPr>
          <w:p w14:paraId="26C3801C" w14:textId="77777777" w:rsidR="002A7D19" w:rsidRPr="001B39CA" w:rsidRDefault="002A7D19" w:rsidP="003A31ED">
            <w:pPr>
              <w:rPr>
                <w:rFonts w:ascii="Aptos" w:hAnsi="Aptos"/>
                <w:sz w:val="20"/>
                <w:szCs w:val="20"/>
              </w:rPr>
            </w:pPr>
          </w:p>
        </w:tc>
        <w:tc>
          <w:tcPr>
            <w:tcW w:w="1217" w:type="dxa"/>
            <w:vMerge/>
            <w:vAlign w:val="center"/>
          </w:tcPr>
          <w:p w14:paraId="3516710A" w14:textId="77777777" w:rsidR="002A7D19" w:rsidRPr="001B39CA" w:rsidRDefault="002A7D19" w:rsidP="003A31ED">
            <w:pPr>
              <w:jc w:val="center"/>
              <w:rPr>
                <w:rFonts w:ascii="Aptos" w:hAnsi="Aptos"/>
                <w:color w:val="000000"/>
                <w:sz w:val="20"/>
                <w:szCs w:val="20"/>
              </w:rPr>
            </w:pPr>
          </w:p>
        </w:tc>
        <w:tc>
          <w:tcPr>
            <w:tcW w:w="993" w:type="dxa"/>
            <w:vAlign w:val="bottom"/>
          </w:tcPr>
          <w:p w14:paraId="38FB4F52" w14:textId="77777777" w:rsidR="002A7D19" w:rsidRPr="001B39CA" w:rsidRDefault="002A7D19" w:rsidP="003A31ED">
            <w:pPr>
              <w:jc w:val="center"/>
              <w:rPr>
                <w:rFonts w:ascii="Aptos" w:hAnsi="Aptos"/>
                <w:sz w:val="20"/>
                <w:szCs w:val="20"/>
              </w:rPr>
            </w:pPr>
            <w:r w:rsidRPr="001B39CA">
              <w:rPr>
                <w:rFonts w:ascii="Aptos" w:hAnsi="Aptos"/>
                <w:color w:val="000000"/>
                <w:sz w:val="20"/>
                <w:szCs w:val="20"/>
              </w:rPr>
              <w:t>11.1</w:t>
            </w:r>
          </w:p>
        </w:tc>
        <w:tc>
          <w:tcPr>
            <w:tcW w:w="1134" w:type="dxa"/>
            <w:vMerge/>
            <w:vAlign w:val="bottom"/>
          </w:tcPr>
          <w:p w14:paraId="1C1EC998" w14:textId="77777777" w:rsidR="002A7D19" w:rsidRPr="001B39CA" w:rsidRDefault="002A7D19" w:rsidP="003A31ED">
            <w:pPr>
              <w:jc w:val="center"/>
              <w:rPr>
                <w:rFonts w:ascii="Aptos" w:hAnsi="Aptos"/>
                <w:sz w:val="20"/>
                <w:szCs w:val="20"/>
              </w:rPr>
            </w:pPr>
          </w:p>
        </w:tc>
        <w:tc>
          <w:tcPr>
            <w:tcW w:w="1417" w:type="dxa"/>
            <w:vAlign w:val="bottom"/>
          </w:tcPr>
          <w:p w14:paraId="642886A9" w14:textId="77777777" w:rsidR="002A7D19" w:rsidRPr="005D3224" w:rsidRDefault="002A7D19" w:rsidP="003A31ED">
            <w:pPr>
              <w:jc w:val="center"/>
              <w:rPr>
                <w:rFonts w:ascii="Aptos" w:hAnsi="Aptos"/>
                <w:color w:val="000000"/>
                <w:sz w:val="20"/>
                <w:szCs w:val="20"/>
              </w:rPr>
            </w:pPr>
            <w:r w:rsidRPr="005D3224">
              <w:rPr>
                <w:rFonts w:ascii="Aptos" w:hAnsi="Aptos"/>
                <w:color w:val="000000"/>
                <w:sz w:val="20"/>
                <w:szCs w:val="20"/>
              </w:rPr>
              <w:t>495 - 991</w:t>
            </w:r>
          </w:p>
        </w:tc>
        <w:tc>
          <w:tcPr>
            <w:tcW w:w="1701" w:type="dxa"/>
            <w:shd w:val="clear" w:color="auto" w:fill="E8E8E8" w:themeFill="background2"/>
          </w:tcPr>
          <w:p w14:paraId="01C2F550" w14:textId="77777777" w:rsidR="002A7D19" w:rsidRPr="000E6A6C" w:rsidRDefault="002A7D19" w:rsidP="003A31ED">
            <w:pPr>
              <w:jc w:val="center"/>
              <w:rPr>
                <w:rFonts w:ascii="Aptos" w:hAnsi="Aptos"/>
                <w:b/>
                <w:bCs/>
                <w:color w:val="000000"/>
                <w:sz w:val="20"/>
                <w:szCs w:val="20"/>
              </w:rPr>
            </w:pPr>
            <w:r w:rsidRPr="000E6A6C">
              <w:rPr>
                <w:rFonts w:ascii="Aptos" w:hAnsi="Aptos"/>
                <w:b/>
                <w:bCs/>
                <w:color w:val="000000"/>
                <w:sz w:val="20"/>
                <w:szCs w:val="20"/>
              </w:rPr>
              <w:t>460-920</w:t>
            </w:r>
          </w:p>
        </w:tc>
        <w:tc>
          <w:tcPr>
            <w:tcW w:w="1701" w:type="dxa"/>
          </w:tcPr>
          <w:p w14:paraId="2F49B177" w14:textId="1851FFAA" w:rsidR="002A7D19" w:rsidRPr="005D3224" w:rsidRDefault="00897E2A" w:rsidP="003A31ED">
            <w:pPr>
              <w:jc w:val="center"/>
              <w:rPr>
                <w:rFonts w:ascii="Aptos" w:hAnsi="Aptos"/>
                <w:color w:val="000000"/>
                <w:sz w:val="20"/>
                <w:szCs w:val="20"/>
              </w:rPr>
            </w:pPr>
            <w:r>
              <w:rPr>
                <w:rFonts w:ascii="Aptos" w:hAnsi="Aptos"/>
                <w:color w:val="000000"/>
                <w:sz w:val="20"/>
                <w:szCs w:val="20"/>
              </w:rPr>
              <w:t>991</w:t>
            </w:r>
          </w:p>
        </w:tc>
        <w:tc>
          <w:tcPr>
            <w:tcW w:w="1701" w:type="dxa"/>
            <w:shd w:val="clear" w:color="auto" w:fill="E8E8E8" w:themeFill="background2"/>
            <w:vAlign w:val="bottom"/>
          </w:tcPr>
          <w:p w14:paraId="3929ECF0" w14:textId="16C9540F" w:rsidR="002A7D19" w:rsidRPr="000E6A6C" w:rsidRDefault="00897E2A" w:rsidP="003A31ED">
            <w:pPr>
              <w:jc w:val="center"/>
              <w:rPr>
                <w:rFonts w:ascii="Aptos" w:hAnsi="Aptos"/>
                <w:b/>
                <w:bCs/>
                <w:color w:val="000000"/>
                <w:sz w:val="20"/>
                <w:szCs w:val="20"/>
              </w:rPr>
            </w:pPr>
            <w:r>
              <w:rPr>
                <w:rFonts w:ascii="Aptos" w:hAnsi="Aptos"/>
                <w:b/>
                <w:bCs/>
                <w:color w:val="000000"/>
                <w:sz w:val="20"/>
                <w:szCs w:val="20"/>
              </w:rPr>
              <w:t>92</w:t>
            </w:r>
            <w:r w:rsidR="002A7D19" w:rsidRPr="000E6A6C">
              <w:rPr>
                <w:rFonts w:ascii="Aptos" w:hAnsi="Aptos"/>
                <w:b/>
                <w:bCs/>
                <w:color w:val="000000"/>
                <w:sz w:val="20"/>
                <w:szCs w:val="20"/>
              </w:rPr>
              <w:t>0</w:t>
            </w:r>
          </w:p>
        </w:tc>
      </w:tr>
      <w:tr w:rsidR="002A7D19" w:rsidRPr="001B39CA" w14:paraId="7FFCEB6C" w14:textId="77777777" w:rsidTr="003A31ED">
        <w:tc>
          <w:tcPr>
            <w:tcW w:w="13828" w:type="dxa"/>
            <w:gridSpan w:val="9"/>
            <w:shd w:val="clear" w:color="auto" w:fill="E8E8E8" w:themeFill="background2"/>
          </w:tcPr>
          <w:p w14:paraId="2235AB64" w14:textId="77777777" w:rsidR="002A7D19" w:rsidRPr="000E6A6C" w:rsidRDefault="002A7D19" w:rsidP="003A31ED">
            <w:pPr>
              <w:rPr>
                <w:rFonts w:ascii="Aptos" w:hAnsi="Aptos"/>
                <w:b/>
                <w:bCs/>
                <w:color w:val="000000"/>
                <w:sz w:val="20"/>
                <w:szCs w:val="20"/>
              </w:rPr>
            </w:pPr>
            <w:r w:rsidRPr="000E6A6C">
              <w:rPr>
                <w:rFonts w:ascii="Aptos" w:hAnsi="Aptos"/>
                <w:b/>
                <w:bCs/>
                <w:color w:val="000000"/>
                <w:sz w:val="20"/>
                <w:szCs w:val="20"/>
              </w:rPr>
              <w:t>Alternative age groupings</w:t>
            </w:r>
          </w:p>
        </w:tc>
      </w:tr>
      <w:tr w:rsidR="002A7D19" w:rsidRPr="001B39CA" w14:paraId="5E9077AC" w14:textId="77777777" w:rsidTr="003A31ED">
        <w:tc>
          <w:tcPr>
            <w:tcW w:w="2800" w:type="dxa"/>
          </w:tcPr>
          <w:p w14:paraId="24E0951B" w14:textId="77777777" w:rsidR="002A7D19" w:rsidRPr="000A6FEA" w:rsidRDefault="002A7D19" w:rsidP="003A31ED">
            <w:pPr>
              <w:rPr>
                <w:rFonts w:ascii="Aptos" w:hAnsi="Aptos"/>
                <w:sz w:val="20"/>
                <w:szCs w:val="20"/>
              </w:rPr>
            </w:pPr>
            <w:r w:rsidRPr="000A6FEA">
              <w:rPr>
                <w:rFonts w:ascii="Aptos" w:hAnsi="Aptos"/>
                <w:sz w:val="20"/>
                <w:szCs w:val="20"/>
              </w:rPr>
              <w:t>12 to under 24 months</w:t>
            </w:r>
          </w:p>
        </w:tc>
        <w:tc>
          <w:tcPr>
            <w:tcW w:w="1164" w:type="dxa"/>
            <w:vMerge w:val="restart"/>
            <w:vAlign w:val="center"/>
          </w:tcPr>
          <w:p w14:paraId="56C504D9" w14:textId="77777777" w:rsidR="002A7D19" w:rsidRPr="001B39CA" w:rsidRDefault="002A7D19" w:rsidP="003A31ED">
            <w:pPr>
              <w:jc w:val="center"/>
              <w:rPr>
                <w:rFonts w:ascii="Aptos" w:hAnsi="Aptos"/>
                <w:sz w:val="20"/>
                <w:szCs w:val="20"/>
              </w:rPr>
            </w:pPr>
            <w:r w:rsidRPr="001B39CA">
              <w:rPr>
                <w:rFonts w:ascii="Aptos" w:hAnsi="Aptos"/>
                <w:sz w:val="20"/>
                <w:szCs w:val="20"/>
              </w:rPr>
              <w:t>460 - 920</w:t>
            </w:r>
          </w:p>
        </w:tc>
        <w:tc>
          <w:tcPr>
            <w:tcW w:w="1217" w:type="dxa"/>
            <w:vMerge w:val="restart"/>
            <w:vAlign w:val="center"/>
          </w:tcPr>
          <w:p w14:paraId="5F57E314" w14:textId="4F167D01" w:rsidR="002A7D19" w:rsidRPr="001B39CA" w:rsidRDefault="001E2A49" w:rsidP="003A31ED">
            <w:pPr>
              <w:jc w:val="center"/>
              <w:rPr>
                <w:rFonts w:ascii="Aptos" w:hAnsi="Aptos"/>
                <w:sz w:val="20"/>
                <w:szCs w:val="20"/>
              </w:rPr>
            </w:pPr>
            <w:r>
              <w:rPr>
                <w:rFonts w:ascii="Aptos" w:hAnsi="Aptos"/>
                <w:color w:val="000000"/>
                <w:sz w:val="20"/>
                <w:szCs w:val="20"/>
              </w:rPr>
              <w:t>920</w:t>
            </w:r>
          </w:p>
        </w:tc>
        <w:tc>
          <w:tcPr>
            <w:tcW w:w="993" w:type="dxa"/>
            <w:vAlign w:val="bottom"/>
          </w:tcPr>
          <w:p w14:paraId="49AF65D5" w14:textId="77777777" w:rsidR="002A7D19" w:rsidRPr="001B39CA" w:rsidRDefault="002A7D19" w:rsidP="003A31ED">
            <w:pPr>
              <w:jc w:val="center"/>
              <w:rPr>
                <w:rFonts w:ascii="Aptos" w:hAnsi="Aptos"/>
                <w:sz w:val="20"/>
                <w:szCs w:val="20"/>
              </w:rPr>
            </w:pPr>
            <w:r>
              <w:rPr>
                <w:rFonts w:ascii="Aptos Narrow" w:hAnsi="Aptos Narrow"/>
                <w:color w:val="000000"/>
              </w:rPr>
              <w:t>3.9</w:t>
            </w:r>
          </w:p>
        </w:tc>
        <w:tc>
          <w:tcPr>
            <w:tcW w:w="1134" w:type="dxa"/>
            <w:vMerge w:val="restart"/>
            <w:vAlign w:val="center"/>
          </w:tcPr>
          <w:p w14:paraId="68E287F9" w14:textId="77777777" w:rsidR="002A7D19" w:rsidRPr="001B39CA" w:rsidRDefault="002A7D19" w:rsidP="003A31ED">
            <w:pPr>
              <w:jc w:val="center"/>
              <w:rPr>
                <w:rFonts w:ascii="Aptos" w:hAnsi="Aptos"/>
                <w:sz w:val="20"/>
                <w:szCs w:val="20"/>
              </w:rPr>
            </w:pPr>
            <w:r w:rsidRPr="001B39CA">
              <w:rPr>
                <w:rFonts w:ascii="Aptos" w:hAnsi="Aptos"/>
                <w:color w:val="000000"/>
                <w:sz w:val="20"/>
                <w:szCs w:val="20"/>
              </w:rPr>
              <w:t>10.3</w:t>
            </w:r>
          </w:p>
        </w:tc>
        <w:tc>
          <w:tcPr>
            <w:tcW w:w="1417" w:type="dxa"/>
            <w:vAlign w:val="bottom"/>
          </w:tcPr>
          <w:p w14:paraId="5587555D" w14:textId="77777777" w:rsidR="002A7D19" w:rsidRPr="0098058F" w:rsidRDefault="002A7D19" w:rsidP="003A31ED">
            <w:pPr>
              <w:jc w:val="center"/>
              <w:rPr>
                <w:rFonts w:ascii="Aptos" w:hAnsi="Aptos"/>
                <w:color w:val="000000"/>
                <w:sz w:val="20"/>
                <w:szCs w:val="20"/>
              </w:rPr>
            </w:pPr>
            <w:r w:rsidRPr="0098058F">
              <w:rPr>
                <w:rFonts w:ascii="Aptos" w:hAnsi="Aptos"/>
                <w:color w:val="000000"/>
                <w:sz w:val="20"/>
                <w:szCs w:val="20"/>
              </w:rPr>
              <w:t>172 – 345</w:t>
            </w:r>
          </w:p>
        </w:tc>
        <w:tc>
          <w:tcPr>
            <w:tcW w:w="1701" w:type="dxa"/>
            <w:shd w:val="clear" w:color="auto" w:fill="E8E8E8" w:themeFill="background2"/>
          </w:tcPr>
          <w:p w14:paraId="43E2BEEE" w14:textId="77777777" w:rsidR="002A7D19" w:rsidRPr="000E6A6C" w:rsidRDefault="002A7D19" w:rsidP="003A31ED">
            <w:pPr>
              <w:jc w:val="center"/>
              <w:rPr>
                <w:rFonts w:ascii="Aptos" w:hAnsi="Aptos"/>
                <w:b/>
                <w:bCs/>
                <w:sz w:val="20"/>
                <w:szCs w:val="20"/>
              </w:rPr>
            </w:pPr>
            <w:r w:rsidRPr="000E6A6C">
              <w:rPr>
                <w:rFonts w:ascii="Aptos" w:hAnsi="Aptos"/>
                <w:b/>
                <w:bCs/>
                <w:sz w:val="20"/>
                <w:szCs w:val="20"/>
              </w:rPr>
              <w:t>200 – 350</w:t>
            </w:r>
          </w:p>
        </w:tc>
        <w:tc>
          <w:tcPr>
            <w:tcW w:w="1701" w:type="dxa"/>
            <w:vAlign w:val="bottom"/>
          </w:tcPr>
          <w:p w14:paraId="6CC38ABF" w14:textId="08291E3C" w:rsidR="002A7D19" w:rsidRPr="00327EDA" w:rsidRDefault="002A7D19" w:rsidP="003A31ED">
            <w:pPr>
              <w:jc w:val="center"/>
              <w:rPr>
                <w:rFonts w:ascii="Aptos" w:hAnsi="Aptos"/>
                <w:color w:val="000000"/>
                <w:sz w:val="20"/>
                <w:szCs w:val="20"/>
              </w:rPr>
            </w:pPr>
            <w:r w:rsidRPr="00327EDA">
              <w:rPr>
                <w:rFonts w:ascii="Aptos" w:hAnsi="Aptos"/>
                <w:color w:val="000000"/>
                <w:sz w:val="20"/>
                <w:szCs w:val="20"/>
              </w:rPr>
              <w:t>3</w:t>
            </w:r>
            <w:r w:rsidR="00897E2A">
              <w:rPr>
                <w:rFonts w:ascii="Aptos" w:hAnsi="Aptos"/>
                <w:color w:val="000000"/>
                <w:sz w:val="20"/>
                <w:szCs w:val="20"/>
              </w:rPr>
              <w:t>4</w:t>
            </w:r>
            <w:r w:rsidRPr="00327EDA">
              <w:rPr>
                <w:rFonts w:ascii="Aptos" w:hAnsi="Aptos"/>
                <w:color w:val="000000"/>
                <w:sz w:val="20"/>
                <w:szCs w:val="20"/>
              </w:rPr>
              <w:t>5</w:t>
            </w:r>
          </w:p>
        </w:tc>
        <w:tc>
          <w:tcPr>
            <w:tcW w:w="1701" w:type="dxa"/>
            <w:shd w:val="clear" w:color="auto" w:fill="E8E8E8" w:themeFill="background2"/>
            <w:vAlign w:val="bottom"/>
          </w:tcPr>
          <w:p w14:paraId="24AEBCDF" w14:textId="77777777" w:rsidR="002A7D19" w:rsidRPr="000E6A6C" w:rsidRDefault="002A7D19" w:rsidP="003A31ED">
            <w:pPr>
              <w:jc w:val="center"/>
              <w:rPr>
                <w:rFonts w:ascii="Aptos" w:hAnsi="Aptos"/>
                <w:b/>
                <w:bCs/>
                <w:color w:val="000000"/>
                <w:sz w:val="20"/>
                <w:szCs w:val="20"/>
              </w:rPr>
            </w:pPr>
            <w:r w:rsidRPr="000E6A6C">
              <w:rPr>
                <w:rFonts w:ascii="Aptos" w:hAnsi="Aptos"/>
                <w:b/>
                <w:bCs/>
                <w:color w:val="000000"/>
                <w:sz w:val="20"/>
                <w:szCs w:val="20"/>
              </w:rPr>
              <w:t>350</w:t>
            </w:r>
          </w:p>
        </w:tc>
      </w:tr>
      <w:tr w:rsidR="002A7D19" w:rsidRPr="001B39CA" w14:paraId="4378D030" w14:textId="77777777" w:rsidTr="003A31ED">
        <w:tc>
          <w:tcPr>
            <w:tcW w:w="2800" w:type="dxa"/>
          </w:tcPr>
          <w:p w14:paraId="674BF852" w14:textId="77777777" w:rsidR="002A7D19" w:rsidRPr="000A6FEA" w:rsidRDefault="002A7D19" w:rsidP="003A31ED">
            <w:pPr>
              <w:rPr>
                <w:rFonts w:ascii="Aptos" w:hAnsi="Aptos"/>
                <w:sz w:val="20"/>
                <w:szCs w:val="20"/>
              </w:rPr>
            </w:pPr>
            <w:r w:rsidRPr="000A6FEA">
              <w:rPr>
                <w:rFonts w:ascii="Aptos" w:hAnsi="Aptos"/>
                <w:sz w:val="20"/>
                <w:szCs w:val="20"/>
              </w:rPr>
              <w:t>2 to under 5 years</w:t>
            </w:r>
          </w:p>
        </w:tc>
        <w:tc>
          <w:tcPr>
            <w:tcW w:w="1164" w:type="dxa"/>
            <w:vMerge/>
          </w:tcPr>
          <w:p w14:paraId="68823EC6" w14:textId="77777777" w:rsidR="002A7D19" w:rsidRPr="001B39CA" w:rsidRDefault="002A7D19" w:rsidP="003A31ED">
            <w:pPr>
              <w:jc w:val="center"/>
              <w:rPr>
                <w:rFonts w:ascii="Aptos" w:hAnsi="Aptos"/>
                <w:sz w:val="20"/>
                <w:szCs w:val="20"/>
              </w:rPr>
            </w:pPr>
          </w:p>
        </w:tc>
        <w:tc>
          <w:tcPr>
            <w:tcW w:w="1217" w:type="dxa"/>
            <w:vMerge/>
          </w:tcPr>
          <w:p w14:paraId="67AF1BBA" w14:textId="77777777" w:rsidR="002A7D19" w:rsidRPr="001B39CA" w:rsidRDefault="002A7D19" w:rsidP="003A31ED">
            <w:pPr>
              <w:jc w:val="center"/>
              <w:rPr>
                <w:rFonts w:ascii="Aptos" w:hAnsi="Aptos"/>
                <w:sz w:val="20"/>
                <w:szCs w:val="20"/>
              </w:rPr>
            </w:pPr>
          </w:p>
        </w:tc>
        <w:tc>
          <w:tcPr>
            <w:tcW w:w="993" w:type="dxa"/>
            <w:vAlign w:val="bottom"/>
          </w:tcPr>
          <w:p w14:paraId="43C79AB1" w14:textId="77777777" w:rsidR="002A7D19" w:rsidRPr="001B39CA" w:rsidRDefault="002A7D19" w:rsidP="003A31ED">
            <w:pPr>
              <w:jc w:val="center"/>
              <w:rPr>
                <w:rFonts w:ascii="Aptos" w:hAnsi="Aptos"/>
                <w:sz w:val="20"/>
                <w:szCs w:val="20"/>
              </w:rPr>
            </w:pPr>
            <w:r>
              <w:rPr>
                <w:rFonts w:ascii="Aptos Narrow" w:hAnsi="Aptos Narrow"/>
                <w:color w:val="000000"/>
              </w:rPr>
              <w:t>5.2</w:t>
            </w:r>
          </w:p>
        </w:tc>
        <w:tc>
          <w:tcPr>
            <w:tcW w:w="1134" w:type="dxa"/>
            <w:vMerge/>
            <w:vAlign w:val="center"/>
          </w:tcPr>
          <w:p w14:paraId="5B865642" w14:textId="77777777" w:rsidR="002A7D19" w:rsidRPr="001B39CA" w:rsidRDefault="002A7D19" w:rsidP="003A31ED">
            <w:pPr>
              <w:jc w:val="center"/>
              <w:rPr>
                <w:rFonts w:ascii="Aptos" w:hAnsi="Aptos"/>
                <w:sz w:val="20"/>
                <w:szCs w:val="20"/>
              </w:rPr>
            </w:pPr>
          </w:p>
        </w:tc>
        <w:tc>
          <w:tcPr>
            <w:tcW w:w="1417" w:type="dxa"/>
            <w:vAlign w:val="bottom"/>
          </w:tcPr>
          <w:p w14:paraId="4BA819A3" w14:textId="77777777" w:rsidR="002A7D19" w:rsidRPr="0098058F" w:rsidRDefault="002A7D19" w:rsidP="003A31ED">
            <w:pPr>
              <w:jc w:val="center"/>
              <w:rPr>
                <w:rFonts w:ascii="Aptos" w:hAnsi="Aptos"/>
                <w:color w:val="000000"/>
                <w:sz w:val="20"/>
                <w:szCs w:val="20"/>
              </w:rPr>
            </w:pPr>
            <w:r w:rsidRPr="0098058F">
              <w:rPr>
                <w:rFonts w:ascii="Aptos" w:hAnsi="Aptos"/>
                <w:color w:val="000000"/>
                <w:sz w:val="20"/>
                <w:szCs w:val="20"/>
              </w:rPr>
              <w:t>230 – 460</w:t>
            </w:r>
          </w:p>
        </w:tc>
        <w:tc>
          <w:tcPr>
            <w:tcW w:w="1701" w:type="dxa"/>
            <w:shd w:val="clear" w:color="auto" w:fill="E8E8E8" w:themeFill="background2"/>
          </w:tcPr>
          <w:p w14:paraId="0AEC5F21" w14:textId="77777777" w:rsidR="002A7D19" w:rsidRPr="000E6A6C" w:rsidRDefault="002A7D19" w:rsidP="003A31ED">
            <w:pPr>
              <w:jc w:val="center"/>
              <w:rPr>
                <w:rFonts w:ascii="Aptos" w:hAnsi="Aptos"/>
                <w:b/>
                <w:bCs/>
                <w:sz w:val="20"/>
                <w:szCs w:val="20"/>
              </w:rPr>
            </w:pPr>
            <w:r w:rsidRPr="000E6A6C">
              <w:rPr>
                <w:rFonts w:ascii="Aptos" w:hAnsi="Aptos"/>
                <w:b/>
                <w:bCs/>
                <w:sz w:val="20"/>
                <w:szCs w:val="20"/>
              </w:rPr>
              <w:t>250 – 500</w:t>
            </w:r>
          </w:p>
        </w:tc>
        <w:tc>
          <w:tcPr>
            <w:tcW w:w="1701" w:type="dxa"/>
            <w:vAlign w:val="bottom"/>
          </w:tcPr>
          <w:p w14:paraId="290A3175" w14:textId="2C8EF782" w:rsidR="002A7D19" w:rsidRPr="00327EDA" w:rsidRDefault="00897E2A" w:rsidP="003A31ED">
            <w:pPr>
              <w:jc w:val="center"/>
              <w:rPr>
                <w:rFonts w:ascii="Aptos" w:hAnsi="Aptos"/>
                <w:color w:val="000000"/>
                <w:sz w:val="20"/>
                <w:szCs w:val="20"/>
              </w:rPr>
            </w:pPr>
            <w:r>
              <w:rPr>
                <w:rFonts w:ascii="Aptos" w:hAnsi="Aptos"/>
                <w:color w:val="000000"/>
                <w:sz w:val="20"/>
                <w:szCs w:val="20"/>
              </w:rPr>
              <w:t>46</w:t>
            </w:r>
            <w:r w:rsidR="002A7D19" w:rsidRPr="00327EDA">
              <w:rPr>
                <w:rFonts w:ascii="Aptos" w:hAnsi="Aptos"/>
                <w:color w:val="000000"/>
                <w:sz w:val="20"/>
                <w:szCs w:val="20"/>
              </w:rPr>
              <w:t>0</w:t>
            </w:r>
          </w:p>
        </w:tc>
        <w:tc>
          <w:tcPr>
            <w:tcW w:w="1701" w:type="dxa"/>
            <w:shd w:val="clear" w:color="auto" w:fill="E8E8E8" w:themeFill="background2"/>
            <w:vAlign w:val="bottom"/>
          </w:tcPr>
          <w:p w14:paraId="07181F63" w14:textId="77777777" w:rsidR="002A7D19" w:rsidRPr="000E6A6C" w:rsidRDefault="002A7D19" w:rsidP="003A31ED">
            <w:pPr>
              <w:jc w:val="center"/>
              <w:rPr>
                <w:rFonts w:ascii="Aptos" w:hAnsi="Aptos"/>
                <w:b/>
                <w:bCs/>
                <w:color w:val="000000"/>
                <w:sz w:val="20"/>
                <w:szCs w:val="20"/>
              </w:rPr>
            </w:pPr>
            <w:r w:rsidRPr="000E6A6C">
              <w:rPr>
                <w:rFonts w:ascii="Aptos" w:hAnsi="Aptos"/>
                <w:b/>
                <w:bCs/>
                <w:color w:val="000000"/>
                <w:sz w:val="20"/>
                <w:szCs w:val="20"/>
              </w:rPr>
              <w:t>500</w:t>
            </w:r>
          </w:p>
        </w:tc>
      </w:tr>
      <w:tr w:rsidR="002A7D19" w:rsidRPr="001B39CA" w14:paraId="5464E4C4" w14:textId="77777777" w:rsidTr="003A31ED">
        <w:tc>
          <w:tcPr>
            <w:tcW w:w="2800" w:type="dxa"/>
          </w:tcPr>
          <w:p w14:paraId="0CD79643" w14:textId="77777777" w:rsidR="002A7D19" w:rsidRPr="000A6FEA" w:rsidRDefault="002A7D19" w:rsidP="003A31ED">
            <w:pPr>
              <w:rPr>
                <w:rFonts w:ascii="Aptos" w:hAnsi="Aptos"/>
                <w:sz w:val="20"/>
                <w:szCs w:val="20"/>
              </w:rPr>
            </w:pPr>
            <w:r w:rsidRPr="000A6FEA">
              <w:rPr>
                <w:rFonts w:ascii="Aptos" w:hAnsi="Aptos"/>
                <w:sz w:val="20"/>
                <w:szCs w:val="20"/>
              </w:rPr>
              <w:t>5 to under 12 years</w:t>
            </w:r>
          </w:p>
        </w:tc>
        <w:tc>
          <w:tcPr>
            <w:tcW w:w="1164" w:type="dxa"/>
            <w:vMerge/>
          </w:tcPr>
          <w:p w14:paraId="45AC2D21" w14:textId="77777777" w:rsidR="002A7D19" w:rsidRPr="001B39CA" w:rsidRDefault="002A7D19" w:rsidP="003A31ED">
            <w:pPr>
              <w:jc w:val="center"/>
              <w:rPr>
                <w:rFonts w:ascii="Aptos" w:hAnsi="Aptos"/>
                <w:sz w:val="20"/>
                <w:szCs w:val="20"/>
              </w:rPr>
            </w:pPr>
          </w:p>
        </w:tc>
        <w:tc>
          <w:tcPr>
            <w:tcW w:w="1217" w:type="dxa"/>
            <w:vMerge/>
          </w:tcPr>
          <w:p w14:paraId="794C2BF1" w14:textId="77777777" w:rsidR="002A7D19" w:rsidRPr="001B39CA" w:rsidRDefault="002A7D19" w:rsidP="003A31ED">
            <w:pPr>
              <w:jc w:val="center"/>
              <w:rPr>
                <w:rFonts w:ascii="Aptos" w:hAnsi="Aptos"/>
                <w:sz w:val="20"/>
                <w:szCs w:val="20"/>
              </w:rPr>
            </w:pPr>
          </w:p>
        </w:tc>
        <w:tc>
          <w:tcPr>
            <w:tcW w:w="993" w:type="dxa"/>
            <w:vAlign w:val="bottom"/>
          </w:tcPr>
          <w:p w14:paraId="7A3EBE66" w14:textId="77777777" w:rsidR="002A7D19" w:rsidRPr="001B39CA" w:rsidRDefault="002A7D19" w:rsidP="003A31ED">
            <w:pPr>
              <w:jc w:val="center"/>
              <w:rPr>
                <w:rFonts w:ascii="Aptos" w:hAnsi="Aptos"/>
                <w:sz w:val="20"/>
                <w:szCs w:val="20"/>
              </w:rPr>
            </w:pPr>
            <w:r>
              <w:rPr>
                <w:rFonts w:ascii="Aptos Narrow" w:hAnsi="Aptos Narrow"/>
                <w:color w:val="000000"/>
              </w:rPr>
              <w:t>7.2</w:t>
            </w:r>
          </w:p>
        </w:tc>
        <w:tc>
          <w:tcPr>
            <w:tcW w:w="1134" w:type="dxa"/>
            <w:vMerge/>
            <w:vAlign w:val="center"/>
          </w:tcPr>
          <w:p w14:paraId="541B4704" w14:textId="77777777" w:rsidR="002A7D19" w:rsidRPr="001B39CA" w:rsidRDefault="002A7D19" w:rsidP="003A31ED">
            <w:pPr>
              <w:jc w:val="center"/>
              <w:rPr>
                <w:rFonts w:ascii="Aptos" w:hAnsi="Aptos"/>
                <w:sz w:val="20"/>
                <w:szCs w:val="20"/>
              </w:rPr>
            </w:pPr>
          </w:p>
        </w:tc>
        <w:tc>
          <w:tcPr>
            <w:tcW w:w="1417" w:type="dxa"/>
            <w:vAlign w:val="bottom"/>
          </w:tcPr>
          <w:p w14:paraId="358036F3" w14:textId="77777777" w:rsidR="002A7D19" w:rsidRPr="0098058F" w:rsidRDefault="002A7D19" w:rsidP="003A31ED">
            <w:pPr>
              <w:jc w:val="center"/>
              <w:rPr>
                <w:rFonts w:ascii="Aptos" w:hAnsi="Aptos"/>
                <w:color w:val="000000"/>
                <w:sz w:val="20"/>
                <w:szCs w:val="20"/>
              </w:rPr>
            </w:pPr>
            <w:r w:rsidRPr="0098058F">
              <w:rPr>
                <w:rFonts w:ascii="Aptos" w:hAnsi="Aptos"/>
                <w:color w:val="000000"/>
                <w:sz w:val="20"/>
                <w:szCs w:val="20"/>
              </w:rPr>
              <w:t>319 – 639</w:t>
            </w:r>
          </w:p>
        </w:tc>
        <w:tc>
          <w:tcPr>
            <w:tcW w:w="1701" w:type="dxa"/>
            <w:shd w:val="clear" w:color="auto" w:fill="E8E8E8" w:themeFill="background2"/>
          </w:tcPr>
          <w:p w14:paraId="12C8E198" w14:textId="77777777" w:rsidR="002A7D19" w:rsidRPr="000E6A6C" w:rsidRDefault="002A7D19" w:rsidP="003A31ED">
            <w:pPr>
              <w:jc w:val="center"/>
              <w:rPr>
                <w:rFonts w:ascii="Aptos" w:hAnsi="Aptos"/>
                <w:b/>
                <w:bCs/>
                <w:sz w:val="20"/>
                <w:szCs w:val="20"/>
              </w:rPr>
            </w:pPr>
            <w:r w:rsidRPr="000E6A6C">
              <w:rPr>
                <w:rFonts w:ascii="Aptos" w:hAnsi="Aptos"/>
                <w:b/>
                <w:bCs/>
                <w:sz w:val="20"/>
                <w:szCs w:val="20"/>
              </w:rPr>
              <w:t>350 – 700</w:t>
            </w:r>
          </w:p>
        </w:tc>
        <w:tc>
          <w:tcPr>
            <w:tcW w:w="1701" w:type="dxa"/>
            <w:vAlign w:val="bottom"/>
          </w:tcPr>
          <w:p w14:paraId="3F834B7A" w14:textId="0B88E828" w:rsidR="002A7D19" w:rsidRPr="00327EDA" w:rsidRDefault="002A7D19" w:rsidP="003A31ED">
            <w:pPr>
              <w:jc w:val="center"/>
              <w:rPr>
                <w:rFonts w:ascii="Aptos" w:hAnsi="Aptos"/>
                <w:color w:val="000000"/>
                <w:sz w:val="20"/>
                <w:szCs w:val="20"/>
              </w:rPr>
            </w:pPr>
            <w:r w:rsidRPr="00327EDA">
              <w:rPr>
                <w:rFonts w:ascii="Aptos" w:hAnsi="Aptos"/>
                <w:color w:val="000000"/>
                <w:sz w:val="20"/>
                <w:szCs w:val="20"/>
              </w:rPr>
              <w:t>6</w:t>
            </w:r>
            <w:r w:rsidR="00897E2A">
              <w:rPr>
                <w:rFonts w:ascii="Aptos" w:hAnsi="Aptos"/>
                <w:color w:val="000000"/>
                <w:sz w:val="20"/>
                <w:szCs w:val="20"/>
              </w:rPr>
              <w:t>39</w:t>
            </w:r>
          </w:p>
        </w:tc>
        <w:tc>
          <w:tcPr>
            <w:tcW w:w="1701" w:type="dxa"/>
            <w:shd w:val="clear" w:color="auto" w:fill="E8E8E8" w:themeFill="background2"/>
            <w:vAlign w:val="bottom"/>
          </w:tcPr>
          <w:p w14:paraId="2AF35732" w14:textId="77777777" w:rsidR="002A7D19" w:rsidRPr="000E6A6C" w:rsidRDefault="002A7D19" w:rsidP="003A31ED">
            <w:pPr>
              <w:jc w:val="center"/>
              <w:rPr>
                <w:rFonts w:ascii="Aptos" w:hAnsi="Aptos"/>
                <w:b/>
                <w:bCs/>
                <w:color w:val="000000"/>
                <w:sz w:val="20"/>
                <w:szCs w:val="20"/>
              </w:rPr>
            </w:pPr>
            <w:r w:rsidRPr="000E6A6C">
              <w:rPr>
                <w:rFonts w:ascii="Aptos" w:hAnsi="Aptos"/>
                <w:b/>
                <w:bCs/>
                <w:color w:val="000000"/>
                <w:sz w:val="20"/>
                <w:szCs w:val="20"/>
              </w:rPr>
              <w:t>700</w:t>
            </w:r>
          </w:p>
        </w:tc>
      </w:tr>
      <w:tr w:rsidR="002A7D19" w:rsidRPr="001B39CA" w14:paraId="3430DA15" w14:textId="77777777" w:rsidTr="003A31ED">
        <w:tc>
          <w:tcPr>
            <w:tcW w:w="2800" w:type="dxa"/>
          </w:tcPr>
          <w:p w14:paraId="3DA9179C" w14:textId="77777777" w:rsidR="002A7D19" w:rsidRPr="000A6FEA" w:rsidRDefault="002A7D19" w:rsidP="003A31ED">
            <w:pPr>
              <w:rPr>
                <w:rFonts w:ascii="Aptos" w:hAnsi="Aptos"/>
                <w:sz w:val="20"/>
                <w:szCs w:val="20"/>
              </w:rPr>
            </w:pPr>
            <w:r w:rsidRPr="000A6FEA">
              <w:rPr>
                <w:rFonts w:ascii="Aptos" w:hAnsi="Aptos"/>
                <w:sz w:val="20"/>
                <w:szCs w:val="20"/>
              </w:rPr>
              <w:t>12 to under 18 years</w:t>
            </w:r>
          </w:p>
        </w:tc>
        <w:tc>
          <w:tcPr>
            <w:tcW w:w="1164" w:type="dxa"/>
            <w:vMerge/>
          </w:tcPr>
          <w:p w14:paraId="1AFB7E70" w14:textId="77777777" w:rsidR="002A7D19" w:rsidRPr="001B39CA" w:rsidRDefault="002A7D19" w:rsidP="003A31ED">
            <w:pPr>
              <w:jc w:val="center"/>
              <w:rPr>
                <w:rFonts w:ascii="Aptos" w:hAnsi="Aptos"/>
                <w:sz w:val="20"/>
                <w:szCs w:val="20"/>
              </w:rPr>
            </w:pPr>
          </w:p>
        </w:tc>
        <w:tc>
          <w:tcPr>
            <w:tcW w:w="1217" w:type="dxa"/>
            <w:vMerge/>
          </w:tcPr>
          <w:p w14:paraId="3D2E3C18" w14:textId="77777777" w:rsidR="002A7D19" w:rsidRPr="001B39CA" w:rsidRDefault="002A7D19" w:rsidP="003A31ED">
            <w:pPr>
              <w:jc w:val="center"/>
              <w:rPr>
                <w:rFonts w:ascii="Aptos" w:hAnsi="Aptos"/>
                <w:sz w:val="20"/>
                <w:szCs w:val="20"/>
              </w:rPr>
            </w:pPr>
          </w:p>
        </w:tc>
        <w:tc>
          <w:tcPr>
            <w:tcW w:w="993" w:type="dxa"/>
            <w:vAlign w:val="bottom"/>
          </w:tcPr>
          <w:p w14:paraId="31C44168" w14:textId="77777777" w:rsidR="002A7D19" w:rsidRPr="001B39CA" w:rsidRDefault="002A7D19" w:rsidP="003A31ED">
            <w:pPr>
              <w:jc w:val="center"/>
              <w:rPr>
                <w:rFonts w:ascii="Aptos" w:hAnsi="Aptos"/>
                <w:sz w:val="20"/>
                <w:szCs w:val="20"/>
              </w:rPr>
            </w:pPr>
            <w:r>
              <w:rPr>
                <w:rFonts w:ascii="Aptos Narrow" w:hAnsi="Aptos Narrow"/>
                <w:color w:val="000000"/>
              </w:rPr>
              <w:t>10.0</w:t>
            </w:r>
          </w:p>
        </w:tc>
        <w:tc>
          <w:tcPr>
            <w:tcW w:w="1134" w:type="dxa"/>
            <w:vMerge/>
            <w:vAlign w:val="center"/>
          </w:tcPr>
          <w:p w14:paraId="510E00B5" w14:textId="77777777" w:rsidR="002A7D19" w:rsidRPr="001B39CA" w:rsidRDefault="002A7D19" w:rsidP="003A31ED">
            <w:pPr>
              <w:jc w:val="center"/>
              <w:rPr>
                <w:rFonts w:ascii="Aptos" w:hAnsi="Aptos"/>
                <w:sz w:val="20"/>
                <w:szCs w:val="20"/>
              </w:rPr>
            </w:pPr>
          </w:p>
        </w:tc>
        <w:tc>
          <w:tcPr>
            <w:tcW w:w="1417" w:type="dxa"/>
            <w:vAlign w:val="bottom"/>
          </w:tcPr>
          <w:p w14:paraId="213DF600" w14:textId="77777777" w:rsidR="002A7D19" w:rsidRPr="0098058F" w:rsidRDefault="002A7D19" w:rsidP="003A31ED">
            <w:pPr>
              <w:jc w:val="center"/>
              <w:rPr>
                <w:rFonts w:ascii="Aptos" w:hAnsi="Aptos"/>
                <w:color w:val="000000"/>
                <w:sz w:val="20"/>
                <w:szCs w:val="20"/>
              </w:rPr>
            </w:pPr>
            <w:r w:rsidRPr="0098058F">
              <w:rPr>
                <w:rFonts w:ascii="Aptos" w:hAnsi="Aptos"/>
                <w:color w:val="000000"/>
                <w:sz w:val="20"/>
                <w:szCs w:val="20"/>
              </w:rPr>
              <w:t>447 - 895</w:t>
            </w:r>
          </w:p>
        </w:tc>
        <w:tc>
          <w:tcPr>
            <w:tcW w:w="1701" w:type="dxa"/>
            <w:shd w:val="clear" w:color="auto" w:fill="E8E8E8" w:themeFill="background2"/>
          </w:tcPr>
          <w:p w14:paraId="61131419" w14:textId="77777777" w:rsidR="002A7D19" w:rsidRPr="000E6A6C" w:rsidRDefault="002A7D19" w:rsidP="003A31ED">
            <w:pPr>
              <w:jc w:val="center"/>
              <w:rPr>
                <w:rFonts w:ascii="Aptos" w:hAnsi="Aptos"/>
                <w:b/>
                <w:bCs/>
                <w:sz w:val="20"/>
                <w:szCs w:val="20"/>
              </w:rPr>
            </w:pPr>
            <w:r w:rsidRPr="000E6A6C">
              <w:rPr>
                <w:rFonts w:ascii="Aptos" w:hAnsi="Aptos"/>
                <w:b/>
                <w:bCs/>
                <w:sz w:val="20"/>
                <w:szCs w:val="20"/>
              </w:rPr>
              <w:t>450 - 920</w:t>
            </w:r>
          </w:p>
        </w:tc>
        <w:tc>
          <w:tcPr>
            <w:tcW w:w="1701" w:type="dxa"/>
            <w:vAlign w:val="bottom"/>
          </w:tcPr>
          <w:p w14:paraId="33F6E278" w14:textId="060984A5" w:rsidR="002A7D19" w:rsidRPr="00327EDA" w:rsidRDefault="00897E2A" w:rsidP="003A31ED">
            <w:pPr>
              <w:jc w:val="center"/>
              <w:rPr>
                <w:rFonts w:ascii="Aptos" w:hAnsi="Aptos"/>
                <w:color w:val="000000"/>
                <w:sz w:val="20"/>
                <w:szCs w:val="20"/>
              </w:rPr>
            </w:pPr>
            <w:r>
              <w:rPr>
                <w:rFonts w:ascii="Aptos" w:hAnsi="Aptos"/>
                <w:color w:val="000000"/>
                <w:sz w:val="20"/>
                <w:szCs w:val="20"/>
              </w:rPr>
              <w:t>895</w:t>
            </w:r>
          </w:p>
        </w:tc>
        <w:tc>
          <w:tcPr>
            <w:tcW w:w="1701" w:type="dxa"/>
            <w:shd w:val="clear" w:color="auto" w:fill="E8E8E8" w:themeFill="background2"/>
            <w:vAlign w:val="bottom"/>
          </w:tcPr>
          <w:p w14:paraId="215AD1D7" w14:textId="5D58D479" w:rsidR="002A7D19" w:rsidRPr="000E6A6C" w:rsidRDefault="002A7D19" w:rsidP="003A31ED">
            <w:pPr>
              <w:jc w:val="center"/>
              <w:rPr>
                <w:rFonts w:ascii="Aptos" w:hAnsi="Aptos"/>
                <w:b/>
                <w:bCs/>
                <w:color w:val="000000"/>
                <w:sz w:val="20"/>
                <w:szCs w:val="20"/>
              </w:rPr>
            </w:pPr>
            <w:r w:rsidRPr="000E6A6C">
              <w:rPr>
                <w:rFonts w:ascii="Aptos" w:hAnsi="Aptos"/>
                <w:b/>
                <w:bCs/>
                <w:color w:val="000000"/>
                <w:sz w:val="20"/>
                <w:szCs w:val="20"/>
              </w:rPr>
              <w:t>9</w:t>
            </w:r>
            <w:r w:rsidR="00897E2A">
              <w:rPr>
                <w:rFonts w:ascii="Aptos" w:hAnsi="Aptos"/>
                <w:b/>
                <w:bCs/>
                <w:color w:val="000000"/>
                <w:sz w:val="20"/>
                <w:szCs w:val="20"/>
              </w:rPr>
              <w:t>2</w:t>
            </w:r>
            <w:r w:rsidRPr="000E6A6C">
              <w:rPr>
                <w:rFonts w:ascii="Aptos" w:hAnsi="Aptos"/>
                <w:b/>
                <w:bCs/>
                <w:color w:val="000000"/>
                <w:sz w:val="20"/>
                <w:szCs w:val="20"/>
              </w:rPr>
              <w:t>0</w:t>
            </w:r>
          </w:p>
        </w:tc>
      </w:tr>
    </w:tbl>
    <w:p w14:paraId="512B1B37"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Sodium intake in Australia and New Zealand</w:t>
      </w:r>
    </w:p>
    <w:p w14:paraId="7DBFE0AC" w14:textId="77777777" w:rsidR="002A7D19" w:rsidRPr="00622A78" w:rsidRDefault="002A7D19" w:rsidP="002A7D19">
      <w:pPr>
        <w:spacing w:after="120"/>
        <w:rPr>
          <w:rFonts w:eastAsia="Times New Roman" w:cs="Arial"/>
          <w:iCs/>
        </w:rPr>
      </w:pPr>
      <w:r>
        <w:rPr>
          <w:rFonts w:eastAsia="Times New Roman" w:cs="Arial"/>
          <w:iCs/>
        </w:rPr>
        <w:t xml:space="preserve">Recent national data from Australia found mean intakes of </w:t>
      </w:r>
      <w:r w:rsidRPr="00A93CBD">
        <w:rPr>
          <w:rFonts w:eastAsia="Times New Roman" w:cs="Arial"/>
          <w:iCs/>
        </w:rPr>
        <w:t>1,521 mg/day for 2–4 year</w:t>
      </w:r>
      <w:r>
        <w:rPr>
          <w:rFonts w:eastAsia="Times New Roman" w:cs="Arial"/>
          <w:iCs/>
        </w:rPr>
        <w:t xml:space="preserve"> olds</w:t>
      </w:r>
      <w:r w:rsidRPr="00A93CBD">
        <w:rPr>
          <w:rFonts w:eastAsia="Times New Roman" w:cs="Arial"/>
          <w:iCs/>
        </w:rPr>
        <w:t>; 2,188 mg/day for 5–11 year</w:t>
      </w:r>
      <w:r>
        <w:rPr>
          <w:rFonts w:eastAsia="Times New Roman" w:cs="Arial"/>
          <w:iCs/>
        </w:rPr>
        <w:t xml:space="preserve"> olds</w:t>
      </w:r>
      <w:r w:rsidRPr="00A93CBD">
        <w:rPr>
          <w:rFonts w:eastAsia="Times New Roman" w:cs="Arial"/>
          <w:iCs/>
        </w:rPr>
        <w:t>; and 2,903 mg/day for 12–17 year</w:t>
      </w:r>
      <w:r>
        <w:rPr>
          <w:rFonts w:eastAsia="Times New Roman" w:cs="Arial"/>
          <w:iCs/>
        </w:rPr>
        <w:t xml:space="preserve"> olds. </w:t>
      </w:r>
      <w:r w:rsidRPr="00622A78">
        <w:rPr>
          <w:rFonts w:eastAsia="Times New Roman" w:cs="Arial"/>
          <w:iCs/>
        </w:rPr>
        <w:t>However, these estimates are derived from 24</w:t>
      </w:r>
      <w:r w:rsidRPr="00622A78">
        <w:rPr>
          <w:rFonts w:eastAsia="Times New Roman" w:cs="Arial"/>
          <w:iCs/>
        </w:rPr>
        <w:noBreakHyphen/>
        <w:t xml:space="preserve">hour dietary recall </w:t>
      </w:r>
      <w:r>
        <w:rPr>
          <w:rFonts w:eastAsia="Times New Roman" w:cs="Arial"/>
          <w:iCs/>
        </w:rPr>
        <w:t xml:space="preserve">and do not include discretionary added salt </w:t>
      </w:r>
      <w:r w:rsidRPr="00622A78">
        <w:rPr>
          <w:rFonts w:eastAsia="Times New Roman" w:cs="Arial"/>
          <w:iCs/>
        </w:rPr>
        <w:t>and are likely to underestimate true intake. Consistent with this limitation, data from Australian studies using 24</w:t>
      </w:r>
      <w:r w:rsidRPr="00622A78">
        <w:rPr>
          <w:rFonts w:eastAsia="Times New Roman" w:cs="Arial"/>
          <w:iCs/>
        </w:rPr>
        <w:noBreakHyphen/>
        <w:t>hour urinary sodium excretion report substantially higher intakes (approximately 2,369 to 2,440 mg/day among children aged 4–12 years).</w:t>
      </w:r>
    </w:p>
    <w:p w14:paraId="451B2291" w14:textId="77777777" w:rsidR="002A7D19" w:rsidRPr="007B4EA8" w:rsidRDefault="002A7D19" w:rsidP="002A7D19">
      <w:pPr>
        <w:spacing w:after="120"/>
        <w:rPr>
          <w:rFonts w:eastAsia="Times New Roman" w:cs="Arial"/>
          <w:iCs/>
        </w:rPr>
      </w:pPr>
      <w:r w:rsidRPr="007B4EA8">
        <w:rPr>
          <w:rFonts w:eastAsia="Times New Roman" w:cs="Arial"/>
          <w:iCs/>
        </w:rPr>
        <w:t>In New Zealand, sodium intake data for children are primarily derived from the 2016 New Zealand Total Diet Study (NZTDS), which uses modelled diets and food composition data. Estimated intakes range from 1,361 mg/day (1–3 years) to 2,877 mg/day (boys aged 11–14 years), with all age groups exceeding 100% of the UL (121–144%). Although modelled, these estimates are supported by the limited available biomarker data: a 24</w:t>
      </w:r>
      <w:r w:rsidRPr="007B4EA8">
        <w:rPr>
          <w:rFonts w:eastAsia="Times New Roman" w:cs="Arial"/>
          <w:iCs/>
        </w:rPr>
        <w:noBreakHyphen/>
        <w:t>hour urinary sodium study in children aged 8–13 years reported a mean intake of 2,420 mg/day.</w:t>
      </w:r>
    </w:p>
    <w:p w14:paraId="3D09E6B9" w14:textId="77777777" w:rsidR="002A7D19" w:rsidRDefault="002A7D19" w:rsidP="002A7D19">
      <w:pPr>
        <w:spacing w:after="120"/>
        <w:rPr>
          <w:rFonts w:eastAsia="Times New Roman" w:cs="Arial"/>
          <w:iCs/>
        </w:rPr>
      </w:pPr>
      <w:r>
        <w:rPr>
          <w:rFonts w:eastAsia="Times New Roman" w:cs="Arial"/>
          <w:iCs/>
        </w:rPr>
        <w:t xml:space="preserve">Overwhelmingly the available data suggest that the predominant public health concern in Australia and New Zealand is not low or inadequate sodium intakes, but high intakes and the associated risk of chronic disease. </w:t>
      </w:r>
    </w:p>
    <w:p w14:paraId="3FE51D13"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lastRenderedPageBreak/>
        <w:t>Benchmarking against comparable international jurisdictions</w:t>
      </w:r>
    </w:p>
    <w:p w14:paraId="39816F17" w14:textId="13B21352" w:rsidR="002A7D19" w:rsidRDefault="002A7D19" w:rsidP="002A7D19">
      <w:pPr>
        <w:spacing w:after="120"/>
      </w:pPr>
      <w:r>
        <w:t xml:space="preserve">There is some variability across international recommendations for adequacy in children and adolescents, as shown in </w:t>
      </w:r>
      <w:r>
        <w:fldChar w:fldCharType="begin"/>
      </w:r>
      <w:r>
        <w:instrText xml:space="preserve"> REF _Ref231330294 \h </w:instrText>
      </w:r>
      <w:r>
        <w:fldChar w:fldCharType="separate"/>
      </w:r>
      <w:r w:rsidR="00F569E8">
        <w:t xml:space="preserve">Table </w:t>
      </w:r>
      <w:r w:rsidR="00F569E8">
        <w:rPr>
          <w:noProof/>
        </w:rPr>
        <w:t>25</w:t>
      </w:r>
      <w:r>
        <w:fldChar w:fldCharType="end"/>
      </w:r>
      <w:r>
        <w:t xml:space="preserve">. However, as all values have been derived from adult values, this variation arises from differing adult reference values, or the application of differing approaches or inputs during extrapolation. For example, the US NASEM, NNR and D-A-CH values are all extrapolated from an adult value of 1,500. However, the D-A-CH values are notably lower, as they were extrapolated using relative body weight and applying a growth factor, whereas the US NASEM extrapolated using relative energy requirements. </w:t>
      </w:r>
      <w:r w:rsidR="00074E84">
        <w:t>In contrast, t</w:t>
      </w:r>
      <w:r>
        <w:t>he value from EFSA represents a ‘safe and adequate’ intake which is a hybrid measure encompassing adequate intake and chronic disease risk reduction; while presented for completeness, it is not directly comparable to an adequate intake value. Values for children were extrapolated based on relative energy requirements plus allowing for a growth factor.</w:t>
      </w:r>
    </w:p>
    <w:p w14:paraId="358FA617" w14:textId="77777777" w:rsidR="002A7D19" w:rsidRDefault="002A7D19" w:rsidP="002A7D19">
      <w:pPr>
        <w:spacing w:after="120"/>
      </w:pPr>
      <w:r>
        <w:t xml:space="preserve">The current AI range for Australia and New Zealand is notably lower than NRVs from comparable jurisdictions, particularly for the lower bound of requirements. </w:t>
      </w:r>
    </w:p>
    <w:p w14:paraId="4DBC8312" w14:textId="6C43CCA3" w:rsidR="002A7D19" w:rsidRDefault="002A7D19" w:rsidP="002A7D19">
      <w:pPr>
        <w:pStyle w:val="Caption"/>
        <w:keepNext/>
        <w:spacing w:after="0"/>
        <w:rPr>
          <w:noProof/>
        </w:rPr>
      </w:pPr>
      <w:bookmarkStart w:id="163" w:name="_Ref231330294"/>
      <w:r>
        <w:t xml:space="preserve">Table </w:t>
      </w:r>
      <w:r>
        <w:fldChar w:fldCharType="begin"/>
      </w:r>
      <w:r>
        <w:instrText>SEQ Table \* ARABIC</w:instrText>
      </w:r>
      <w:r>
        <w:fldChar w:fldCharType="separate"/>
      </w:r>
      <w:r w:rsidR="00B90577">
        <w:rPr>
          <w:noProof/>
        </w:rPr>
        <w:t>24</w:t>
      </w:r>
      <w:r>
        <w:fldChar w:fldCharType="end"/>
      </w:r>
      <w:bookmarkEnd w:id="163"/>
      <w:r>
        <w:t xml:space="preserve"> - Comparison of Adequate Intake recommendations for Australia and New Zealand (current and potential revised)</w:t>
      </w:r>
      <w:r>
        <w:rPr>
          <w:noProof/>
        </w:rPr>
        <w:t xml:space="preserve"> against NRVs from comparable international jurisdictions</w:t>
      </w:r>
    </w:p>
    <w:tbl>
      <w:tblPr>
        <w:tblStyle w:val="TableGrid"/>
        <w:tblpPr w:leftFromText="180" w:rightFromText="180" w:vertAnchor="text" w:horzAnchor="margin" w:tblpY="407"/>
        <w:tblW w:w="13182"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Look w:val="04A0" w:firstRow="1" w:lastRow="0" w:firstColumn="1" w:lastColumn="0" w:noHBand="0" w:noVBand="1"/>
      </w:tblPr>
      <w:tblGrid>
        <w:gridCol w:w="276"/>
        <w:gridCol w:w="1420"/>
        <w:gridCol w:w="1843"/>
        <w:gridCol w:w="1848"/>
        <w:gridCol w:w="1843"/>
        <w:gridCol w:w="1984"/>
        <w:gridCol w:w="1842"/>
        <w:gridCol w:w="2126"/>
      </w:tblGrid>
      <w:tr w:rsidR="00074E84" w:rsidRPr="00EA2B2D" w14:paraId="1C7C3029" w14:textId="77777777" w:rsidTr="00074E84">
        <w:trPr>
          <w:trHeight w:val="846"/>
        </w:trPr>
        <w:tc>
          <w:tcPr>
            <w:tcW w:w="1696" w:type="dxa"/>
            <w:gridSpan w:val="2"/>
            <w:vMerge w:val="restart"/>
            <w:shd w:val="clear" w:color="auto" w:fill="156082" w:themeFill="accent1"/>
            <w:vAlign w:val="bottom"/>
          </w:tcPr>
          <w:p w14:paraId="1163B2C5" w14:textId="77777777" w:rsidR="00074E84" w:rsidRPr="00EA2B2D" w:rsidRDefault="00074E84" w:rsidP="003A31ED">
            <w:pPr>
              <w:keepNext/>
              <w:keepLines/>
              <w:rPr>
                <w:color w:val="FFFFFF" w:themeColor="background1"/>
                <w:sz w:val="20"/>
                <w:szCs w:val="20"/>
              </w:rPr>
            </w:pPr>
            <w:r w:rsidRPr="00EA2B2D">
              <w:rPr>
                <w:b/>
                <w:bCs/>
                <w:color w:val="FFFFFF" w:themeColor="background1"/>
                <w:sz w:val="20"/>
                <w:szCs w:val="20"/>
              </w:rPr>
              <w:t>Age group</w:t>
            </w:r>
          </w:p>
        </w:tc>
        <w:tc>
          <w:tcPr>
            <w:tcW w:w="3691" w:type="dxa"/>
            <w:gridSpan w:val="2"/>
            <w:shd w:val="clear" w:color="auto" w:fill="156082" w:themeFill="accent1"/>
            <w:vAlign w:val="center"/>
          </w:tcPr>
          <w:p w14:paraId="38CDF2A1" w14:textId="77777777" w:rsidR="00074E84" w:rsidRPr="00EA2B2D" w:rsidRDefault="00074E84" w:rsidP="003A31ED">
            <w:pPr>
              <w:keepNext/>
              <w:keepLines/>
              <w:jc w:val="center"/>
              <w:rPr>
                <w:b/>
                <w:bCs/>
                <w:color w:val="FFFFFF" w:themeColor="background1"/>
                <w:sz w:val="20"/>
                <w:szCs w:val="20"/>
              </w:rPr>
            </w:pPr>
            <w:r w:rsidRPr="00EA2B2D">
              <w:rPr>
                <w:b/>
                <w:bCs/>
                <w:color w:val="FFFFFF" w:themeColor="background1"/>
                <w:sz w:val="20"/>
                <w:szCs w:val="20"/>
              </w:rPr>
              <w:t>Australia &amp; New Zealand</w:t>
            </w:r>
          </w:p>
          <w:p w14:paraId="4FE1D3C4" w14:textId="77777777" w:rsidR="00074E84" w:rsidRPr="00EA2B2D" w:rsidRDefault="00074E84" w:rsidP="003A31ED">
            <w:pPr>
              <w:keepNext/>
              <w:keepLines/>
              <w:jc w:val="center"/>
              <w:rPr>
                <w:b/>
                <w:bCs/>
                <w:color w:val="FFFFFF" w:themeColor="background1"/>
                <w:sz w:val="20"/>
                <w:szCs w:val="20"/>
              </w:rPr>
            </w:pPr>
            <w:r w:rsidRPr="00EA2B2D">
              <w:rPr>
                <w:b/>
                <w:bCs/>
                <w:color w:val="FFFFFF" w:themeColor="background1"/>
                <w:sz w:val="20"/>
                <w:szCs w:val="20"/>
              </w:rPr>
              <w:fldChar w:fldCharType="begin"/>
            </w:r>
            <w:r>
              <w:rPr>
                <w:b/>
                <w:bCs/>
                <w:color w:val="FFFFFF" w:themeColor="background1"/>
                <w:sz w:val="20"/>
                <w:szCs w:val="20"/>
              </w:rPr>
              <w:instrText xml:space="preserve"> ADDIN EN.CITE &lt;EndNote&gt;&lt;Cite ExcludeAuth="1"&gt;&lt;Author&gt;National Health and Medical Research Council&lt;/Author&gt;&lt;Year&gt;2006&lt;/Year&gt;&lt;RecNum&gt;4629&lt;/RecNum&gt;&lt;Prefix&gt;NHMRC`, &lt;/Prefix&gt;&lt;DisplayText&gt;(NHMRC, 2006b)&lt;/DisplayText&gt;&lt;record&gt;&lt;rec-number&gt;4629&lt;/rec-number&gt;&lt;foreign-keys&gt;&lt;key app="EN" db-id="wwsdv2wwp29fenerv0kx5tw9zxtx2fdrprx2" timestamp="1774923627"&gt;4629&lt;/key&gt;&lt;/foreign-keys&gt;&lt;ref-type name="Government Document"&gt;46&lt;/ref-type&gt;&lt;contributors&gt;&lt;authors&gt;&lt;author&gt;National Health and Medical Research Council, NHMRC&lt;/author&gt;&lt;/authors&gt;&lt;secondary-authors&gt;&lt;author&gt;Australian Government Department of Health and Ageing&lt;/author&gt;&lt;/secondary-authors&gt;&lt;/contributors&gt;&lt;titles&gt;&lt;title&gt;Nutrient Reference Values for Australia and New Zealand&lt;/title&gt;&lt;/titles&gt;&lt;dates&gt;&lt;year&gt;2006&lt;/year&gt;&lt;/dates&gt;&lt;pub-location&gt;Canberra&lt;/pub-location&gt;&lt;publisher&gt;NHMRC&lt;/publisher&gt;&lt;urls&gt;&lt;related-urls&gt;&lt;url&gt;https://www.nhmrc.gov.au/about-us/publications/nutrient-reference-values-australia-and-new-zealand-including-recommended-dietary-intakes&lt;/url&gt;&lt;/related-urls&gt;&lt;/urls&gt;&lt;/record&gt;&lt;/Cite&gt;&lt;/EndNote&gt;</w:instrText>
            </w:r>
            <w:r w:rsidRPr="00EA2B2D">
              <w:rPr>
                <w:b/>
                <w:bCs/>
                <w:color w:val="FFFFFF" w:themeColor="background1"/>
                <w:sz w:val="20"/>
                <w:szCs w:val="20"/>
              </w:rPr>
              <w:fldChar w:fldCharType="separate"/>
            </w:r>
            <w:r>
              <w:rPr>
                <w:b/>
                <w:bCs/>
                <w:noProof/>
                <w:color w:val="FFFFFF" w:themeColor="background1"/>
                <w:sz w:val="20"/>
                <w:szCs w:val="20"/>
              </w:rPr>
              <w:t>(NHMRC, 2006b)</w:t>
            </w:r>
            <w:r w:rsidRPr="00EA2B2D">
              <w:rPr>
                <w:b/>
                <w:bCs/>
                <w:color w:val="FFFFFF" w:themeColor="background1"/>
                <w:sz w:val="20"/>
                <w:szCs w:val="20"/>
              </w:rPr>
              <w:fldChar w:fldCharType="end"/>
            </w:r>
          </w:p>
        </w:tc>
        <w:tc>
          <w:tcPr>
            <w:tcW w:w="1843" w:type="dxa"/>
            <w:shd w:val="clear" w:color="auto" w:fill="156082" w:themeFill="accent1"/>
            <w:vAlign w:val="center"/>
          </w:tcPr>
          <w:p w14:paraId="2585F8C5" w14:textId="77777777" w:rsidR="00074E84" w:rsidRPr="00EA2B2D" w:rsidRDefault="00074E84" w:rsidP="003A31ED">
            <w:pPr>
              <w:keepNext/>
              <w:keepLines/>
              <w:jc w:val="center"/>
              <w:rPr>
                <w:b/>
                <w:bCs/>
                <w:color w:val="FFFFFF" w:themeColor="background1"/>
                <w:sz w:val="20"/>
                <w:szCs w:val="20"/>
              </w:rPr>
            </w:pPr>
            <w:r w:rsidRPr="00EA2B2D">
              <w:rPr>
                <w:b/>
                <w:bCs/>
                <w:color w:val="FFFFFF" w:themeColor="background1"/>
                <w:sz w:val="20"/>
                <w:szCs w:val="20"/>
              </w:rPr>
              <w:t>United States</w:t>
            </w:r>
          </w:p>
          <w:p w14:paraId="1FA56CFE" w14:textId="77777777" w:rsidR="00074E84" w:rsidRPr="00EA2B2D" w:rsidRDefault="00074E84" w:rsidP="003A31ED">
            <w:pPr>
              <w:keepNext/>
              <w:keepLines/>
              <w:jc w:val="center"/>
              <w:rPr>
                <w:b/>
                <w:bCs/>
                <w:color w:val="FFFFFF" w:themeColor="background1"/>
                <w:sz w:val="20"/>
                <w:szCs w:val="20"/>
              </w:rPr>
            </w:pPr>
            <w:r w:rsidRPr="00EA2B2D">
              <w:rPr>
                <w:b/>
                <w:bCs/>
                <w:color w:val="FFFFFF" w:themeColor="background1"/>
                <w:sz w:val="20"/>
                <w:szCs w:val="20"/>
              </w:rPr>
              <w:fldChar w:fldCharType="begin"/>
            </w:r>
            <w:r w:rsidRPr="00EA2B2D">
              <w:rPr>
                <w:b/>
                <w:bCs/>
                <w:color w:val="FFFFFF" w:themeColor="background1"/>
                <w:sz w:val="20"/>
                <w:szCs w:val="20"/>
              </w:rPr>
              <w:instrText xml:space="preserve"> ADDIN EN.CITE &lt;EndNote&gt;&lt;Cite ExcludeAuth="1"&gt;&lt;Author&gt;National Academies of Sciences&lt;/Author&gt;&lt;Year&gt;2019&lt;/Year&gt;&lt;RecNum&gt;4618&lt;/RecNum&gt;&lt;Prefix&gt;NASEM`, &lt;/Prefix&gt;&lt;DisplayText&gt;(NASEM, 2019)&lt;/DisplayText&gt;&lt;record&gt;&lt;rec-number&gt;4618&lt;/rec-number&gt;&lt;foreign-keys&gt;&lt;key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sidRPr="00EA2B2D">
              <w:rPr>
                <w:b/>
                <w:bCs/>
                <w:color w:val="FFFFFF" w:themeColor="background1"/>
                <w:sz w:val="20"/>
                <w:szCs w:val="20"/>
              </w:rPr>
              <w:fldChar w:fldCharType="separate"/>
            </w:r>
            <w:r w:rsidRPr="00EA2B2D">
              <w:rPr>
                <w:b/>
                <w:bCs/>
                <w:noProof/>
                <w:color w:val="FFFFFF" w:themeColor="background1"/>
                <w:sz w:val="20"/>
                <w:szCs w:val="20"/>
              </w:rPr>
              <w:t>(NASEM, 2019)</w:t>
            </w:r>
            <w:r w:rsidRPr="00EA2B2D">
              <w:rPr>
                <w:b/>
                <w:bCs/>
                <w:color w:val="FFFFFF" w:themeColor="background1"/>
                <w:sz w:val="20"/>
                <w:szCs w:val="20"/>
              </w:rPr>
              <w:fldChar w:fldCharType="end"/>
            </w:r>
          </w:p>
        </w:tc>
        <w:tc>
          <w:tcPr>
            <w:tcW w:w="1984" w:type="dxa"/>
            <w:shd w:val="clear" w:color="auto" w:fill="156082" w:themeFill="accent1"/>
            <w:vAlign w:val="center"/>
          </w:tcPr>
          <w:p w14:paraId="2853146E" w14:textId="77777777" w:rsidR="00074E84" w:rsidRPr="00EA2B2D" w:rsidRDefault="00074E84" w:rsidP="003A31ED">
            <w:pPr>
              <w:keepNext/>
              <w:keepLines/>
              <w:jc w:val="center"/>
              <w:rPr>
                <w:b/>
                <w:bCs/>
                <w:color w:val="FFFFFF" w:themeColor="background1"/>
                <w:sz w:val="20"/>
                <w:szCs w:val="20"/>
              </w:rPr>
            </w:pPr>
            <w:r w:rsidRPr="00EA2B2D">
              <w:rPr>
                <w:b/>
                <w:bCs/>
                <w:color w:val="FFFFFF" w:themeColor="background1"/>
                <w:sz w:val="20"/>
                <w:szCs w:val="20"/>
              </w:rPr>
              <w:t>European Union</w:t>
            </w:r>
          </w:p>
          <w:p w14:paraId="164396BB" w14:textId="77777777" w:rsidR="00074E84" w:rsidRPr="00EA2B2D" w:rsidRDefault="00074E84" w:rsidP="003A31ED">
            <w:pPr>
              <w:keepNext/>
              <w:keepLines/>
              <w:jc w:val="center"/>
              <w:rPr>
                <w:b/>
                <w:bCs/>
                <w:color w:val="FFFFFF" w:themeColor="background1"/>
                <w:sz w:val="20"/>
                <w:szCs w:val="20"/>
              </w:rPr>
            </w:pPr>
            <w:r w:rsidRPr="00EA2B2D">
              <w:rPr>
                <w:b/>
                <w:bCs/>
                <w:color w:val="FFFFFF" w:themeColor="background1"/>
                <w:sz w:val="20"/>
                <w:szCs w:val="20"/>
              </w:rPr>
              <w:fldChar w:fldCharType="begin"/>
            </w:r>
            <w:r>
              <w:rPr>
                <w:b/>
                <w:bCs/>
                <w:color w:val="FFFFFF" w:themeColor="background1"/>
                <w:sz w:val="20"/>
                <w:szCs w:val="20"/>
              </w:rPr>
              <w:instrText xml:space="preserve"> ADDIN EN.CITE &lt;EndNote&gt;&lt;Cite ExcludeAuth="1"&gt;&lt;Author&gt;European Food Safety Authority&lt;/Author&gt;&lt;Year&gt;2019&lt;/Year&gt;&lt;RecNum&gt;1&lt;/RecNum&gt;&lt;Prefix&gt;EFSA`, &lt;/Prefix&gt;&lt;DisplayText&gt;(EFSA, 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rsidRPr="00EA2B2D">
              <w:rPr>
                <w:b/>
                <w:bCs/>
                <w:color w:val="FFFFFF" w:themeColor="background1"/>
                <w:sz w:val="20"/>
                <w:szCs w:val="20"/>
              </w:rPr>
              <w:fldChar w:fldCharType="separate"/>
            </w:r>
            <w:r w:rsidRPr="00EA2B2D">
              <w:rPr>
                <w:b/>
                <w:bCs/>
                <w:noProof/>
                <w:color w:val="FFFFFF" w:themeColor="background1"/>
                <w:sz w:val="20"/>
                <w:szCs w:val="20"/>
              </w:rPr>
              <w:t>(EFSA, 2019)</w:t>
            </w:r>
            <w:r w:rsidRPr="00EA2B2D">
              <w:rPr>
                <w:b/>
                <w:bCs/>
                <w:color w:val="FFFFFF" w:themeColor="background1"/>
                <w:sz w:val="20"/>
                <w:szCs w:val="20"/>
              </w:rPr>
              <w:fldChar w:fldCharType="end"/>
            </w:r>
          </w:p>
        </w:tc>
        <w:tc>
          <w:tcPr>
            <w:tcW w:w="1842" w:type="dxa"/>
            <w:shd w:val="clear" w:color="auto" w:fill="156082" w:themeFill="accent1"/>
            <w:vAlign w:val="center"/>
          </w:tcPr>
          <w:p w14:paraId="39FA4473" w14:textId="77777777" w:rsidR="00074E84" w:rsidRDefault="00074E84" w:rsidP="003A31ED">
            <w:pPr>
              <w:keepNext/>
              <w:keepLines/>
              <w:jc w:val="center"/>
              <w:rPr>
                <w:b/>
                <w:bCs/>
                <w:color w:val="FFFFFF" w:themeColor="background1"/>
                <w:sz w:val="20"/>
                <w:szCs w:val="20"/>
              </w:rPr>
            </w:pPr>
            <w:r>
              <w:rPr>
                <w:b/>
                <w:bCs/>
                <w:color w:val="FFFFFF" w:themeColor="background1"/>
                <w:sz w:val="20"/>
                <w:szCs w:val="20"/>
              </w:rPr>
              <w:t>NNR 2023</w:t>
            </w:r>
          </w:p>
          <w:p w14:paraId="6E658C4A" w14:textId="77777777" w:rsidR="00074E84" w:rsidRPr="00EA2B2D" w:rsidRDefault="00074E84" w:rsidP="003A31ED">
            <w:pPr>
              <w:keepNext/>
              <w:keepLines/>
              <w:jc w:val="center"/>
              <w:rPr>
                <w:b/>
                <w:bCs/>
                <w:color w:val="FFFFFF" w:themeColor="background1"/>
                <w:sz w:val="20"/>
                <w:szCs w:val="20"/>
              </w:rPr>
            </w:pPr>
            <w:r w:rsidRPr="00EA2B2D">
              <w:rPr>
                <w:b/>
                <w:bCs/>
                <w:color w:val="FFFFFF" w:themeColor="background1"/>
                <w:sz w:val="20"/>
                <w:szCs w:val="20"/>
              </w:rPr>
              <w:fldChar w:fldCharType="begin"/>
            </w:r>
            <w:r w:rsidRPr="00EA2B2D">
              <w:rPr>
                <w:b/>
                <w:bCs/>
                <w:color w:val="FFFFFF" w:themeColor="background1"/>
                <w:sz w:val="20"/>
                <w:szCs w:val="20"/>
              </w:rPr>
              <w:instrText xml:space="preserve"> ADDIN EN.CITE &lt;EndNote&gt;&lt;Cite&gt;&lt;Author&gt;Blomhoff&lt;/Author&gt;&lt;Year&gt;2023&lt;/Year&gt;&lt;RecNum&gt;4617&lt;/RecNum&gt;&lt;DisplayText&gt;(Blomhoff et al., 2023)&lt;/DisplayText&gt;&lt;record&gt;&lt;rec-number&gt;4617&lt;/rec-number&gt;&lt;foreign-keys&gt;&lt;key app="EN" db-id="wwsdv2wwp29fenerv0kx5tw9zxtx2fdrprx2" timestamp="1774921009"&gt;4617&lt;/key&gt;&lt;/foreign-keys&gt;&lt;ref-type name="Book"&gt;6&lt;/ref-type&gt;&lt;contributors&gt;&lt;authors&gt;&lt;author&gt;Blomhoff, Rune&lt;/author&gt;&lt;author&gt;Andersen, Rikke&lt;/author&gt;&lt;author&gt;Arnesen, Erik&lt;/author&gt;&lt;author&gt;Christensen, Jacob&lt;/author&gt;&lt;author&gt;Eneroth, Hanna&lt;/author&gt;&lt;author&gt;Erkkola, Maijaliisa&lt;/author&gt;&lt;author&gt;Gudanaviciene, Ieva&lt;/author&gt;&lt;author&gt;Høyer-Lund, Anne&lt;/author&gt;&lt;author&gt;Lemming, Eva&lt;/author&gt;&lt;author&gt;Meltzer, Helle&lt;/author&gt;&lt;author&gt;Pitsi, Tagli&lt;/author&gt;&lt;author&gt;Siksna, Inese&lt;/author&gt;&lt;author&gt;Thorsdottir, Inga&lt;/author&gt;&lt;author&gt;Trolle, Ellen&lt;/author&gt;&lt;/authors&gt;&lt;/contributors&gt;&lt;titles&gt;&lt;title&gt;Nordic Nutrition Recommendations 2023&lt;/title&gt;&lt;/titles&gt;&lt;dates&gt;&lt;year&gt;2023&lt;/year&gt;&lt;/dates&gt;&lt;isbn&gt;9789289375344&lt;/isbn&gt;&lt;urls&gt;&lt;/urls&gt;&lt;electronic-resource-num&gt;10.6027/nord2023-003&lt;/electronic-resource-num&gt;&lt;/record&gt;&lt;/Cite&gt;&lt;/EndNote&gt;</w:instrText>
            </w:r>
            <w:r w:rsidRPr="00EA2B2D">
              <w:rPr>
                <w:b/>
                <w:bCs/>
                <w:color w:val="FFFFFF" w:themeColor="background1"/>
                <w:sz w:val="20"/>
                <w:szCs w:val="20"/>
              </w:rPr>
              <w:fldChar w:fldCharType="separate"/>
            </w:r>
            <w:r w:rsidRPr="00EA2B2D">
              <w:rPr>
                <w:b/>
                <w:bCs/>
                <w:noProof/>
                <w:color w:val="FFFFFF" w:themeColor="background1"/>
                <w:sz w:val="20"/>
                <w:szCs w:val="20"/>
              </w:rPr>
              <w:t>(Blomhoff et al., 2023)</w:t>
            </w:r>
            <w:r w:rsidRPr="00EA2B2D">
              <w:rPr>
                <w:b/>
                <w:bCs/>
                <w:color w:val="FFFFFF" w:themeColor="background1"/>
                <w:sz w:val="20"/>
                <w:szCs w:val="20"/>
              </w:rPr>
              <w:fldChar w:fldCharType="end"/>
            </w:r>
          </w:p>
        </w:tc>
        <w:tc>
          <w:tcPr>
            <w:tcW w:w="2126" w:type="dxa"/>
            <w:shd w:val="clear" w:color="auto" w:fill="156082" w:themeFill="accent1"/>
          </w:tcPr>
          <w:p w14:paraId="48C3DBEF" w14:textId="77777777" w:rsidR="00074E84" w:rsidRDefault="00074E84" w:rsidP="003A31ED">
            <w:pPr>
              <w:keepNext/>
              <w:keepLines/>
              <w:jc w:val="center"/>
              <w:rPr>
                <w:b/>
                <w:bCs/>
                <w:color w:val="FFFFFF" w:themeColor="background1"/>
                <w:sz w:val="20"/>
                <w:szCs w:val="20"/>
              </w:rPr>
            </w:pPr>
            <w:r>
              <w:rPr>
                <w:b/>
                <w:bCs/>
                <w:color w:val="FFFFFF" w:themeColor="background1"/>
                <w:sz w:val="20"/>
                <w:szCs w:val="20"/>
              </w:rPr>
              <w:t>D-A-CH</w:t>
            </w:r>
          </w:p>
          <w:p w14:paraId="1CD92CC7" w14:textId="77777777" w:rsidR="00074E84" w:rsidRPr="00EA2B2D" w:rsidRDefault="00074E84" w:rsidP="003A31ED">
            <w:pPr>
              <w:keepNext/>
              <w:keepLines/>
              <w:jc w:val="center"/>
              <w:rPr>
                <w:b/>
                <w:bCs/>
                <w:color w:val="FFFFFF" w:themeColor="background1"/>
                <w:sz w:val="20"/>
                <w:szCs w:val="20"/>
              </w:rPr>
            </w:pPr>
            <w:r w:rsidRPr="00EA2B2D">
              <w:rPr>
                <w:b/>
                <w:bCs/>
                <w:color w:val="FFFFFF" w:themeColor="background1"/>
                <w:sz w:val="20"/>
                <w:szCs w:val="20"/>
              </w:rPr>
              <w:t>Germany, Austria &amp; Switzerland</w:t>
            </w:r>
          </w:p>
          <w:p w14:paraId="529796AC" w14:textId="77777777" w:rsidR="00074E84" w:rsidRPr="00EA2B2D" w:rsidRDefault="00074E84" w:rsidP="003A31ED">
            <w:pPr>
              <w:keepNext/>
              <w:keepLines/>
              <w:jc w:val="center"/>
              <w:rPr>
                <w:b/>
                <w:bCs/>
                <w:color w:val="FFFFFF" w:themeColor="background1"/>
                <w:sz w:val="20"/>
                <w:szCs w:val="20"/>
              </w:rPr>
            </w:pPr>
            <w:r w:rsidRPr="00EA2B2D">
              <w:rPr>
                <w:b/>
                <w:bCs/>
                <w:color w:val="FFFFFF" w:themeColor="background1"/>
                <w:sz w:val="20"/>
                <w:szCs w:val="20"/>
              </w:rPr>
              <w:fldChar w:fldCharType="begin">
                <w:fldData xml:space="preserve">PEVuZE5vdGU+PENpdGU+PEF1dGhvcj5TdHJvaG08L0F1dGhvcj48WWVhcj4yMDE4PC9ZZWFyPjxS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</w:fldData>
              </w:fldChar>
            </w:r>
            <w:r w:rsidRPr="00EA2B2D">
              <w:rPr>
                <w:b/>
                <w:bCs/>
                <w:color w:val="FFFFFF" w:themeColor="background1"/>
                <w:sz w:val="20"/>
                <w:szCs w:val="20"/>
              </w:rPr>
              <w:instrText xml:space="preserve"> ADDIN EN.CITE </w:instrText>
            </w:r>
            <w:r w:rsidRPr="00EA2B2D">
              <w:rPr>
                <w:b/>
                <w:bCs/>
                <w:color w:val="FFFFFF" w:themeColor="background1"/>
                <w:sz w:val="20"/>
                <w:szCs w:val="20"/>
              </w:rPr>
              <w:fldChar w:fldCharType="begin">
                <w:fldData xml:space="preserve">PEVuZE5vdGU+PENpdGU+PEF1dGhvcj5TdHJvaG08L0F1dGhvcj48WWVhcj4yMDE4PC9ZZWFyPjxS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</w:fldData>
              </w:fldChar>
            </w:r>
            <w:r w:rsidRPr="00EA2B2D">
              <w:rPr>
                <w:b/>
                <w:bCs/>
                <w:color w:val="FFFFFF" w:themeColor="background1"/>
                <w:sz w:val="20"/>
                <w:szCs w:val="20"/>
              </w:rPr>
              <w:instrText xml:space="preserve"> ADDIN EN.CITE.DATA </w:instrText>
            </w:r>
            <w:r w:rsidRPr="00EA2B2D">
              <w:rPr>
                <w:b/>
                <w:bCs/>
                <w:color w:val="FFFFFF" w:themeColor="background1"/>
                <w:sz w:val="20"/>
                <w:szCs w:val="20"/>
              </w:rPr>
            </w:r>
            <w:r w:rsidRPr="00EA2B2D">
              <w:rPr>
                <w:b/>
                <w:bCs/>
                <w:color w:val="FFFFFF" w:themeColor="background1"/>
                <w:sz w:val="20"/>
                <w:szCs w:val="20"/>
              </w:rPr>
              <w:fldChar w:fldCharType="end"/>
            </w:r>
            <w:r w:rsidRPr="00EA2B2D">
              <w:rPr>
                <w:b/>
                <w:bCs/>
                <w:color w:val="FFFFFF" w:themeColor="background1"/>
                <w:sz w:val="20"/>
                <w:szCs w:val="20"/>
              </w:rPr>
            </w:r>
            <w:r w:rsidRPr="00EA2B2D">
              <w:rPr>
                <w:b/>
                <w:bCs/>
                <w:color w:val="FFFFFF" w:themeColor="background1"/>
                <w:sz w:val="20"/>
                <w:szCs w:val="20"/>
              </w:rPr>
              <w:fldChar w:fldCharType="separate"/>
            </w:r>
            <w:r w:rsidRPr="00EA2B2D">
              <w:rPr>
                <w:b/>
                <w:bCs/>
                <w:noProof/>
                <w:color w:val="FFFFFF" w:themeColor="background1"/>
                <w:sz w:val="20"/>
                <w:szCs w:val="20"/>
              </w:rPr>
              <w:t>(Strohm et al., 2018)</w:t>
            </w:r>
            <w:r w:rsidRPr="00EA2B2D">
              <w:rPr>
                <w:b/>
                <w:bCs/>
                <w:color w:val="FFFFFF" w:themeColor="background1"/>
                <w:sz w:val="20"/>
                <w:szCs w:val="20"/>
              </w:rPr>
              <w:fldChar w:fldCharType="end"/>
            </w:r>
          </w:p>
        </w:tc>
      </w:tr>
      <w:tr w:rsidR="00F032D3" w:rsidRPr="00EA2B2D" w14:paraId="25E3845A" w14:textId="77777777" w:rsidTr="00D8666E">
        <w:trPr>
          <w:trHeight w:val="732"/>
        </w:trPr>
        <w:tc>
          <w:tcPr>
            <w:tcW w:w="1696" w:type="dxa"/>
            <w:gridSpan w:val="2"/>
            <w:vMerge/>
            <w:shd w:val="clear" w:color="auto" w:fill="156082" w:themeFill="accent1"/>
            <w:vAlign w:val="bottom"/>
          </w:tcPr>
          <w:p w14:paraId="6350490B" w14:textId="77777777" w:rsidR="00F032D3" w:rsidRPr="00EA2B2D" w:rsidRDefault="00F032D3" w:rsidP="003A31ED">
            <w:pPr>
              <w:keepNext/>
              <w:keepLines/>
              <w:rPr>
                <w:b/>
                <w:bCs/>
                <w:color w:val="FFFFFF" w:themeColor="background1"/>
                <w:sz w:val="20"/>
                <w:szCs w:val="20"/>
              </w:rPr>
            </w:pPr>
          </w:p>
        </w:tc>
        <w:tc>
          <w:tcPr>
            <w:tcW w:w="1843" w:type="dxa"/>
            <w:shd w:val="clear" w:color="auto" w:fill="156082" w:themeFill="accent1"/>
          </w:tcPr>
          <w:p w14:paraId="1A0F1506" w14:textId="77777777" w:rsidR="00F032D3" w:rsidRDefault="00F032D3" w:rsidP="003A31ED">
            <w:pPr>
              <w:keepNext/>
              <w:keepLines/>
              <w:jc w:val="center"/>
              <w:rPr>
                <w:b/>
                <w:bCs/>
                <w:color w:val="FFFFFF" w:themeColor="background1"/>
                <w:sz w:val="20"/>
                <w:szCs w:val="20"/>
              </w:rPr>
            </w:pPr>
            <w:r w:rsidRPr="0030295F">
              <w:rPr>
                <w:b/>
                <w:bCs/>
                <w:color w:val="FFFFFF" w:themeColor="background1"/>
                <w:sz w:val="20"/>
                <w:szCs w:val="20"/>
              </w:rPr>
              <w:t xml:space="preserve">Potential revised </w:t>
            </w:r>
          </w:p>
          <w:p w14:paraId="23197F9E" w14:textId="77777777" w:rsidR="00F032D3" w:rsidRPr="0030295F" w:rsidRDefault="00F032D3" w:rsidP="003A31ED">
            <w:pPr>
              <w:keepNext/>
              <w:keepLines/>
              <w:jc w:val="center"/>
              <w:rPr>
                <w:b/>
                <w:bCs/>
                <w:color w:val="FFFFFF" w:themeColor="background1"/>
                <w:sz w:val="20"/>
                <w:szCs w:val="20"/>
              </w:rPr>
            </w:pPr>
            <w:hyperlink r:id="rId218" w:anchor="AI" w:history="1">
              <w:r w:rsidRPr="00D73CA0">
                <w:rPr>
                  <w:b/>
                  <w:bCs/>
                  <w:color w:val="FFFFFF" w:themeColor="background1"/>
                  <w:sz w:val="20"/>
                  <w:szCs w:val="20"/>
                </w:rPr>
                <w:t>AI</w:t>
              </w:r>
            </w:hyperlink>
            <w:r w:rsidRPr="00D73CA0">
              <w:rPr>
                <w:b/>
                <w:bCs/>
                <w:color w:val="FFFFFF" w:themeColor="background1"/>
                <w:sz w:val="20"/>
                <w:szCs w:val="20"/>
              </w:rPr>
              <w:t xml:space="preserve"> </w:t>
            </w:r>
          </w:p>
          <w:p w14:paraId="4FA63B7B" w14:textId="2441914A" w:rsidR="00F032D3" w:rsidRPr="0030295F" w:rsidRDefault="00F032D3" w:rsidP="005C3E38">
            <w:pPr>
              <w:keepNext/>
              <w:keepLines/>
              <w:jc w:val="center"/>
              <w:rPr>
                <w:b/>
                <w:bCs/>
                <w:color w:val="FFFFFF" w:themeColor="background1"/>
                <w:sz w:val="20"/>
                <w:szCs w:val="20"/>
              </w:rPr>
            </w:pPr>
            <w:r w:rsidRPr="00EA2B2D">
              <w:rPr>
                <w:b/>
                <w:bCs/>
                <w:color w:val="FFFFFF" w:themeColor="background1"/>
                <w:sz w:val="20"/>
                <w:szCs w:val="20"/>
              </w:rPr>
              <w:t>mg/day</w:t>
            </w:r>
          </w:p>
        </w:tc>
        <w:tc>
          <w:tcPr>
            <w:tcW w:w="1848" w:type="dxa"/>
            <w:shd w:val="clear" w:color="auto" w:fill="156082" w:themeFill="accent1"/>
          </w:tcPr>
          <w:p w14:paraId="16242D99" w14:textId="77777777" w:rsidR="00F032D3" w:rsidRDefault="00F032D3" w:rsidP="003A31ED">
            <w:pPr>
              <w:keepNext/>
              <w:keepLines/>
              <w:jc w:val="center"/>
            </w:pPr>
            <w:r w:rsidRPr="0030295F">
              <w:rPr>
                <w:b/>
                <w:bCs/>
                <w:color w:val="FFFFFF" w:themeColor="background1"/>
                <w:sz w:val="20"/>
                <w:szCs w:val="20"/>
              </w:rPr>
              <w:t xml:space="preserve">Current </w:t>
            </w:r>
            <w:hyperlink r:id="rId219" w:anchor="AI" w:history="1">
              <w:r w:rsidRPr="0030295F">
                <w:rPr>
                  <w:rStyle w:val="Hyperlink"/>
                  <w:b/>
                  <w:bCs/>
                  <w:color w:val="FFFFFF" w:themeColor="background1"/>
                  <w:sz w:val="20"/>
                  <w:szCs w:val="20"/>
                </w:rPr>
                <w:t>AI</w:t>
              </w:r>
            </w:hyperlink>
          </w:p>
          <w:p w14:paraId="0A67C5BE" w14:textId="77777777" w:rsidR="00F032D3" w:rsidRPr="0030295F" w:rsidRDefault="00F032D3" w:rsidP="003A31ED">
            <w:pPr>
              <w:keepNext/>
              <w:keepLines/>
              <w:jc w:val="center"/>
              <w:rPr>
                <w:b/>
                <w:bCs/>
                <w:color w:val="FFFFFF" w:themeColor="background1"/>
                <w:sz w:val="20"/>
                <w:szCs w:val="20"/>
              </w:rPr>
            </w:pPr>
          </w:p>
          <w:p w14:paraId="3744AF48" w14:textId="04F60740" w:rsidR="00F032D3" w:rsidRPr="0030295F" w:rsidRDefault="00F032D3" w:rsidP="00743D7E">
            <w:pPr>
              <w:keepNext/>
              <w:keepLines/>
              <w:jc w:val="center"/>
              <w:rPr>
                <w:b/>
                <w:bCs/>
                <w:color w:val="FFFFFF" w:themeColor="background1"/>
                <w:sz w:val="20"/>
                <w:szCs w:val="20"/>
              </w:rPr>
            </w:pPr>
            <w:r w:rsidRPr="00EA2B2D">
              <w:rPr>
                <w:b/>
                <w:bCs/>
                <w:color w:val="FFFFFF" w:themeColor="background1"/>
                <w:sz w:val="20"/>
                <w:szCs w:val="20"/>
              </w:rPr>
              <w:t>mg/day</w:t>
            </w:r>
          </w:p>
        </w:tc>
        <w:tc>
          <w:tcPr>
            <w:tcW w:w="1843" w:type="dxa"/>
            <w:shd w:val="clear" w:color="auto" w:fill="156082" w:themeFill="accent1"/>
          </w:tcPr>
          <w:p w14:paraId="7DEA6297" w14:textId="77777777" w:rsidR="00F032D3" w:rsidRDefault="00F032D3" w:rsidP="003A31ED">
            <w:pPr>
              <w:keepNext/>
              <w:keepLines/>
              <w:jc w:val="center"/>
            </w:pPr>
            <w:hyperlink r:id="rId220" w:anchor="AI" w:history="1">
              <w:r w:rsidRPr="00EA2B2D">
                <w:rPr>
                  <w:rStyle w:val="Hyperlink"/>
                  <w:b/>
                  <w:bCs/>
                  <w:color w:val="FFFFFF" w:themeColor="background1"/>
                  <w:sz w:val="20"/>
                  <w:szCs w:val="20"/>
                </w:rPr>
                <w:t>AI</w:t>
              </w:r>
            </w:hyperlink>
          </w:p>
          <w:p w14:paraId="1459D75D" w14:textId="77777777" w:rsidR="00F032D3" w:rsidRPr="00EA2B2D" w:rsidRDefault="00F032D3" w:rsidP="003A31ED">
            <w:pPr>
              <w:keepNext/>
              <w:keepLines/>
              <w:jc w:val="center"/>
              <w:rPr>
                <w:b/>
                <w:bCs/>
                <w:color w:val="FFFFFF" w:themeColor="background1"/>
                <w:sz w:val="20"/>
                <w:szCs w:val="20"/>
              </w:rPr>
            </w:pPr>
          </w:p>
          <w:p w14:paraId="61052F93" w14:textId="23D54014" w:rsidR="00F032D3" w:rsidRPr="00EA2B2D" w:rsidRDefault="00F032D3" w:rsidP="001F37F8">
            <w:pPr>
              <w:keepNext/>
              <w:keepLines/>
              <w:jc w:val="center"/>
              <w:rPr>
                <w:b/>
                <w:bCs/>
                <w:color w:val="FFFFFF" w:themeColor="background1"/>
                <w:sz w:val="20"/>
                <w:szCs w:val="20"/>
              </w:rPr>
            </w:pPr>
            <w:r w:rsidRPr="00EA2B2D">
              <w:rPr>
                <w:b/>
                <w:bCs/>
                <w:color w:val="FFFFFF" w:themeColor="background1"/>
                <w:sz w:val="20"/>
                <w:szCs w:val="20"/>
              </w:rPr>
              <w:t>mg/day</w:t>
            </w:r>
          </w:p>
        </w:tc>
        <w:tc>
          <w:tcPr>
            <w:tcW w:w="1984" w:type="dxa"/>
            <w:shd w:val="clear" w:color="auto" w:fill="156082" w:themeFill="accent1"/>
          </w:tcPr>
          <w:p w14:paraId="54C914B1" w14:textId="77777777" w:rsidR="00F032D3" w:rsidRPr="00EA2B2D" w:rsidRDefault="00F032D3" w:rsidP="003A31ED">
            <w:pPr>
              <w:keepNext/>
              <w:keepLines/>
              <w:jc w:val="center"/>
              <w:rPr>
                <w:b/>
                <w:bCs/>
                <w:color w:val="FFFFFF" w:themeColor="background1"/>
                <w:sz w:val="20"/>
                <w:szCs w:val="20"/>
              </w:rPr>
            </w:pPr>
            <w:r w:rsidRPr="00EA2B2D">
              <w:rPr>
                <w:b/>
                <w:bCs/>
                <w:color w:val="FFFFFF" w:themeColor="background1"/>
                <w:sz w:val="20"/>
                <w:szCs w:val="20"/>
              </w:rPr>
              <w:t>‘Safe and Adequate’</w:t>
            </w:r>
            <w:r w:rsidRPr="00EA2B2D">
              <w:rPr>
                <w:b/>
                <w:bCs/>
                <w:color w:val="FFFFFF" w:themeColor="background1"/>
                <w:sz w:val="20"/>
                <w:szCs w:val="20"/>
                <w:vertAlign w:val="superscript"/>
              </w:rPr>
              <w:t>#</w:t>
            </w:r>
          </w:p>
          <w:p w14:paraId="1EFF131D" w14:textId="412B9AED" w:rsidR="00F032D3" w:rsidRPr="00EA2B2D" w:rsidRDefault="00F032D3" w:rsidP="001F348B">
            <w:pPr>
              <w:keepNext/>
              <w:keepLines/>
              <w:jc w:val="center"/>
              <w:rPr>
                <w:b/>
                <w:bCs/>
                <w:color w:val="FFFFFF" w:themeColor="background1"/>
                <w:sz w:val="20"/>
                <w:szCs w:val="20"/>
              </w:rPr>
            </w:pPr>
            <w:r w:rsidRPr="00EA2B2D">
              <w:rPr>
                <w:b/>
                <w:bCs/>
                <w:color w:val="FFFFFF" w:themeColor="background1"/>
                <w:sz w:val="20"/>
                <w:szCs w:val="20"/>
              </w:rPr>
              <w:t>mg/day</w:t>
            </w:r>
          </w:p>
        </w:tc>
        <w:tc>
          <w:tcPr>
            <w:tcW w:w="1842" w:type="dxa"/>
            <w:shd w:val="clear" w:color="auto" w:fill="156082" w:themeFill="accent1"/>
          </w:tcPr>
          <w:p w14:paraId="50FCA421" w14:textId="77777777" w:rsidR="00F032D3" w:rsidRPr="00EA2B2D" w:rsidRDefault="00F032D3" w:rsidP="003A31ED">
            <w:pPr>
              <w:keepNext/>
              <w:keepLines/>
              <w:jc w:val="center"/>
              <w:rPr>
                <w:b/>
                <w:bCs/>
                <w:color w:val="FFFFFF" w:themeColor="background1"/>
                <w:sz w:val="20"/>
                <w:szCs w:val="20"/>
              </w:rPr>
            </w:pPr>
            <w:hyperlink r:id="rId221" w:anchor="AI" w:history="1">
              <w:r w:rsidRPr="00EA2B2D">
                <w:rPr>
                  <w:rStyle w:val="Hyperlink"/>
                  <w:b/>
                  <w:bCs/>
                  <w:color w:val="FFFFFF" w:themeColor="background1"/>
                  <w:sz w:val="20"/>
                  <w:szCs w:val="20"/>
                </w:rPr>
                <w:t>AI</w:t>
              </w:r>
            </w:hyperlink>
          </w:p>
          <w:p w14:paraId="5F668562" w14:textId="77777777" w:rsidR="00F032D3" w:rsidRDefault="00F032D3" w:rsidP="009E028E">
            <w:pPr>
              <w:keepNext/>
              <w:keepLines/>
              <w:jc w:val="center"/>
              <w:rPr>
                <w:b/>
                <w:bCs/>
                <w:color w:val="FFFFFF" w:themeColor="background1"/>
                <w:sz w:val="20"/>
                <w:szCs w:val="20"/>
              </w:rPr>
            </w:pPr>
          </w:p>
          <w:p w14:paraId="3A8D0AEA" w14:textId="138E913D" w:rsidR="00F032D3" w:rsidRPr="00EA2B2D" w:rsidRDefault="00F032D3" w:rsidP="009E028E">
            <w:pPr>
              <w:keepNext/>
              <w:keepLines/>
              <w:jc w:val="center"/>
              <w:rPr>
                <w:b/>
                <w:bCs/>
                <w:color w:val="FFFFFF" w:themeColor="background1"/>
                <w:sz w:val="20"/>
                <w:szCs w:val="20"/>
              </w:rPr>
            </w:pPr>
            <w:r w:rsidRPr="00EA2B2D">
              <w:rPr>
                <w:b/>
                <w:bCs/>
                <w:color w:val="FFFFFF" w:themeColor="background1"/>
                <w:sz w:val="20"/>
                <w:szCs w:val="20"/>
              </w:rPr>
              <w:t>mg/day</w:t>
            </w:r>
          </w:p>
        </w:tc>
        <w:tc>
          <w:tcPr>
            <w:tcW w:w="2126" w:type="dxa"/>
            <w:shd w:val="clear" w:color="auto" w:fill="156082" w:themeFill="accent1"/>
          </w:tcPr>
          <w:p w14:paraId="5A867275" w14:textId="77777777" w:rsidR="00F032D3" w:rsidRPr="00EA2B2D" w:rsidRDefault="00F032D3" w:rsidP="003A31ED">
            <w:pPr>
              <w:keepNext/>
              <w:keepLines/>
              <w:jc w:val="center"/>
              <w:rPr>
                <w:b/>
                <w:bCs/>
                <w:color w:val="FFFFFF" w:themeColor="background1"/>
                <w:sz w:val="20"/>
                <w:szCs w:val="20"/>
              </w:rPr>
            </w:pPr>
            <w:hyperlink r:id="rId222" w:anchor="AI" w:history="1">
              <w:r w:rsidRPr="00EA2B2D">
                <w:rPr>
                  <w:rStyle w:val="Hyperlink"/>
                  <w:b/>
                  <w:bCs/>
                  <w:color w:val="FFFFFF" w:themeColor="background1"/>
                  <w:sz w:val="20"/>
                  <w:szCs w:val="20"/>
                </w:rPr>
                <w:t>AI</w:t>
              </w:r>
            </w:hyperlink>
          </w:p>
          <w:p w14:paraId="5DE7C79E" w14:textId="77777777" w:rsidR="00F032D3" w:rsidRDefault="00F032D3" w:rsidP="00D8666E">
            <w:pPr>
              <w:keepNext/>
              <w:keepLines/>
              <w:jc w:val="center"/>
              <w:rPr>
                <w:b/>
                <w:bCs/>
                <w:color w:val="FFFFFF" w:themeColor="background1"/>
                <w:sz w:val="20"/>
                <w:szCs w:val="20"/>
              </w:rPr>
            </w:pPr>
          </w:p>
          <w:p w14:paraId="4FE88282" w14:textId="2C694779" w:rsidR="00F032D3" w:rsidRPr="00EA2B2D" w:rsidRDefault="00F032D3" w:rsidP="00D8666E">
            <w:pPr>
              <w:keepNext/>
              <w:keepLines/>
              <w:jc w:val="center"/>
              <w:rPr>
                <w:b/>
                <w:bCs/>
                <w:color w:val="FFFFFF" w:themeColor="background1"/>
                <w:sz w:val="20"/>
                <w:szCs w:val="20"/>
              </w:rPr>
            </w:pPr>
            <w:r w:rsidRPr="00EA2B2D">
              <w:rPr>
                <w:b/>
                <w:bCs/>
                <w:color w:val="FFFFFF" w:themeColor="background1"/>
                <w:sz w:val="20"/>
                <w:szCs w:val="20"/>
              </w:rPr>
              <w:t>mg/day</w:t>
            </w:r>
          </w:p>
        </w:tc>
      </w:tr>
      <w:tr w:rsidR="00074E84" w:rsidRPr="00EA2B2D" w14:paraId="47ED68C6" w14:textId="77777777" w:rsidTr="00F032D3">
        <w:tc>
          <w:tcPr>
            <w:tcW w:w="276" w:type="dxa"/>
            <w:tcBorders>
              <w:left w:val="single" w:sz="4" w:space="0" w:color="156082" w:themeColor="accent1"/>
              <w:right w:val="nil"/>
            </w:tcBorders>
          </w:tcPr>
          <w:p w14:paraId="022D6034" w14:textId="77777777" w:rsidR="00074E84" w:rsidRPr="00EA2B2D" w:rsidRDefault="00074E84" w:rsidP="003A31ED">
            <w:pPr>
              <w:keepNext/>
              <w:keepLines/>
              <w:rPr>
                <w:sz w:val="20"/>
                <w:szCs w:val="20"/>
              </w:rPr>
            </w:pPr>
          </w:p>
        </w:tc>
        <w:tc>
          <w:tcPr>
            <w:tcW w:w="1420" w:type="dxa"/>
            <w:tcBorders>
              <w:left w:val="nil"/>
            </w:tcBorders>
          </w:tcPr>
          <w:p w14:paraId="21D0524E" w14:textId="77777777" w:rsidR="00074E84" w:rsidRPr="00EA2B2D" w:rsidRDefault="00074E84" w:rsidP="003A31ED">
            <w:pPr>
              <w:keepNext/>
              <w:keepLines/>
              <w:rPr>
                <w:sz w:val="20"/>
                <w:szCs w:val="20"/>
              </w:rPr>
            </w:pPr>
            <w:r w:rsidRPr="00EA2B2D">
              <w:rPr>
                <w:sz w:val="20"/>
                <w:szCs w:val="20"/>
              </w:rPr>
              <w:t>1 yr</w:t>
            </w:r>
          </w:p>
        </w:tc>
        <w:tc>
          <w:tcPr>
            <w:tcW w:w="1843" w:type="dxa"/>
            <w:vMerge w:val="restart"/>
            <w:vAlign w:val="center"/>
          </w:tcPr>
          <w:p w14:paraId="4FF242A5" w14:textId="77777777" w:rsidR="00074E84" w:rsidRPr="00EA2B2D" w:rsidRDefault="00074E84" w:rsidP="003A31ED">
            <w:pPr>
              <w:keepNext/>
              <w:keepLines/>
              <w:jc w:val="center"/>
              <w:rPr>
                <w:sz w:val="20"/>
                <w:szCs w:val="20"/>
              </w:rPr>
            </w:pPr>
            <w:r w:rsidRPr="00EA2B2D">
              <w:rPr>
                <w:sz w:val="20"/>
                <w:szCs w:val="20"/>
              </w:rPr>
              <w:t>400</w:t>
            </w:r>
          </w:p>
        </w:tc>
        <w:tc>
          <w:tcPr>
            <w:tcW w:w="1848" w:type="dxa"/>
            <w:vMerge w:val="restart"/>
            <w:vAlign w:val="center"/>
          </w:tcPr>
          <w:p w14:paraId="1BF3894A" w14:textId="77777777" w:rsidR="00074E84" w:rsidRPr="00EA2B2D" w:rsidRDefault="00074E84" w:rsidP="003A31ED">
            <w:pPr>
              <w:keepNext/>
              <w:keepLines/>
              <w:jc w:val="center"/>
              <w:rPr>
                <w:sz w:val="20"/>
                <w:szCs w:val="20"/>
              </w:rPr>
            </w:pPr>
            <w:r w:rsidRPr="00EA2B2D">
              <w:rPr>
                <w:sz w:val="20"/>
                <w:szCs w:val="20"/>
              </w:rPr>
              <w:t>200-400</w:t>
            </w:r>
          </w:p>
        </w:tc>
        <w:tc>
          <w:tcPr>
            <w:tcW w:w="1843" w:type="dxa"/>
            <w:vMerge w:val="restart"/>
            <w:vAlign w:val="center"/>
          </w:tcPr>
          <w:p w14:paraId="68E68B16" w14:textId="77777777" w:rsidR="00074E84" w:rsidRPr="00EA2B2D" w:rsidRDefault="00074E84" w:rsidP="003A31ED">
            <w:pPr>
              <w:keepNext/>
              <w:keepLines/>
              <w:jc w:val="center"/>
              <w:rPr>
                <w:sz w:val="20"/>
                <w:szCs w:val="20"/>
              </w:rPr>
            </w:pPr>
            <w:r w:rsidRPr="00EA2B2D">
              <w:rPr>
                <w:sz w:val="20"/>
                <w:szCs w:val="20"/>
              </w:rPr>
              <w:t>800</w:t>
            </w:r>
          </w:p>
        </w:tc>
        <w:tc>
          <w:tcPr>
            <w:tcW w:w="1984" w:type="dxa"/>
            <w:vMerge w:val="restart"/>
            <w:vAlign w:val="center"/>
          </w:tcPr>
          <w:p w14:paraId="6F72B576" w14:textId="77777777" w:rsidR="00074E84" w:rsidRPr="0050371D" w:rsidRDefault="00074E84" w:rsidP="003A31ED">
            <w:pPr>
              <w:keepNext/>
              <w:keepLines/>
              <w:jc w:val="center"/>
              <w:rPr>
                <w:color w:val="747474" w:themeColor="background2" w:themeShade="80"/>
                <w:sz w:val="20"/>
                <w:szCs w:val="20"/>
              </w:rPr>
            </w:pPr>
            <w:r w:rsidRPr="0050371D">
              <w:rPr>
                <w:color w:val="747474" w:themeColor="background2" w:themeShade="80"/>
                <w:sz w:val="20"/>
                <w:szCs w:val="20"/>
              </w:rPr>
              <w:t>1,100</w:t>
            </w:r>
          </w:p>
        </w:tc>
        <w:tc>
          <w:tcPr>
            <w:tcW w:w="1842" w:type="dxa"/>
            <w:vMerge w:val="restart"/>
            <w:vAlign w:val="center"/>
          </w:tcPr>
          <w:p w14:paraId="1EA87458" w14:textId="77777777" w:rsidR="00074E84" w:rsidRPr="00EA2B2D" w:rsidRDefault="00074E84" w:rsidP="003A31ED">
            <w:pPr>
              <w:keepNext/>
              <w:keepLines/>
              <w:jc w:val="center"/>
              <w:rPr>
                <w:sz w:val="20"/>
                <w:szCs w:val="20"/>
              </w:rPr>
            </w:pPr>
            <w:r w:rsidRPr="00EA2B2D">
              <w:rPr>
                <w:sz w:val="20"/>
                <w:szCs w:val="20"/>
              </w:rPr>
              <w:t>NS</w:t>
            </w:r>
          </w:p>
        </w:tc>
        <w:tc>
          <w:tcPr>
            <w:tcW w:w="2126" w:type="dxa"/>
            <w:vMerge w:val="restart"/>
            <w:vAlign w:val="center"/>
          </w:tcPr>
          <w:p w14:paraId="3F840CD7" w14:textId="77777777" w:rsidR="00074E84" w:rsidRPr="00EA2B2D" w:rsidRDefault="00074E84" w:rsidP="003A31ED">
            <w:pPr>
              <w:keepNext/>
              <w:keepLines/>
              <w:jc w:val="center"/>
              <w:rPr>
                <w:sz w:val="20"/>
                <w:szCs w:val="20"/>
              </w:rPr>
            </w:pPr>
            <w:r w:rsidRPr="00EA2B2D">
              <w:rPr>
                <w:sz w:val="20"/>
                <w:szCs w:val="20"/>
              </w:rPr>
              <w:t>400</w:t>
            </w:r>
          </w:p>
        </w:tc>
      </w:tr>
      <w:tr w:rsidR="00074E84" w:rsidRPr="00EA2B2D" w14:paraId="1E8F5122" w14:textId="77777777" w:rsidTr="00F032D3">
        <w:tc>
          <w:tcPr>
            <w:tcW w:w="276" w:type="dxa"/>
            <w:tcBorders>
              <w:left w:val="single" w:sz="4" w:space="0" w:color="156082" w:themeColor="accent1"/>
              <w:right w:val="nil"/>
            </w:tcBorders>
          </w:tcPr>
          <w:p w14:paraId="79D95782" w14:textId="77777777" w:rsidR="00074E84" w:rsidRPr="00EA2B2D" w:rsidRDefault="00074E84" w:rsidP="003A31ED">
            <w:pPr>
              <w:keepNext/>
              <w:keepLines/>
              <w:rPr>
                <w:sz w:val="20"/>
                <w:szCs w:val="20"/>
              </w:rPr>
            </w:pPr>
          </w:p>
        </w:tc>
        <w:tc>
          <w:tcPr>
            <w:tcW w:w="1420" w:type="dxa"/>
            <w:tcBorders>
              <w:left w:val="nil"/>
            </w:tcBorders>
          </w:tcPr>
          <w:p w14:paraId="21FEFF6E" w14:textId="77777777" w:rsidR="00074E84" w:rsidRPr="00EA2B2D" w:rsidRDefault="00074E84" w:rsidP="003A31ED">
            <w:pPr>
              <w:keepNext/>
              <w:keepLines/>
              <w:rPr>
                <w:sz w:val="20"/>
                <w:szCs w:val="20"/>
              </w:rPr>
            </w:pPr>
            <w:r w:rsidRPr="00EA2B2D">
              <w:rPr>
                <w:sz w:val="20"/>
                <w:szCs w:val="20"/>
              </w:rPr>
              <w:t>2 yr</w:t>
            </w:r>
          </w:p>
        </w:tc>
        <w:tc>
          <w:tcPr>
            <w:tcW w:w="1843" w:type="dxa"/>
            <w:vMerge/>
            <w:vAlign w:val="center"/>
          </w:tcPr>
          <w:p w14:paraId="4E99D356" w14:textId="77777777" w:rsidR="00074E84" w:rsidRPr="00EA2B2D" w:rsidRDefault="00074E84" w:rsidP="003A31ED">
            <w:pPr>
              <w:keepNext/>
              <w:keepLines/>
              <w:jc w:val="center"/>
              <w:rPr>
                <w:sz w:val="20"/>
                <w:szCs w:val="20"/>
              </w:rPr>
            </w:pPr>
          </w:p>
        </w:tc>
        <w:tc>
          <w:tcPr>
            <w:tcW w:w="1848" w:type="dxa"/>
            <w:vMerge/>
            <w:vAlign w:val="center"/>
          </w:tcPr>
          <w:p w14:paraId="7E4D62CE" w14:textId="77777777" w:rsidR="00074E84" w:rsidRPr="00EA2B2D" w:rsidRDefault="00074E84" w:rsidP="003A31ED">
            <w:pPr>
              <w:keepNext/>
              <w:keepLines/>
              <w:jc w:val="center"/>
              <w:rPr>
                <w:sz w:val="20"/>
                <w:szCs w:val="20"/>
              </w:rPr>
            </w:pPr>
          </w:p>
        </w:tc>
        <w:tc>
          <w:tcPr>
            <w:tcW w:w="1843" w:type="dxa"/>
            <w:vMerge/>
            <w:vAlign w:val="center"/>
          </w:tcPr>
          <w:p w14:paraId="79D46D7F" w14:textId="77777777" w:rsidR="00074E84" w:rsidRPr="00EA2B2D" w:rsidRDefault="00074E84" w:rsidP="003A31ED">
            <w:pPr>
              <w:keepNext/>
              <w:keepLines/>
              <w:jc w:val="center"/>
              <w:rPr>
                <w:sz w:val="20"/>
                <w:szCs w:val="20"/>
              </w:rPr>
            </w:pPr>
          </w:p>
        </w:tc>
        <w:tc>
          <w:tcPr>
            <w:tcW w:w="1984" w:type="dxa"/>
            <w:vMerge/>
            <w:vAlign w:val="center"/>
          </w:tcPr>
          <w:p w14:paraId="65799A4B" w14:textId="77777777" w:rsidR="00074E84" w:rsidRPr="001546F4" w:rsidRDefault="00074E84" w:rsidP="003A31ED">
            <w:pPr>
              <w:keepNext/>
              <w:keepLines/>
              <w:jc w:val="center"/>
              <w:rPr>
                <w:color w:val="808080" w:themeColor="background1" w:themeShade="80"/>
                <w:sz w:val="20"/>
                <w:szCs w:val="20"/>
              </w:rPr>
            </w:pPr>
          </w:p>
        </w:tc>
        <w:tc>
          <w:tcPr>
            <w:tcW w:w="1842" w:type="dxa"/>
            <w:vMerge/>
            <w:vAlign w:val="center"/>
          </w:tcPr>
          <w:p w14:paraId="05212483" w14:textId="77777777" w:rsidR="00074E84" w:rsidRPr="00EA2B2D" w:rsidRDefault="00074E84" w:rsidP="003A31ED">
            <w:pPr>
              <w:keepNext/>
              <w:keepLines/>
              <w:jc w:val="center"/>
              <w:rPr>
                <w:sz w:val="20"/>
                <w:szCs w:val="20"/>
              </w:rPr>
            </w:pPr>
          </w:p>
        </w:tc>
        <w:tc>
          <w:tcPr>
            <w:tcW w:w="2126" w:type="dxa"/>
            <w:vMerge/>
            <w:vAlign w:val="center"/>
          </w:tcPr>
          <w:p w14:paraId="63827354" w14:textId="77777777" w:rsidR="00074E84" w:rsidRPr="00EA2B2D" w:rsidRDefault="00074E84" w:rsidP="003A31ED">
            <w:pPr>
              <w:keepNext/>
              <w:keepLines/>
              <w:jc w:val="center"/>
              <w:rPr>
                <w:sz w:val="20"/>
                <w:szCs w:val="20"/>
              </w:rPr>
            </w:pPr>
          </w:p>
        </w:tc>
      </w:tr>
      <w:tr w:rsidR="00074E84" w:rsidRPr="00EA2B2D" w14:paraId="7582E7CD" w14:textId="77777777" w:rsidTr="00F032D3">
        <w:tc>
          <w:tcPr>
            <w:tcW w:w="276" w:type="dxa"/>
            <w:tcBorders>
              <w:left w:val="single" w:sz="4" w:space="0" w:color="156082" w:themeColor="accent1"/>
              <w:right w:val="nil"/>
            </w:tcBorders>
          </w:tcPr>
          <w:p w14:paraId="7B28433D" w14:textId="77777777" w:rsidR="00074E84" w:rsidRPr="00EA2B2D" w:rsidRDefault="00074E84" w:rsidP="003A31ED">
            <w:pPr>
              <w:keepNext/>
              <w:keepLines/>
              <w:rPr>
                <w:sz w:val="20"/>
                <w:szCs w:val="20"/>
              </w:rPr>
            </w:pPr>
          </w:p>
        </w:tc>
        <w:tc>
          <w:tcPr>
            <w:tcW w:w="1420" w:type="dxa"/>
            <w:tcBorders>
              <w:left w:val="nil"/>
            </w:tcBorders>
          </w:tcPr>
          <w:p w14:paraId="52A87CB6" w14:textId="77777777" w:rsidR="00074E84" w:rsidRPr="00EA2B2D" w:rsidRDefault="00074E84" w:rsidP="003A31ED">
            <w:pPr>
              <w:keepNext/>
              <w:keepLines/>
              <w:rPr>
                <w:sz w:val="20"/>
                <w:szCs w:val="20"/>
              </w:rPr>
            </w:pPr>
            <w:r w:rsidRPr="00EA2B2D">
              <w:rPr>
                <w:sz w:val="20"/>
                <w:szCs w:val="20"/>
              </w:rPr>
              <w:t>3 yr</w:t>
            </w:r>
          </w:p>
        </w:tc>
        <w:tc>
          <w:tcPr>
            <w:tcW w:w="1843" w:type="dxa"/>
            <w:vMerge/>
            <w:vAlign w:val="center"/>
          </w:tcPr>
          <w:p w14:paraId="24C52E35" w14:textId="77777777" w:rsidR="00074E84" w:rsidRPr="00EA2B2D" w:rsidRDefault="00074E84" w:rsidP="003A31ED">
            <w:pPr>
              <w:keepNext/>
              <w:keepLines/>
              <w:jc w:val="center"/>
              <w:rPr>
                <w:sz w:val="20"/>
                <w:szCs w:val="20"/>
              </w:rPr>
            </w:pPr>
          </w:p>
        </w:tc>
        <w:tc>
          <w:tcPr>
            <w:tcW w:w="1848" w:type="dxa"/>
            <w:vMerge/>
            <w:vAlign w:val="center"/>
          </w:tcPr>
          <w:p w14:paraId="3B8A63CC" w14:textId="77777777" w:rsidR="00074E84" w:rsidRPr="00EA2B2D" w:rsidRDefault="00074E84" w:rsidP="003A31ED">
            <w:pPr>
              <w:keepNext/>
              <w:keepLines/>
              <w:jc w:val="center"/>
              <w:rPr>
                <w:sz w:val="20"/>
                <w:szCs w:val="20"/>
              </w:rPr>
            </w:pPr>
          </w:p>
        </w:tc>
        <w:tc>
          <w:tcPr>
            <w:tcW w:w="1843" w:type="dxa"/>
            <w:vMerge/>
            <w:vAlign w:val="center"/>
          </w:tcPr>
          <w:p w14:paraId="472359F5" w14:textId="77777777" w:rsidR="00074E84" w:rsidRPr="00EA2B2D" w:rsidRDefault="00074E84" w:rsidP="003A31ED">
            <w:pPr>
              <w:keepNext/>
              <w:keepLines/>
              <w:jc w:val="center"/>
              <w:rPr>
                <w:sz w:val="20"/>
                <w:szCs w:val="20"/>
              </w:rPr>
            </w:pPr>
          </w:p>
        </w:tc>
        <w:tc>
          <w:tcPr>
            <w:tcW w:w="1984" w:type="dxa"/>
            <w:vMerge/>
            <w:vAlign w:val="center"/>
          </w:tcPr>
          <w:p w14:paraId="323EE578" w14:textId="77777777" w:rsidR="00074E84" w:rsidRPr="001546F4" w:rsidRDefault="00074E84" w:rsidP="003A31ED">
            <w:pPr>
              <w:keepNext/>
              <w:keepLines/>
              <w:jc w:val="center"/>
              <w:rPr>
                <w:color w:val="808080" w:themeColor="background1" w:themeShade="80"/>
                <w:sz w:val="20"/>
                <w:szCs w:val="20"/>
              </w:rPr>
            </w:pPr>
          </w:p>
        </w:tc>
        <w:tc>
          <w:tcPr>
            <w:tcW w:w="1842" w:type="dxa"/>
            <w:vMerge/>
            <w:vAlign w:val="center"/>
          </w:tcPr>
          <w:p w14:paraId="31F601CA" w14:textId="77777777" w:rsidR="00074E84" w:rsidRPr="00EA2B2D" w:rsidRDefault="00074E84" w:rsidP="003A31ED">
            <w:pPr>
              <w:keepNext/>
              <w:keepLines/>
              <w:jc w:val="center"/>
              <w:rPr>
                <w:sz w:val="20"/>
                <w:szCs w:val="20"/>
              </w:rPr>
            </w:pPr>
          </w:p>
        </w:tc>
        <w:tc>
          <w:tcPr>
            <w:tcW w:w="2126" w:type="dxa"/>
            <w:vMerge/>
            <w:vAlign w:val="center"/>
          </w:tcPr>
          <w:p w14:paraId="45AF6A04" w14:textId="77777777" w:rsidR="00074E84" w:rsidRPr="00EA2B2D" w:rsidRDefault="00074E84" w:rsidP="003A31ED">
            <w:pPr>
              <w:keepNext/>
              <w:keepLines/>
              <w:jc w:val="center"/>
              <w:rPr>
                <w:sz w:val="20"/>
                <w:szCs w:val="20"/>
              </w:rPr>
            </w:pPr>
          </w:p>
        </w:tc>
      </w:tr>
      <w:tr w:rsidR="00074E84" w:rsidRPr="00EA2B2D" w14:paraId="65C13691" w14:textId="77777777" w:rsidTr="00F032D3">
        <w:tc>
          <w:tcPr>
            <w:tcW w:w="276" w:type="dxa"/>
            <w:tcBorders>
              <w:left w:val="single" w:sz="4" w:space="0" w:color="156082" w:themeColor="accent1"/>
              <w:right w:val="nil"/>
            </w:tcBorders>
          </w:tcPr>
          <w:p w14:paraId="3A03A733" w14:textId="77777777" w:rsidR="00074E84" w:rsidRPr="00EA2B2D" w:rsidRDefault="00074E84" w:rsidP="003A31ED">
            <w:pPr>
              <w:keepNext/>
              <w:keepLines/>
              <w:rPr>
                <w:sz w:val="20"/>
                <w:szCs w:val="20"/>
              </w:rPr>
            </w:pPr>
          </w:p>
        </w:tc>
        <w:tc>
          <w:tcPr>
            <w:tcW w:w="1420" w:type="dxa"/>
            <w:tcBorders>
              <w:left w:val="nil"/>
            </w:tcBorders>
          </w:tcPr>
          <w:p w14:paraId="39320F97" w14:textId="77777777" w:rsidR="00074E84" w:rsidRPr="00EA2B2D" w:rsidRDefault="00074E84" w:rsidP="003A31ED">
            <w:pPr>
              <w:keepNext/>
              <w:keepLines/>
              <w:rPr>
                <w:sz w:val="20"/>
                <w:szCs w:val="20"/>
              </w:rPr>
            </w:pPr>
            <w:r w:rsidRPr="00EA2B2D">
              <w:rPr>
                <w:sz w:val="20"/>
                <w:szCs w:val="20"/>
              </w:rPr>
              <w:t>4 yr</w:t>
            </w:r>
          </w:p>
        </w:tc>
        <w:tc>
          <w:tcPr>
            <w:tcW w:w="1843" w:type="dxa"/>
            <w:vMerge w:val="restart"/>
            <w:vAlign w:val="center"/>
          </w:tcPr>
          <w:p w14:paraId="508CF94F" w14:textId="77777777" w:rsidR="00074E84" w:rsidRPr="00EA2B2D" w:rsidRDefault="00074E84" w:rsidP="003A31ED">
            <w:pPr>
              <w:keepNext/>
              <w:keepLines/>
              <w:jc w:val="center"/>
              <w:rPr>
                <w:sz w:val="20"/>
                <w:szCs w:val="20"/>
              </w:rPr>
            </w:pPr>
            <w:r w:rsidRPr="00EA2B2D">
              <w:rPr>
                <w:sz w:val="20"/>
                <w:szCs w:val="20"/>
              </w:rPr>
              <w:t>600</w:t>
            </w:r>
          </w:p>
        </w:tc>
        <w:tc>
          <w:tcPr>
            <w:tcW w:w="1848" w:type="dxa"/>
            <w:vMerge w:val="restart"/>
            <w:vAlign w:val="center"/>
          </w:tcPr>
          <w:p w14:paraId="4B45234A" w14:textId="77777777" w:rsidR="00074E84" w:rsidRPr="00EA2B2D" w:rsidRDefault="00074E84" w:rsidP="003A31ED">
            <w:pPr>
              <w:keepNext/>
              <w:keepLines/>
              <w:jc w:val="center"/>
              <w:rPr>
                <w:sz w:val="20"/>
                <w:szCs w:val="20"/>
              </w:rPr>
            </w:pPr>
            <w:r w:rsidRPr="00EA2B2D">
              <w:rPr>
                <w:sz w:val="20"/>
                <w:szCs w:val="20"/>
              </w:rPr>
              <w:t>300-600</w:t>
            </w:r>
          </w:p>
        </w:tc>
        <w:tc>
          <w:tcPr>
            <w:tcW w:w="1843" w:type="dxa"/>
            <w:vMerge w:val="restart"/>
            <w:vAlign w:val="center"/>
          </w:tcPr>
          <w:p w14:paraId="3667B4AF" w14:textId="77777777" w:rsidR="00074E84" w:rsidRPr="00EA2B2D" w:rsidRDefault="00074E84" w:rsidP="003A31ED">
            <w:pPr>
              <w:keepNext/>
              <w:keepLines/>
              <w:jc w:val="center"/>
              <w:rPr>
                <w:sz w:val="20"/>
                <w:szCs w:val="20"/>
              </w:rPr>
            </w:pPr>
            <w:r w:rsidRPr="00EA2B2D">
              <w:rPr>
                <w:sz w:val="20"/>
                <w:szCs w:val="20"/>
              </w:rPr>
              <w:t>1,000</w:t>
            </w:r>
          </w:p>
        </w:tc>
        <w:tc>
          <w:tcPr>
            <w:tcW w:w="1984" w:type="dxa"/>
            <w:vMerge w:val="restart"/>
            <w:vAlign w:val="center"/>
          </w:tcPr>
          <w:p w14:paraId="438B7F81" w14:textId="77777777" w:rsidR="00074E84" w:rsidRPr="0050371D" w:rsidRDefault="00074E84" w:rsidP="003A31ED">
            <w:pPr>
              <w:keepNext/>
              <w:keepLines/>
              <w:jc w:val="center"/>
              <w:rPr>
                <w:color w:val="747474" w:themeColor="background2" w:themeShade="80"/>
                <w:sz w:val="20"/>
                <w:szCs w:val="20"/>
              </w:rPr>
            </w:pPr>
            <w:r w:rsidRPr="0050371D">
              <w:rPr>
                <w:color w:val="747474" w:themeColor="background2" w:themeShade="80"/>
                <w:sz w:val="20"/>
                <w:szCs w:val="20"/>
              </w:rPr>
              <w:t>1,300</w:t>
            </w:r>
          </w:p>
        </w:tc>
        <w:tc>
          <w:tcPr>
            <w:tcW w:w="1842" w:type="dxa"/>
            <w:vMerge/>
            <w:vAlign w:val="center"/>
          </w:tcPr>
          <w:p w14:paraId="59A76136" w14:textId="77777777" w:rsidR="00074E84" w:rsidRPr="00EA2B2D" w:rsidRDefault="00074E84" w:rsidP="003A31ED">
            <w:pPr>
              <w:keepNext/>
              <w:keepLines/>
              <w:jc w:val="center"/>
              <w:rPr>
                <w:sz w:val="20"/>
                <w:szCs w:val="20"/>
              </w:rPr>
            </w:pPr>
          </w:p>
        </w:tc>
        <w:tc>
          <w:tcPr>
            <w:tcW w:w="2126" w:type="dxa"/>
            <w:vMerge w:val="restart"/>
            <w:vAlign w:val="center"/>
          </w:tcPr>
          <w:p w14:paraId="05493D4C" w14:textId="77777777" w:rsidR="00074E84" w:rsidRPr="00EA2B2D" w:rsidRDefault="00074E84" w:rsidP="003A31ED">
            <w:pPr>
              <w:keepNext/>
              <w:keepLines/>
              <w:jc w:val="center"/>
              <w:rPr>
                <w:sz w:val="20"/>
                <w:szCs w:val="20"/>
              </w:rPr>
            </w:pPr>
            <w:r w:rsidRPr="00EA2B2D">
              <w:rPr>
                <w:sz w:val="20"/>
                <w:szCs w:val="20"/>
              </w:rPr>
              <w:t>500</w:t>
            </w:r>
          </w:p>
        </w:tc>
      </w:tr>
      <w:tr w:rsidR="00074E84" w:rsidRPr="00EA2B2D" w14:paraId="515581F2" w14:textId="77777777" w:rsidTr="00F032D3">
        <w:tc>
          <w:tcPr>
            <w:tcW w:w="276" w:type="dxa"/>
            <w:tcBorders>
              <w:left w:val="single" w:sz="4" w:space="0" w:color="156082" w:themeColor="accent1"/>
              <w:right w:val="nil"/>
            </w:tcBorders>
          </w:tcPr>
          <w:p w14:paraId="40574E17" w14:textId="77777777" w:rsidR="00074E84" w:rsidRPr="00EA2B2D" w:rsidRDefault="00074E84" w:rsidP="003A31ED">
            <w:pPr>
              <w:keepNext/>
              <w:keepLines/>
              <w:rPr>
                <w:sz w:val="20"/>
                <w:szCs w:val="20"/>
              </w:rPr>
            </w:pPr>
          </w:p>
        </w:tc>
        <w:tc>
          <w:tcPr>
            <w:tcW w:w="1420" w:type="dxa"/>
            <w:tcBorders>
              <w:left w:val="nil"/>
            </w:tcBorders>
          </w:tcPr>
          <w:p w14:paraId="705B9408" w14:textId="77777777" w:rsidR="00074E84" w:rsidRPr="00EA2B2D" w:rsidRDefault="00074E84" w:rsidP="003A31ED">
            <w:pPr>
              <w:keepNext/>
              <w:keepLines/>
              <w:rPr>
                <w:sz w:val="20"/>
                <w:szCs w:val="20"/>
              </w:rPr>
            </w:pPr>
            <w:r w:rsidRPr="00EA2B2D">
              <w:rPr>
                <w:sz w:val="20"/>
                <w:szCs w:val="20"/>
              </w:rPr>
              <w:t>5 yr</w:t>
            </w:r>
          </w:p>
        </w:tc>
        <w:tc>
          <w:tcPr>
            <w:tcW w:w="1843" w:type="dxa"/>
            <w:vMerge/>
            <w:vAlign w:val="center"/>
          </w:tcPr>
          <w:p w14:paraId="044AE248" w14:textId="77777777" w:rsidR="00074E84" w:rsidRPr="00EA2B2D" w:rsidRDefault="00074E84" w:rsidP="003A31ED">
            <w:pPr>
              <w:keepNext/>
              <w:keepLines/>
              <w:jc w:val="center"/>
              <w:rPr>
                <w:sz w:val="20"/>
                <w:szCs w:val="20"/>
              </w:rPr>
            </w:pPr>
          </w:p>
        </w:tc>
        <w:tc>
          <w:tcPr>
            <w:tcW w:w="1848" w:type="dxa"/>
            <w:vMerge/>
            <w:vAlign w:val="center"/>
          </w:tcPr>
          <w:p w14:paraId="47D7A2DF" w14:textId="77777777" w:rsidR="00074E84" w:rsidRPr="00EA2B2D" w:rsidRDefault="00074E84" w:rsidP="003A31ED">
            <w:pPr>
              <w:keepNext/>
              <w:keepLines/>
              <w:jc w:val="center"/>
              <w:rPr>
                <w:sz w:val="20"/>
                <w:szCs w:val="20"/>
              </w:rPr>
            </w:pPr>
          </w:p>
        </w:tc>
        <w:tc>
          <w:tcPr>
            <w:tcW w:w="1843" w:type="dxa"/>
            <w:vMerge/>
            <w:vAlign w:val="center"/>
          </w:tcPr>
          <w:p w14:paraId="36902020" w14:textId="77777777" w:rsidR="00074E84" w:rsidRPr="00EA2B2D" w:rsidRDefault="00074E84" w:rsidP="003A31ED">
            <w:pPr>
              <w:keepNext/>
              <w:keepLines/>
              <w:jc w:val="center"/>
              <w:rPr>
                <w:sz w:val="20"/>
                <w:szCs w:val="20"/>
              </w:rPr>
            </w:pPr>
          </w:p>
        </w:tc>
        <w:tc>
          <w:tcPr>
            <w:tcW w:w="1984" w:type="dxa"/>
            <w:vMerge/>
            <w:vAlign w:val="center"/>
          </w:tcPr>
          <w:p w14:paraId="522D40AB" w14:textId="77777777" w:rsidR="00074E84" w:rsidRPr="001546F4" w:rsidRDefault="00074E84" w:rsidP="003A31ED">
            <w:pPr>
              <w:keepNext/>
              <w:keepLines/>
              <w:jc w:val="center"/>
              <w:rPr>
                <w:color w:val="808080" w:themeColor="background1" w:themeShade="80"/>
                <w:sz w:val="20"/>
                <w:szCs w:val="20"/>
              </w:rPr>
            </w:pPr>
          </w:p>
        </w:tc>
        <w:tc>
          <w:tcPr>
            <w:tcW w:w="1842" w:type="dxa"/>
            <w:vMerge/>
            <w:vAlign w:val="center"/>
          </w:tcPr>
          <w:p w14:paraId="2D16C02E" w14:textId="77777777" w:rsidR="00074E84" w:rsidRPr="00EA2B2D" w:rsidRDefault="00074E84" w:rsidP="003A31ED">
            <w:pPr>
              <w:keepNext/>
              <w:keepLines/>
              <w:jc w:val="center"/>
              <w:rPr>
                <w:sz w:val="20"/>
                <w:szCs w:val="20"/>
              </w:rPr>
            </w:pPr>
          </w:p>
        </w:tc>
        <w:tc>
          <w:tcPr>
            <w:tcW w:w="2126" w:type="dxa"/>
            <w:vMerge/>
            <w:vAlign w:val="center"/>
          </w:tcPr>
          <w:p w14:paraId="5CD7794E" w14:textId="77777777" w:rsidR="00074E84" w:rsidRPr="00EA2B2D" w:rsidRDefault="00074E84" w:rsidP="003A31ED">
            <w:pPr>
              <w:keepNext/>
              <w:keepLines/>
              <w:jc w:val="center"/>
              <w:rPr>
                <w:sz w:val="20"/>
                <w:szCs w:val="20"/>
              </w:rPr>
            </w:pPr>
          </w:p>
        </w:tc>
      </w:tr>
      <w:tr w:rsidR="00074E84" w:rsidRPr="00EA2B2D" w14:paraId="34D3B33D" w14:textId="77777777" w:rsidTr="00F032D3">
        <w:tc>
          <w:tcPr>
            <w:tcW w:w="276" w:type="dxa"/>
            <w:tcBorders>
              <w:left w:val="single" w:sz="4" w:space="0" w:color="156082" w:themeColor="accent1"/>
              <w:right w:val="nil"/>
            </w:tcBorders>
          </w:tcPr>
          <w:p w14:paraId="58670E3C" w14:textId="77777777" w:rsidR="00074E84" w:rsidRPr="00EA2B2D" w:rsidRDefault="00074E84" w:rsidP="003A31ED">
            <w:pPr>
              <w:keepNext/>
              <w:keepLines/>
              <w:rPr>
                <w:sz w:val="20"/>
                <w:szCs w:val="20"/>
              </w:rPr>
            </w:pPr>
          </w:p>
        </w:tc>
        <w:tc>
          <w:tcPr>
            <w:tcW w:w="1420" w:type="dxa"/>
            <w:tcBorders>
              <w:left w:val="nil"/>
            </w:tcBorders>
          </w:tcPr>
          <w:p w14:paraId="0499EE2A" w14:textId="77777777" w:rsidR="00074E84" w:rsidRPr="00EA2B2D" w:rsidRDefault="00074E84" w:rsidP="003A31ED">
            <w:pPr>
              <w:keepNext/>
              <w:keepLines/>
              <w:rPr>
                <w:sz w:val="20"/>
                <w:szCs w:val="20"/>
              </w:rPr>
            </w:pPr>
            <w:r w:rsidRPr="00EA2B2D">
              <w:rPr>
                <w:sz w:val="20"/>
                <w:szCs w:val="20"/>
              </w:rPr>
              <w:t>6 yr</w:t>
            </w:r>
          </w:p>
        </w:tc>
        <w:tc>
          <w:tcPr>
            <w:tcW w:w="1843" w:type="dxa"/>
            <w:vMerge/>
            <w:vAlign w:val="center"/>
          </w:tcPr>
          <w:p w14:paraId="205276FC" w14:textId="77777777" w:rsidR="00074E84" w:rsidRPr="00EA2B2D" w:rsidRDefault="00074E84" w:rsidP="003A31ED">
            <w:pPr>
              <w:keepNext/>
              <w:keepLines/>
              <w:jc w:val="center"/>
              <w:rPr>
                <w:sz w:val="20"/>
                <w:szCs w:val="20"/>
              </w:rPr>
            </w:pPr>
          </w:p>
        </w:tc>
        <w:tc>
          <w:tcPr>
            <w:tcW w:w="1848" w:type="dxa"/>
            <w:vMerge/>
            <w:vAlign w:val="center"/>
          </w:tcPr>
          <w:p w14:paraId="16AB5E17" w14:textId="77777777" w:rsidR="00074E84" w:rsidRPr="00EA2B2D" w:rsidRDefault="00074E84" w:rsidP="003A31ED">
            <w:pPr>
              <w:keepNext/>
              <w:keepLines/>
              <w:jc w:val="center"/>
              <w:rPr>
                <w:sz w:val="20"/>
                <w:szCs w:val="20"/>
              </w:rPr>
            </w:pPr>
          </w:p>
        </w:tc>
        <w:tc>
          <w:tcPr>
            <w:tcW w:w="1843" w:type="dxa"/>
            <w:vMerge/>
            <w:vAlign w:val="center"/>
          </w:tcPr>
          <w:p w14:paraId="47456934" w14:textId="77777777" w:rsidR="00074E84" w:rsidRPr="00EA2B2D" w:rsidRDefault="00074E84" w:rsidP="003A31ED">
            <w:pPr>
              <w:keepNext/>
              <w:keepLines/>
              <w:jc w:val="center"/>
              <w:rPr>
                <w:sz w:val="20"/>
                <w:szCs w:val="20"/>
              </w:rPr>
            </w:pPr>
          </w:p>
        </w:tc>
        <w:tc>
          <w:tcPr>
            <w:tcW w:w="1984" w:type="dxa"/>
            <w:vMerge/>
            <w:vAlign w:val="center"/>
          </w:tcPr>
          <w:p w14:paraId="4CE1C95B" w14:textId="77777777" w:rsidR="00074E84" w:rsidRPr="001546F4" w:rsidRDefault="00074E84" w:rsidP="003A31ED">
            <w:pPr>
              <w:keepNext/>
              <w:keepLines/>
              <w:jc w:val="center"/>
              <w:rPr>
                <w:color w:val="808080" w:themeColor="background1" w:themeShade="80"/>
                <w:sz w:val="20"/>
                <w:szCs w:val="20"/>
              </w:rPr>
            </w:pPr>
          </w:p>
        </w:tc>
        <w:tc>
          <w:tcPr>
            <w:tcW w:w="1842" w:type="dxa"/>
            <w:vMerge/>
            <w:vAlign w:val="center"/>
          </w:tcPr>
          <w:p w14:paraId="0CF67D41" w14:textId="77777777" w:rsidR="00074E84" w:rsidRPr="00EA2B2D" w:rsidRDefault="00074E84" w:rsidP="003A31ED">
            <w:pPr>
              <w:keepNext/>
              <w:keepLines/>
              <w:jc w:val="center"/>
              <w:rPr>
                <w:sz w:val="20"/>
                <w:szCs w:val="20"/>
              </w:rPr>
            </w:pPr>
          </w:p>
        </w:tc>
        <w:tc>
          <w:tcPr>
            <w:tcW w:w="2126" w:type="dxa"/>
            <w:vMerge/>
            <w:vAlign w:val="center"/>
          </w:tcPr>
          <w:p w14:paraId="672FEE3E" w14:textId="77777777" w:rsidR="00074E84" w:rsidRPr="00EA2B2D" w:rsidRDefault="00074E84" w:rsidP="003A31ED">
            <w:pPr>
              <w:keepNext/>
              <w:keepLines/>
              <w:jc w:val="center"/>
              <w:rPr>
                <w:sz w:val="20"/>
                <w:szCs w:val="20"/>
              </w:rPr>
            </w:pPr>
          </w:p>
        </w:tc>
      </w:tr>
      <w:tr w:rsidR="00074E84" w:rsidRPr="00EA2B2D" w14:paraId="3AE419EC" w14:textId="77777777" w:rsidTr="00F032D3">
        <w:tc>
          <w:tcPr>
            <w:tcW w:w="276" w:type="dxa"/>
            <w:tcBorders>
              <w:left w:val="single" w:sz="4" w:space="0" w:color="156082" w:themeColor="accent1"/>
              <w:right w:val="nil"/>
            </w:tcBorders>
          </w:tcPr>
          <w:p w14:paraId="38900886" w14:textId="77777777" w:rsidR="00074E84" w:rsidRPr="00EA2B2D" w:rsidRDefault="00074E84" w:rsidP="003A31ED">
            <w:pPr>
              <w:keepNext/>
              <w:keepLines/>
              <w:rPr>
                <w:sz w:val="20"/>
                <w:szCs w:val="20"/>
              </w:rPr>
            </w:pPr>
          </w:p>
        </w:tc>
        <w:tc>
          <w:tcPr>
            <w:tcW w:w="1420" w:type="dxa"/>
            <w:tcBorders>
              <w:left w:val="nil"/>
            </w:tcBorders>
          </w:tcPr>
          <w:p w14:paraId="08A3BC99" w14:textId="77777777" w:rsidR="00074E84" w:rsidRPr="00EA2B2D" w:rsidRDefault="00074E84" w:rsidP="003A31ED">
            <w:pPr>
              <w:keepNext/>
              <w:keepLines/>
              <w:rPr>
                <w:sz w:val="20"/>
                <w:szCs w:val="20"/>
              </w:rPr>
            </w:pPr>
            <w:r w:rsidRPr="00EA2B2D">
              <w:rPr>
                <w:sz w:val="20"/>
                <w:szCs w:val="20"/>
              </w:rPr>
              <w:t>7 yr</w:t>
            </w:r>
          </w:p>
        </w:tc>
        <w:tc>
          <w:tcPr>
            <w:tcW w:w="1843" w:type="dxa"/>
            <w:vMerge/>
            <w:vAlign w:val="center"/>
          </w:tcPr>
          <w:p w14:paraId="0C86EABD" w14:textId="77777777" w:rsidR="00074E84" w:rsidRPr="00EA2B2D" w:rsidRDefault="00074E84" w:rsidP="003A31ED">
            <w:pPr>
              <w:keepNext/>
              <w:keepLines/>
              <w:jc w:val="center"/>
              <w:rPr>
                <w:sz w:val="20"/>
                <w:szCs w:val="20"/>
              </w:rPr>
            </w:pPr>
          </w:p>
        </w:tc>
        <w:tc>
          <w:tcPr>
            <w:tcW w:w="1848" w:type="dxa"/>
            <w:vMerge/>
            <w:vAlign w:val="center"/>
          </w:tcPr>
          <w:p w14:paraId="2EE80E22" w14:textId="77777777" w:rsidR="00074E84" w:rsidRPr="00EA2B2D" w:rsidRDefault="00074E84" w:rsidP="003A31ED">
            <w:pPr>
              <w:keepNext/>
              <w:keepLines/>
              <w:jc w:val="center"/>
              <w:rPr>
                <w:sz w:val="20"/>
                <w:szCs w:val="20"/>
              </w:rPr>
            </w:pPr>
          </w:p>
        </w:tc>
        <w:tc>
          <w:tcPr>
            <w:tcW w:w="1843" w:type="dxa"/>
            <w:vMerge/>
            <w:vAlign w:val="center"/>
          </w:tcPr>
          <w:p w14:paraId="1772EE0B" w14:textId="77777777" w:rsidR="00074E84" w:rsidRPr="00EA2B2D" w:rsidRDefault="00074E84" w:rsidP="003A31ED">
            <w:pPr>
              <w:keepNext/>
              <w:keepLines/>
              <w:jc w:val="center"/>
              <w:rPr>
                <w:sz w:val="20"/>
                <w:szCs w:val="20"/>
              </w:rPr>
            </w:pPr>
          </w:p>
        </w:tc>
        <w:tc>
          <w:tcPr>
            <w:tcW w:w="1984" w:type="dxa"/>
            <w:vMerge w:val="restart"/>
            <w:vAlign w:val="center"/>
          </w:tcPr>
          <w:p w14:paraId="2F22DE9C" w14:textId="77777777" w:rsidR="00074E84" w:rsidRPr="0050371D" w:rsidRDefault="00074E84" w:rsidP="003A31ED">
            <w:pPr>
              <w:keepNext/>
              <w:keepLines/>
              <w:jc w:val="center"/>
              <w:rPr>
                <w:color w:val="747474" w:themeColor="background2" w:themeShade="80"/>
                <w:sz w:val="20"/>
                <w:szCs w:val="20"/>
              </w:rPr>
            </w:pPr>
            <w:r w:rsidRPr="0050371D">
              <w:rPr>
                <w:color w:val="747474" w:themeColor="background2" w:themeShade="80"/>
                <w:sz w:val="20"/>
                <w:szCs w:val="20"/>
              </w:rPr>
              <w:t>1,700</w:t>
            </w:r>
          </w:p>
        </w:tc>
        <w:tc>
          <w:tcPr>
            <w:tcW w:w="1842" w:type="dxa"/>
            <w:vMerge/>
            <w:vAlign w:val="center"/>
          </w:tcPr>
          <w:p w14:paraId="67C2CC81" w14:textId="77777777" w:rsidR="00074E84" w:rsidRPr="00EA2B2D" w:rsidRDefault="00074E84" w:rsidP="003A31ED">
            <w:pPr>
              <w:keepNext/>
              <w:keepLines/>
              <w:jc w:val="center"/>
              <w:rPr>
                <w:sz w:val="20"/>
                <w:szCs w:val="20"/>
              </w:rPr>
            </w:pPr>
          </w:p>
        </w:tc>
        <w:tc>
          <w:tcPr>
            <w:tcW w:w="2126" w:type="dxa"/>
            <w:vMerge w:val="restart"/>
            <w:vAlign w:val="center"/>
          </w:tcPr>
          <w:p w14:paraId="372C55CB" w14:textId="77777777" w:rsidR="00074E84" w:rsidRPr="00EA2B2D" w:rsidRDefault="00074E84" w:rsidP="003A31ED">
            <w:pPr>
              <w:keepNext/>
              <w:keepLines/>
              <w:jc w:val="center"/>
              <w:rPr>
                <w:sz w:val="20"/>
                <w:szCs w:val="20"/>
              </w:rPr>
            </w:pPr>
            <w:r w:rsidRPr="00EA2B2D">
              <w:rPr>
                <w:sz w:val="20"/>
                <w:szCs w:val="20"/>
              </w:rPr>
              <w:t>750</w:t>
            </w:r>
          </w:p>
        </w:tc>
      </w:tr>
      <w:tr w:rsidR="00074E84" w:rsidRPr="00EA2B2D" w14:paraId="6FF2EC5E" w14:textId="77777777" w:rsidTr="00F032D3">
        <w:tc>
          <w:tcPr>
            <w:tcW w:w="276" w:type="dxa"/>
            <w:tcBorders>
              <w:left w:val="single" w:sz="4" w:space="0" w:color="156082" w:themeColor="accent1"/>
              <w:right w:val="nil"/>
            </w:tcBorders>
          </w:tcPr>
          <w:p w14:paraId="5BC35005" w14:textId="77777777" w:rsidR="00074E84" w:rsidRPr="00EA2B2D" w:rsidRDefault="00074E84" w:rsidP="003A31ED">
            <w:pPr>
              <w:keepNext/>
              <w:keepLines/>
              <w:rPr>
                <w:sz w:val="20"/>
                <w:szCs w:val="20"/>
              </w:rPr>
            </w:pPr>
          </w:p>
        </w:tc>
        <w:tc>
          <w:tcPr>
            <w:tcW w:w="1420" w:type="dxa"/>
            <w:tcBorders>
              <w:left w:val="nil"/>
            </w:tcBorders>
          </w:tcPr>
          <w:p w14:paraId="6EE1AF1F" w14:textId="77777777" w:rsidR="00074E84" w:rsidRPr="00EA2B2D" w:rsidRDefault="00074E84" w:rsidP="003A31ED">
            <w:pPr>
              <w:keepNext/>
              <w:keepLines/>
              <w:rPr>
                <w:sz w:val="20"/>
                <w:szCs w:val="20"/>
              </w:rPr>
            </w:pPr>
            <w:r w:rsidRPr="00EA2B2D">
              <w:rPr>
                <w:sz w:val="20"/>
                <w:szCs w:val="20"/>
              </w:rPr>
              <w:t>8 yr</w:t>
            </w:r>
          </w:p>
        </w:tc>
        <w:tc>
          <w:tcPr>
            <w:tcW w:w="1843" w:type="dxa"/>
            <w:vMerge/>
            <w:vAlign w:val="center"/>
          </w:tcPr>
          <w:p w14:paraId="63083A43" w14:textId="77777777" w:rsidR="00074E84" w:rsidRPr="00EA2B2D" w:rsidRDefault="00074E84" w:rsidP="003A31ED">
            <w:pPr>
              <w:keepNext/>
              <w:keepLines/>
              <w:jc w:val="center"/>
              <w:rPr>
                <w:sz w:val="20"/>
                <w:szCs w:val="20"/>
              </w:rPr>
            </w:pPr>
          </w:p>
        </w:tc>
        <w:tc>
          <w:tcPr>
            <w:tcW w:w="1848" w:type="dxa"/>
            <w:vMerge/>
            <w:vAlign w:val="center"/>
          </w:tcPr>
          <w:p w14:paraId="4DAFFBDF" w14:textId="77777777" w:rsidR="00074E84" w:rsidRPr="00EA2B2D" w:rsidRDefault="00074E84" w:rsidP="003A31ED">
            <w:pPr>
              <w:keepNext/>
              <w:keepLines/>
              <w:jc w:val="center"/>
              <w:rPr>
                <w:sz w:val="20"/>
                <w:szCs w:val="20"/>
              </w:rPr>
            </w:pPr>
          </w:p>
        </w:tc>
        <w:tc>
          <w:tcPr>
            <w:tcW w:w="1843" w:type="dxa"/>
            <w:vMerge/>
            <w:vAlign w:val="center"/>
          </w:tcPr>
          <w:p w14:paraId="735E8A8D" w14:textId="77777777" w:rsidR="00074E84" w:rsidRPr="00EA2B2D" w:rsidRDefault="00074E84" w:rsidP="003A31ED">
            <w:pPr>
              <w:keepNext/>
              <w:keepLines/>
              <w:jc w:val="center"/>
              <w:rPr>
                <w:sz w:val="20"/>
                <w:szCs w:val="20"/>
              </w:rPr>
            </w:pPr>
          </w:p>
        </w:tc>
        <w:tc>
          <w:tcPr>
            <w:tcW w:w="1984" w:type="dxa"/>
            <w:vMerge/>
            <w:vAlign w:val="center"/>
          </w:tcPr>
          <w:p w14:paraId="0CF63CAF" w14:textId="77777777" w:rsidR="00074E84" w:rsidRPr="001546F4" w:rsidRDefault="00074E84" w:rsidP="003A31ED">
            <w:pPr>
              <w:keepNext/>
              <w:keepLines/>
              <w:jc w:val="center"/>
              <w:rPr>
                <w:color w:val="808080" w:themeColor="background1" w:themeShade="80"/>
                <w:sz w:val="20"/>
                <w:szCs w:val="20"/>
              </w:rPr>
            </w:pPr>
          </w:p>
        </w:tc>
        <w:tc>
          <w:tcPr>
            <w:tcW w:w="1842" w:type="dxa"/>
            <w:vMerge/>
            <w:vAlign w:val="center"/>
          </w:tcPr>
          <w:p w14:paraId="5D82C9FB" w14:textId="77777777" w:rsidR="00074E84" w:rsidRPr="00EA2B2D" w:rsidRDefault="00074E84" w:rsidP="003A31ED">
            <w:pPr>
              <w:keepNext/>
              <w:keepLines/>
              <w:jc w:val="center"/>
              <w:rPr>
                <w:sz w:val="20"/>
                <w:szCs w:val="20"/>
              </w:rPr>
            </w:pPr>
          </w:p>
        </w:tc>
        <w:tc>
          <w:tcPr>
            <w:tcW w:w="2126" w:type="dxa"/>
            <w:vMerge/>
            <w:vAlign w:val="center"/>
          </w:tcPr>
          <w:p w14:paraId="7D8B9C2A" w14:textId="77777777" w:rsidR="00074E84" w:rsidRPr="00EA2B2D" w:rsidRDefault="00074E84" w:rsidP="003A31ED">
            <w:pPr>
              <w:keepNext/>
              <w:keepLines/>
              <w:jc w:val="center"/>
              <w:rPr>
                <w:sz w:val="20"/>
                <w:szCs w:val="20"/>
              </w:rPr>
            </w:pPr>
          </w:p>
        </w:tc>
      </w:tr>
      <w:tr w:rsidR="00074E84" w:rsidRPr="00EA2B2D" w14:paraId="439B95A8" w14:textId="77777777" w:rsidTr="00F032D3">
        <w:tc>
          <w:tcPr>
            <w:tcW w:w="276" w:type="dxa"/>
            <w:tcBorders>
              <w:left w:val="single" w:sz="4" w:space="0" w:color="156082" w:themeColor="accent1"/>
              <w:right w:val="nil"/>
            </w:tcBorders>
          </w:tcPr>
          <w:p w14:paraId="5562CEC1" w14:textId="77777777" w:rsidR="00074E84" w:rsidRPr="00EA2B2D" w:rsidRDefault="00074E84" w:rsidP="003A31ED">
            <w:pPr>
              <w:keepNext/>
              <w:keepLines/>
              <w:rPr>
                <w:sz w:val="20"/>
                <w:szCs w:val="20"/>
              </w:rPr>
            </w:pPr>
          </w:p>
        </w:tc>
        <w:tc>
          <w:tcPr>
            <w:tcW w:w="1420" w:type="dxa"/>
            <w:tcBorders>
              <w:left w:val="nil"/>
            </w:tcBorders>
          </w:tcPr>
          <w:p w14:paraId="4AA29EA6" w14:textId="77777777" w:rsidR="00074E84" w:rsidRPr="00EA2B2D" w:rsidRDefault="00074E84" w:rsidP="003A31ED">
            <w:pPr>
              <w:keepNext/>
              <w:keepLines/>
              <w:rPr>
                <w:sz w:val="20"/>
                <w:szCs w:val="20"/>
              </w:rPr>
            </w:pPr>
            <w:r w:rsidRPr="00EA2B2D">
              <w:rPr>
                <w:sz w:val="20"/>
                <w:szCs w:val="20"/>
              </w:rPr>
              <w:t>9 yr</w:t>
            </w:r>
          </w:p>
        </w:tc>
        <w:tc>
          <w:tcPr>
            <w:tcW w:w="1843" w:type="dxa"/>
            <w:vMerge w:val="restart"/>
            <w:vAlign w:val="center"/>
          </w:tcPr>
          <w:p w14:paraId="5BAD2CA8" w14:textId="77777777" w:rsidR="00074E84" w:rsidRPr="00EA2B2D" w:rsidRDefault="00074E84" w:rsidP="003A31ED">
            <w:pPr>
              <w:keepNext/>
              <w:keepLines/>
              <w:jc w:val="center"/>
              <w:rPr>
                <w:sz w:val="20"/>
                <w:szCs w:val="20"/>
              </w:rPr>
            </w:pPr>
            <w:r w:rsidRPr="00EA2B2D">
              <w:rPr>
                <w:sz w:val="20"/>
                <w:szCs w:val="20"/>
              </w:rPr>
              <w:t>800</w:t>
            </w:r>
          </w:p>
        </w:tc>
        <w:tc>
          <w:tcPr>
            <w:tcW w:w="1848" w:type="dxa"/>
            <w:vMerge w:val="restart"/>
            <w:vAlign w:val="center"/>
          </w:tcPr>
          <w:p w14:paraId="1D970785" w14:textId="77777777" w:rsidR="00074E84" w:rsidRPr="00EA2B2D" w:rsidRDefault="00074E84" w:rsidP="003A31ED">
            <w:pPr>
              <w:keepNext/>
              <w:keepLines/>
              <w:jc w:val="center"/>
              <w:rPr>
                <w:sz w:val="20"/>
                <w:szCs w:val="20"/>
              </w:rPr>
            </w:pPr>
            <w:r w:rsidRPr="00EA2B2D">
              <w:rPr>
                <w:sz w:val="20"/>
                <w:szCs w:val="20"/>
              </w:rPr>
              <w:t>400-800</w:t>
            </w:r>
          </w:p>
        </w:tc>
        <w:tc>
          <w:tcPr>
            <w:tcW w:w="1843" w:type="dxa"/>
            <w:vMerge w:val="restart"/>
            <w:vAlign w:val="center"/>
          </w:tcPr>
          <w:p w14:paraId="46082EAA" w14:textId="77777777" w:rsidR="00074E84" w:rsidRPr="00EA2B2D" w:rsidRDefault="00074E84" w:rsidP="003A31ED">
            <w:pPr>
              <w:keepNext/>
              <w:keepLines/>
              <w:jc w:val="center"/>
              <w:rPr>
                <w:sz w:val="20"/>
                <w:szCs w:val="20"/>
              </w:rPr>
            </w:pPr>
            <w:r w:rsidRPr="00EA2B2D">
              <w:rPr>
                <w:sz w:val="20"/>
                <w:szCs w:val="20"/>
              </w:rPr>
              <w:t>1,200</w:t>
            </w:r>
          </w:p>
        </w:tc>
        <w:tc>
          <w:tcPr>
            <w:tcW w:w="1984" w:type="dxa"/>
            <w:vMerge/>
            <w:vAlign w:val="center"/>
          </w:tcPr>
          <w:p w14:paraId="42F3162F" w14:textId="77777777" w:rsidR="00074E84" w:rsidRPr="001546F4" w:rsidRDefault="00074E84" w:rsidP="003A31ED">
            <w:pPr>
              <w:keepNext/>
              <w:keepLines/>
              <w:jc w:val="center"/>
              <w:rPr>
                <w:color w:val="808080" w:themeColor="background1" w:themeShade="80"/>
                <w:sz w:val="20"/>
                <w:szCs w:val="20"/>
              </w:rPr>
            </w:pPr>
          </w:p>
        </w:tc>
        <w:tc>
          <w:tcPr>
            <w:tcW w:w="1842" w:type="dxa"/>
            <w:vMerge/>
            <w:vAlign w:val="center"/>
          </w:tcPr>
          <w:p w14:paraId="02A6EE88" w14:textId="77777777" w:rsidR="00074E84" w:rsidRPr="00EA2B2D" w:rsidRDefault="00074E84" w:rsidP="003A31ED">
            <w:pPr>
              <w:keepNext/>
              <w:keepLines/>
              <w:jc w:val="center"/>
              <w:rPr>
                <w:sz w:val="20"/>
                <w:szCs w:val="20"/>
              </w:rPr>
            </w:pPr>
          </w:p>
        </w:tc>
        <w:tc>
          <w:tcPr>
            <w:tcW w:w="2126" w:type="dxa"/>
            <w:vMerge/>
            <w:vAlign w:val="center"/>
          </w:tcPr>
          <w:p w14:paraId="591988A2" w14:textId="77777777" w:rsidR="00074E84" w:rsidRPr="00EA2B2D" w:rsidRDefault="00074E84" w:rsidP="003A31ED">
            <w:pPr>
              <w:keepNext/>
              <w:keepLines/>
              <w:jc w:val="center"/>
              <w:rPr>
                <w:sz w:val="20"/>
                <w:szCs w:val="20"/>
              </w:rPr>
            </w:pPr>
          </w:p>
        </w:tc>
      </w:tr>
      <w:tr w:rsidR="00074E84" w:rsidRPr="00EA2B2D" w14:paraId="4A84ED48" w14:textId="77777777" w:rsidTr="00F032D3">
        <w:tc>
          <w:tcPr>
            <w:tcW w:w="276" w:type="dxa"/>
            <w:tcBorders>
              <w:left w:val="single" w:sz="4" w:space="0" w:color="156082" w:themeColor="accent1"/>
              <w:right w:val="nil"/>
            </w:tcBorders>
          </w:tcPr>
          <w:p w14:paraId="42C9209A" w14:textId="77777777" w:rsidR="00074E84" w:rsidRPr="00EA2B2D" w:rsidRDefault="00074E84" w:rsidP="003A31ED">
            <w:pPr>
              <w:keepNext/>
              <w:keepLines/>
              <w:rPr>
                <w:sz w:val="20"/>
                <w:szCs w:val="20"/>
              </w:rPr>
            </w:pPr>
          </w:p>
        </w:tc>
        <w:tc>
          <w:tcPr>
            <w:tcW w:w="1420" w:type="dxa"/>
            <w:tcBorders>
              <w:left w:val="nil"/>
            </w:tcBorders>
          </w:tcPr>
          <w:p w14:paraId="38F4943B" w14:textId="77777777" w:rsidR="00074E84" w:rsidRPr="00EA2B2D" w:rsidRDefault="00074E84" w:rsidP="003A31ED">
            <w:pPr>
              <w:keepNext/>
              <w:keepLines/>
              <w:rPr>
                <w:sz w:val="20"/>
                <w:szCs w:val="20"/>
              </w:rPr>
            </w:pPr>
            <w:r w:rsidRPr="00EA2B2D">
              <w:rPr>
                <w:sz w:val="20"/>
                <w:szCs w:val="20"/>
              </w:rPr>
              <w:t>10 yr</w:t>
            </w:r>
          </w:p>
        </w:tc>
        <w:tc>
          <w:tcPr>
            <w:tcW w:w="1843" w:type="dxa"/>
            <w:vMerge/>
            <w:vAlign w:val="center"/>
          </w:tcPr>
          <w:p w14:paraId="19E75E92" w14:textId="77777777" w:rsidR="00074E84" w:rsidRPr="00EA2B2D" w:rsidRDefault="00074E84" w:rsidP="003A31ED">
            <w:pPr>
              <w:keepNext/>
              <w:keepLines/>
              <w:jc w:val="center"/>
              <w:rPr>
                <w:sz w:val="20"/>
                <w:szCs w:val="20"/>
              </w:rPr>
            </w:pPr>
          </w:p>
        </w:tc>
        <w:tc>
          <w:tcPr>
            <w:tcW w:w="1848" w:type="dxa"/>
            <w:vMerge/>
            <w:vAlign w:val="center"/>
          </w:tcPr>
          <w:p w14:paraId="5C23D749" w14:textId="77777777" w:rsidR="00074E84" w:rsidRPr="00EA2B2D" w:rsidRDefault="00074E84" w:rsidP="003A31ED">
            <w:pPr>
              <w:keepNext/>
              <w:keepLines/>
              <w:jc w:val="center"/>
              <w:rPr>
                <w:sz w:val="20"/>
                <w:szCs w:val="20"/>
              </w:rPr>
            </w:pPr>
          </w:p>
        </w:tc>
        <w:tc>
          <w:tcPr>
            <w:tcW w:w="1843" w:type="dxa"/>
            <w:vMerge/>
            <w:vAlign w:val="center"/>
          </w:tcPr>
          <w:p w14:paraId="6606F9F6" w14:textId="77777777" w:rsidR="00074E84" w:rsidRPr="00EA2B2D" w:rsidRDefault="00074E84" w:rsidP="003A31ED">
            <w:pPr>
              <w:keepNext/>
              <w:keepLines/>
              <w:jc w:val="center"/>
              <w:rPr>
                <w:sz w:val="20"/>
                <w:szCs w:val="20"/>
              </w:rPr>
            </w:pPr>
          </w:p>
        </w:tc>
        <w:tc>
          <w:tcPr>
            <w:tcW w:w="1984" w:type="dxa"/>
            <w:vMerge/>
            <w:vAlign w:val="center"/>
          </w:tcPr>
          <w:p w14:paraId="34B04888" w14:textId="77777777" w:rsidR="00074E84" w:rsidRPr="001546F4" w:rsidRDefault="00074E84" w:rsidP="003A31ED">
            <w:pPr>
              <w:keepNext/>
              <w:keepLines/>
              <w:jc w:val="center"/>
              <w:rPr>
                <w:color w:val="808080" w:themeColor="background1" w:themeShade="80"/>
                <w:sz w:val="20"/>
                <w:szCs w:val="20"/>
              </w:rPr>
            </w:pPr>
          </w:p>
        </w:tc>
        <w:tc>
          <w:tcPr>
            <w:tcW w:w="1842" w:type="dxa"/>
            <w:vMerge/>
            <w:vAlign w:val="center"/>
          </w:tcPr>
          <w:p w14:paraId="69DB4E0A" w14:textId="77777777" w:rsidR="00074E84" w:rsidRPr="00EA2B2D" w:rsidRDefault="00074E84" w:rsidP="003A31ED">
            <w:pPr>
              <w:keepNext/>
              <w:keepLines/>
              <w:jc w:val="center"/>
              <w:rPr>
                <w:sz w:val="20"/>
                <w:szCs w:val="20"/>
              </w:rPr>
            </w:pPr>
          </w:p>
        </w:tc>
        <w:tc>
          <w:tcPr>
            <w:tcW w:w="2126" w:type="dxa"/>
            <w:vMerge w:val="restart"/>
            <w:vAlign w:val="center"/>
          </w:tcPr>
          <w:p w14:paraId="1D4DBE29" w14:textId="77777777" w:rsidR="00074E84" w:rsidRPr="00EA2B2D" w:rsidRDefault="00074E84" w:rsidP="003A31ED">
            <w:pPr>
              <w:keepNext/>
              <w:keepLines/>
              <w:jc w:val="center"/>
              <w:rPr>
                <w:sz w:val="20"/>
                <w:szCs w:val="20"/>
              </w:rPr>
            </w:pPr>
            <w:r w:rsidRPr="00EA2B2D">
              <w:rPr>
                <w:sz w:val="20"/>
                <w:szCs w:val="20"/>
              </w:rPr>
              <w:t>1,100</w:t>
            </w:r>
          </w:p>
        </w:tc>
      </w:tr>
      <w:tr w:rsidR="00074E84" w:rsidRPr="00EA2B2D" w14:paraId="0E7D90E0" w14:textId="77777777" w:rsidTr="00F032D3">
        <w:tc>
          <w:tcPr>
            <w:tcW w:w="276" w:type="dxa"/>
            <w:tcBorders>
              <w:left w:val="single" w:sz="4" w:space="0" w:color="156082" w:themeColor="accent1"/>
              <w:right w:val="nil"/>
            </w:tcBorders>
          </w:tcPr>
          <w:p w14:paraId="688FBA72" w14:textId="77777777" w:rsidR="00074E84" w:rsidRPr="00EA2B2D" w:rsidRDefault="00074E84" w:rsidP="003A31ED">
            <w:pPr>
              <w:keepNext/>
              <w:keepLines/>
              <w:rPr>
                <w:sz w:val="20"/>
                <w:szCs w:val="20"/>
              </w:rPr>
            </w:pPr>
          </w:p>
        </w:tc>
        <w:tc>
          <w:tcPr>
            <w:tcW w:w="1420" w:type="dxa"/>
            <w:tcBorders>
              <w:left w:val="nil"/>
            </w:tcBorders>
          </w:tcPr>
          <w:p w14:paraId="6CF098B4" w14:textId="77777777" w:rsidR="00074E84" w:rsidRPr="00EA2B2D" w:rsidRDefault="00074E84" w:rsidP="003A31ED">
            <w:pPr>
              <w:keepNext/>
              <w:keepLines/>
              <w:rPr>
                <w:sz w:val="20"/>
                <w:szCs w:val="20"/>
              </w:rPr>
            </w:pPr>
            <w:r w:rsidRPr="00EA2B2D">
              <w:rPr>
                <w:sz w:val="20"/>
                <w:szCs w:val="20"/>
              </w:rPr>
              <w:t>11 yr</w:t>
            </w:r>
          </w:p>
        </w:tc>
        <w:tc>
          <w:tcPr>
            <w:tcW w:w="1843" w:type="dxa"/>
            <w:vMerge/>
            <w:vAlign w:val="center"/>
          </w:tcPr>
          <w:p w14:paraId="651F23CE" w14:textId="77777777" w:rsidR="00074E84" w:rsidRPr="00EA2B2D" w:rsidRDefault="00074E84" w:rsidP="003A31ED">
            <w:pPr>
              <w:keepNext/>
              <w:keepLines/>
              <w:jc w:val="center"/>
              <w:rPr>
                <w:sz w:val="20"/>
                <w:szCs w:val="20"/>
              </w:rPr>
            </w:pPr>
          </w:p>
        </w:tc>
        <w:tc>
          <w:tcPr>
            <w:tcW w:w="1848" w:type="dxa"/>
            <w:vMerge/>
            <w:vAlign w:val="center"/>
          </w:tcPr>
          <w:p w14:paraId="76AD7DC2" w14:textId="77777777" w:rsidR="00074E84" w:rsidRPr="00EA2B2D" w:rsidRDefault="00074E84" w:rsidP="003A31ED">
            <w:pPr>
              <w:keepNext/>
              <w:keepLines/>
              <w:jc w:val="center"/>
              <w:rPr>
                <w:sz w:val="20"/>
                <w:szCs w:val="20"/>
              </w:rPr>
            </w:pPr>
          </w:p>
        </w:tc>
        <w:tc>
          <w:tcPr>
            <w:tcW w:w="1843" w:type="dxa"/>
            <w:vMerge/>
            <w:vAlign w:val="center"/>
          </w:tcPr>
          <w:p w14:paraId="78BE7934" w14:textId="77777777" w:rsidR="00074E84" w:rsidRPr="00EA2B2D" w:rsidRDefault="00074E84" w:rsidP="003A31ED">
            <w:pPr>
              <w:keepNext/>
              <w:keepLines/>
              <w:jc w:val="center"/>
              <w:rPr>
                <w:sz w:val="20"/>
                <w:szCs w:val="20"/>
              </w:rPr>
            </w:pPr>
          </w:p>
        </w:tc>
        <w:tc>
          <w:tcPr>
            <w:tcW w:w="1984" w:type="dxa"/>
            <w:vMerge w:val="restart"/>
            <w:vAlign w:val="center"/>
          </w:tcPr>
          <w:p w14:paraId="3E3CB84D" w14:textId="77777777" w:rsidR="00074E84" w:rsidRPr="0050371D" w:rsidRDefault="00074E84" w:rsidP="003A31ED">
            <w:pPr>
              <w:keepNext/>
              <w:keepLines/>
              <w:jc w:val="center"/>
              <w:rPr>
                <w:color w:val="747474" w:themeColor="background2" w:themeShade="80"/>
                <w:sz w:val="20"/>
                <w:szCs w:val="20"/>
              </w:rPr>
            </w:pPr>
            <w:r w:rsidRPr="0050371D">
              <w:rPr>
                <w:color w:val="747474" w:themeColor="background2" w:themeShade="80"/>
                <w:sz w:val="20"/>
                <w:szCs w:val="20"/>
              </w:rPr>
              <w:t>2,000</w:t>
            </w:r>
          </w:p>
        </w:tc>
        <w:tc>
          <w:tcPr>
            <w:tcW w:w="1842" w:type="dxa"/>
            <w:vMerge/>
            <w:vAlign w:val="center"/>
          </w:tcPr>
          <w:p w14:paraId="3A7737EB" w14:textId="77777777" w:rsidR="00074E84" w:rsidRPr="00EA2B2D" w:rsidRDefault="00074E84" w:rsidP="003A31ED">
            <w:pPr>
              <w:keepNext/>
              <w:keepLines/>
              <w:jc w:val="center"/>
              <w:rPr>
                <w:sz w:val="20"/>
                <w:szCs w:val="20"/>
              </w:rPr>
            </w:pPr>
          </w:p>
        </w:tc>
        <w:tc>
          <w:tcPr>
            <w:tcW w:w="2126" w:type="dxa"/>
            <w:vMerge/>
            <w:vAlign w:val="center"/>
          </w:tcPr>
          <w:p w14:paraId="0AA8F2F6" w14:textId="77777777" w:rsidR="00074E84" w:rsidRPr="00EA2B2D" w:rsidRDefault="00074E84" w:rsidP="003A31ED">
            <w:pPr>
              <w:keepNext/>
              <w:keepLines/>
              <w:jc w:val="center"/>
              <w:rPr>
                <w:sz w:val="20"/>
                <w:szCs w:val="20"/>
              </w:rPr>
            </w:pPr>
          </w:p>
        </w:tc>
      </w:tr>
      <w:tr w:rsidR="00074E84" w:rsidRPr="00EA2B2D" w14:paraId="21377420" w14:textId="77777777" w:rsidTr="00F032D3">
        <w:tc>
          <w:tcPr>
            <w:tcW w:w="276" w:type="dxa"/>
            <w:tcBorders>
              <w:left w:val="single" w:sz="4" w:space="0" w:color="156082" w:themeColor="accent1"/>
              <w:right w:val="nil"/>
            </w:tcBorders>
          </w:tcPr>
          <w:p w14:paraId="022B9C1F" w14:textId="77777777" w:rsidR="00074E84" w:rsidRPr="00EA2B2D" w:rsidRDefault="00074E84" w:rsidP="003A31ED">
            <w:pPr>
              <w:keepNext/>
              <w:keepLines/>
              <w:rPr>
                <w:sz w:val="20"/>
                <w:szCs w:val="20"/>
              </w:rPr>
            </w:pPr>
          </w:p>
        </w:tc>
        <w:tc>
          <w:tcPr>
            <w:tcW w:w="1420" w:type="dxa"/>
            <w:tcBorders>
              <w:left w:val="nil"/>
            </w:tcBorders>
          </w:tcPr>
          <w:p w14:paraId="5E111452" w14:textId="77777777" w:rsidR="00074E84" w:rsidRPr="00EA2B2D" w:rsidRDefault="00074E84" w:rsidP="003A31ED">
            <w:pPr>
              <w:keepNext/>
              <w:keepLines/>
              <w:rPr>
                <w:sz w:val="20"/>
                <w:szCs w:val="20"/>
              </w:rPr>
            </w:pPr>
            <w:r w:rsidRPr="00EA2B2D">
              <w:rPr>
                <w:sz w:val="20"/>
                <w:szCs w:val="20"/>
              </w:rPr>
              <w:t>12 yr</w:t>
            </w:r>
          </w:p>
        </w:tc>
        <w:tc>
          <w:tcPr>
            <w:tcW w:w="1843" w:type="dxa"/>
            <w:vMerge/>
            <w:vAlign w:val="center"/>
          </w:tcPr>
          <w:p w14:paraId="50457D6F" w14:textId="77777777" w:rsidR="00074E84" w:rsidRPr="00EA2B2D" w:rsidRDefault="00074E84" w:rsidP="003A31ED">
            <w:pPr>
              <w:keepNext/>
              <w:keepLines/>
              <w:jc w:val="center"/>
              <w:rPr>
                <w:sz w:val="20"/>
                <w:szCs w:val="20"/>
              </w:rPr>
            </w:pPr>
          </w:p>
        </w:tc>
        <w:tc>
          <w:tcPr>
            <w:tcW w:w="1848" w:type="dxa"/>
            <w:vMerge/>
            <w:vAlign w:val="center"/>
          </w:tcPr>
          <w:p w14:paraId="14E9EE88" w14:textId="77777777" w:rsidR="00074E84" w:rsidRPr="00EA2B2D" w:rsidRDefault="00074E84" w:rsidP="003A31ED">
            <w:pPr>
              <w:keepNext/>
              <w:keepLines/>
              <w:jc w:val="center"/>
              <w:rPr>
                <w:sz w:val="20"/>
                <w:szCs w:val="20"/>
              </w:rPr>
            </w:pPr>
          </w:p>
        </w:tc>
        <w:tc>
          <w:tcPr>
            <w:tcW w:w="1843" w:type="dxa"/>
            <w:vMerge/>
            <w:vAlign w:val="center"/>
          </w:tcPr>
          <w:p w14:paraId="6D709DC3" w14:textId="77777777" w:rsidR="00074E84" w:rsidRPr="00EA2B2D" w:rsidRDefault="00074E84" w:rsidP="003A31ED">
            <w:pPr>
              <w:keepNext/>
              <w:keepLines/>
              <w:jc w:val="center"/>
              <w:rPr>
                <w:sz w:val="20"/>
                <w:szCs w:val="20"/>
              </w:rPr>
            </w:pPr>
          </w:p>
        </w:tc>
        <w:tc>
          <w:tcPr>
            <w:tcW w:w="1984" w:type="dxa"/>
            <w:vMerge/>
            <w:vAlign w:val="center"/>
          </w:tcPr>
          <w:p w14:paraId="14613130" w14:textId="77777777" w:rsidR="00074E84" w:rsidRPr="00EA2B2D" w:rsidRDefault="00074E84" w:rsidP="003A31ED">
            <w:pPr>
              <w:keepNext/>
              <w:keepLines/>
              <w:jc w:val="center"/>
              <w:rPr>
                <w:sz w:val="20"/>
                <w:szCs w:val="20"/>
              </w:rPr>
            </w:pPr>
          </w:p>
        </w:tc>
        <w:tc>
          <w:tcPr>
            <w:tcW w:w="1842" w:type="dxa"/>
            <w:vMerge/>
            <w:vAlign w:val="center"/>
          </w:tcPr>
          <w:p w14:paraId="6FA8AEEA" w14:textId="77777777" w:rsidR="00074E84" w:rsidRPr="00EA2B2D" w:rsidRDefault="00074E84" w:rsidP="003A31ED">
            <w:pPr>
              <w:keepNext/>
              <w:keepLines/>
              <w:jc w:val="center"/>
              <w:rPr>
                <w:sz w:val="20"/>
                <w:szCs w:val="20"/>
              </w:rPr>
            </w:pPr>
          </w:p>
        </w:tc>
        <w:tc>
          <w:tcPr>
            <w:tcW w:w="2126" w:type="dxa"/>
            <w:vMerge/>
            <w:vAlign w:val="center"/>
          </w:tcPr>
          <w:p w14:paraId="354B34DB" w14:textId="77777777" w:rsidR="00074E84" w:rsidRPr="00EA2B2D" w:rsidRDefault="00074E84" w:rsidP="003A31ED">
            <w:pPr>
              <w:keepNext/>
              <w:keepLines/>
              <w:jc w:val="center"/>
              <w:rPr>
                <w:sz w:val="20"/>
                <w:szCs w:val="20"/>
              </w:rPr>
            </w:pPr>
          </w:p>
        </w:tc>
      </w:tr>
      <w:tr w:rsidR="00074E84" w:rsidRPr="00EA2B2D" w14:paraId="52BF2C6E" w14:textId="77777777" w:rsidTr="00F032D3">
        <w:tc>
          <w:tcPr>
            <w:tcW w:w="276" w:type="dxa"/>
            <w:tcBorders>
              <w:left w:val="single" w:sz="4" w:space="0" w:color="156082" w:themeColor="accent1"/>
              <w:right w:val="nil"/>
            </w:tcBorders>
          </w:tcPr>
          <w:p w14:paraId="676EBCCD" w14:textId="77777777" w:rsidR="00074E84" w:rsidRPr="00EA2B2D" w:rsidRDefault="00074E84" w:rsidP="003A31ED">
            <w:pPr>
              <w:keepNext/>
              <w:keepLines/>
              <w:rPr>
                <w:sz w:val="20"/>
                <w:szCs w:val="20"/>
              </w:rPr>
            </w:pPr>
          </w:p>
        </w:tc>
        <w:tc>
          <w:tcPr>
            <w:tcW w:w="1420" w:type="dxa"/>
            <w:tcBorders>
              <w:left w:val="nil"/>
            </w:tcBorders>
          </w:tcPr>
          <w:p w14:paraId="1E4DE1C3" w14:textId="77777777" w:rsidR="00074E84" w:rsidRPr="00EA2B2D" w:rsidRDefault="00074E84" w:rsidP="003A31ED">
            <w:pPr>
              <w:keepNext/>
              <w:keepLines/>
              <w:rPr>
                <w:sz w:val="20"/>
                <w:szCs w:val="20"/>
              </w:rPr>
            </w:pPr>
            <w:r w:rsidRPr="00EA2B2D">
              <w:rPr>
                <w:sz w:val="20"/>
                <w:szCs w:val="20"/>
              </w:rPr>
              <w:t>13 yr</w:t>
            </w:r>
          </w:p>
        </w:tc>
        <w:tc>
          <w:tcPr>
            <w:tcW w:w="1843" w:type="dxa"/>
            <w:vMerge/>
            <w:vAlign w:val="center"/>
          </w:tcPr>
          <w:p w14:paraId="2CDAAEC9" w14:textId="77777777" w:rsidR="00074E84" w:rsidRPr="00EA2B2D" w:rsidRDefault="00074E84" w:rsidP="003A31ED">
            <w:pPr>
              <w:keepNext/>
              <w:keepLines/>
              <w:jc w:val="center"/>
              <w:rPr>
                <w:sz w:val="20"/>
                <w:szCs w:val="20"/>
              </w:rPr>
            </w:pPr>
          </w:p>
        </w:tc>
        <w:tc>
          <w:tcPr>
            <w:tcW w:w="1848" w:type="dxa"/>
            <w:vMerge/>
            <w:vAlign w:val="center"/>
          </w:tcPr>
          <w:p w14:paraId="5C7030A8" w14:textId="77777777" w:rsidR="00074E84" w:rsidRPr="00EA2B2D" w:rsidRDefault="00074E84" w:rsidP="003A31ED">
            <w:pPr>
              <w:keepNext/>
              <w:keepLines/>
              <w:jc w:val="center"/>
              <w:rPr>
                <w:sz w:val="20"/>
                <w:szCs w:val="20"/>
              </w:rPr>
            </w:pPr>
          </w:p>
        </w:tc>
        <w:tc>
          <w:tcPr>
            <w:tcW w:w="1843" w:type="dxa"/>
            <w:vMerge/>
            <w:vAlign w:val="center"/>
          </w:tcPr>
          <w:p w14:paraId="57077C7D" w14:textId="77777777" w:rsidR="00074E84" w:rsidRPr="00EA2B2D" w:rsidRDefault="00074E84" w:rsidP="003A31ED">
            <w:pPr>
              <w:keepNext/>
              <w:keepLines/>
              <w:jc w:val="center"/>
              <w:rPr>
                <w:sz w:val="20"/>
                <w:szCs w:val="20"/>
              </w:rPr>
            </w:pPr>
          </w:p>
        </w:tc>
        <w:tc>
          <w:tcPr>
            <w:tcW w:w="1984" w:type="dxa"/>
            <w:vMerge/>
            <w:vAlign w:val="center"/>
          </w:tcPr>
          <w:p w14:paraId="553FB0FC" w14:textId="77777777" w:rsidR="00074E84" w:rsidRPr="00EA2B2D" w:rsidRDefault="00074E84" w:rsidP="003A31ED">
            <w:pPr>
              <w:keepNext/>
              <w:keepLines/>
              <w:jc w:val="center"/>
              <w:rPr>
                <w:sz w:val="20"/>
                <w:szCs w:val="20"/>
              </w:rPr>
            </w:pPr>
          </w:p>
        </w:tc>
        <w:tc>
          <w:tcPr>
            <w:tcW w:w="1842" w:type="dxa"/>
            <w:vMerge/>
            <w:vAlign w:val="center"/>
          </w:tcPr>
          <w:p w14:paraId="07758AC4" w14:textId="77777777" w:rsidR="00074E84" w:rsidRPr="00EA2B2D" w:rsidRDefault="00074E84" w:rsidP="003A31ED">
            <w:pPr>
              <w:keepNext/>
              <w:keepLines/>
              <w:jc w:val="center"/>
              <w:rPr>
                <w:sz w:val="20"/>
                <w:szCs w:val="20"/>
              </w:rPr>
            </w:pPr>
          </w:p>
        </w:tc>
        <w:tc>
          <w:tcPr>
            <w:tcW w:w="2126" w:type="dxa"/>
            <w:vMerge w:val="restart"/>
            <w:vAlign w:val="center"/>
          </w:tcPr>
          <w:p w14:paraId="4359452A" w14:textId="77777777" w:rsidR="00074E84" w:rsidRPr="00EA2B2D" w:rsidRDefault="00074E84" w:rsidP="003A31ED">
            <w:pPr>
              <w:keepNext/>
              <w:keepLines/>
              <w:jc w:val="center"/>
              <w:rPr>
                <w:sz w:val="20"/>
                <w:szCs w:val="20"/>
              </w:rPr>
            </w:pPr>
            <w:r w:rsidRPr="00EA2B2D">
              <w:rPr>
                <w:sz w:val="20"/>
                <w:szCs w:val="20"/>
              </w:rPr>
              <w:t>1,400</w:t>
            </w:r>
          </w:p>
        </w:tc>
      </w:tr>
      <w:tr w:rsidR="00074E84" w:rsidRPr="00EA2B2D" w14:paraId="13398C80" w14:textId="77777777" w:rsidTr="00F032D3">
        <w:tc>
          <w:tcPr>
            <w:tcW w:w="276" w:type="dxa"/>
            <w:tcBorders>
              <w:left w:val="single" w:sz="4" w:space="0" w:color="156082" w:themeColor="accent1"/>
              <w:right w:val="nil"/>
            </w:tcBorders>
          </w:tcPr>
          <w:p w14:paraId="0B185F71" w14:textId="77777777" w:rsidR="00074E84" w:rsidRPr="00EA2B2D" w:rsidRDefault="00074E84" w:rsidP="003A31ED">
            <w:pPr>
              <w:keepNext/>
              <w:keepLines/>
              <w:rPr>
                <w:sz w:val="20"/>
                <w:szCs w:val="20"/>
              </w:rPr>
            </w:pPr>
          </w:p>
        </w:tc>
        <w:tc>
          <w:tcPr>
            <w:tcW w:w="1420" w:type="dxa"/>
            <w:tcBorders>
              <w:left w:val="nil"/>
            </w:tcBorders>
          </w:tcPr>
          <w:p w14:paraId="41121F9C" w14:textId="77777777" w:rsidR="00074E84" w:rsidRPr="00EA2B2D" w:rsidRDefault="00074E84" w:rsidP="003A31ED">
            <w:pPr>
              <w:keepNext/>
              <w:keepLines/>
              <w:rPr>
                <w:sz w:val="20"/>
                <w:szCs w:val="20"/>
              </w:rPr>
            </w:pPr>
            <w:r w:rsidRPr="00EA2B2D">
              <w:rPr>
                <w:sz w:val="20"/>
                <w:szCs w:val="20"/>
              </w:rPr>
              <w:t>14 yr</w:t>
            </w:r>
          </w:p>
        </w:tc>
        <w:tc>
          <w:tcPr>
            <w:tcW w:w="1843" w:type="dxa"/>
            <w:vMerge w:val="restart"/>
            <w:vAlign w:val="center"/>
          </w:tcPr>
          <w:p w14:paraId="6F5367EE" w14:textId="77777777" w:rsidR="00074E84" w:rsidRPr="00EA2B2D" w:rsidRDefault="00074E84" w:rsidP="003A31ED">
            <w:pPr>
              <w:keepNext/>
              <w:keepLines/>
              <w:jc w:val="center"/>
              <w:rPr>
                <w:sz w:val="20"/>
                <w:szCs w:val="20"/>
              </w:rPr>
            </w:pPr>
            <w:r w:rsidRPr="00EA2B2D">
              <w:rPr>
                <w:sz w:val="20"/>
                <w:szCs w:val="20"/>
              </w:rPr>
              <w:t>920</w:t>
            </w:r>
          </w:p>
        </w:tc>
        <w:tc>
          <w:tcPr>
            <w:tcW w:w="1848" w:type="dxa"/>
            <w:vMerge w:val="restart"/>
            <w:vAlign w:val="center"/>
          </w:tcPr>
          <w:p w14:paraId="6DC70181" w14:textId="77777777" w:rsidR="00074E84" w:rsidRPr="00EA2B2D" w:rsidRDefault="00074E84" w:rsidP="003A31ED">
            <w:pPr>
              <w:keepNext/>
              <w:keepLines/>
              <w:jc w:val="center"/>
              <w:rPr>
                <w:sz w:val="20"/>
                <w:szCs w:val="20"/>
              </w:rPr>
            </w:pPr>
            <w:r w:rsidRPr="00EA2B2D">
              <w:rPr>
                <w:sz w:val="20"/>
                <w:szCs w:val="20"/>
              </w:rPr>
              <w:t>460-920</w:t>
            </w:r>
          </w:p>
        </w:tc>
        <w:tc>
          <w:tcPr>
            <w:tcW w:w="1843" w:type="dxa"/>
            <w:vMerge w:val="restart"/>
            <w:vAlign w:val="center"/>
          </w:tcPr>
          <w:p w14:paraId="0691AF5F" w14:textId="77777777" w:rsidR="00074E84" w:rsidRPr="00EA2B2D" w:rsidRDefault="00074E84" w:rsidP="003A31ED">
            <w:pPr>
              <w:keepNext/>
              <w:keepLines/>
              <w:jc w:val="center"/>
              <w:rPr>
                <w:sz w:val="20"/>
                <w:szCs w:val="20"/>
              </w:rPr>
            </w:pPr>
            <w:r w:rsidRPr="00EA2B2D">
              <w:rPr>
                <w:sz w:val="20"/>
                <w:szCs w:val="20"/>
              </w:rPr>
              <w:t>1,500</w:t>
            </w:r>
          </w:p>
        </w:tc>
        <w:tc>
          <w:tcPr>
            <w:tcW w:w="1984" w:type="dxa"/>
            <w:vMerge/>
            <w:vAlign w:val="center"/>
          </w:tcPr>
          <w:p w14:paraId="1E018C95" w14:textId="77777777" w:rsidR="00074E84" w:rsidRPr="00EA2B2D" w:rsidRDefault="00074E84" w:rsidP="003A31ED">
            <w:pPr>
              <w:keepNext/>
              <w:keepLines/>
              <w:jc w:val="center"/>
              <w:rPr>
                <w:sz w:val="20"/>
                <w:szCs w:val="20"/>
              </w:rPr>
            </w:pPr>
          </w:p>
        </w:tc>
        <w:tc>
          <w:tcPr>
            <w:tcW w:w="1842" w:type="dxa"/>
            <w:vMerge/>
            <w:vAlign w:val="center"/>
          </w:tcPr>
          <w:p w14:paraId="3C7AE507" w14:textId="77777777" w:rsidR="00074E84" w:rsidRPr="00EA2B2D" w:rsidRDefault="00074E84" w:rsidP="003A31ED">
            <w:pPr>
              <w:keepNext/>
              <w:keepLines/>
              <w:jc w:val="center"/>
              <w:rPr>
                <w:sz w:val="20"/>
                <w:szCs w:val="20"/>
              </w:rPr>
            </w:pPr>
          </w:p>
        </w:tc>
        <w:tc>
          <w:tcPr>
            <w:tcW w:w="2126" w:type="dxa"/>
            <w:vMerge/>
            <w:vAlign w:val="center"/>
          </w:tcPr>
          <w:p w14:paraId="51B12086" w14:textId="77777777" w:rsidR="00074E84" w:rsidRPr="00EA2B2D" w:rsidRDefault="00074E84" w:rsidP="003A31ED">
            <w:pPr>
              <w:keepNext/>
              <w:keepLines/>
              <w:jc w:val="center"/>
              <w:rPr>
                <w:sz w:val="20"/>
                <w:szCs w:val="20"/>
              </w:rPr>
            </w:pPr>
          </w:p>
        </w:tc>
      </w:tr>
      <w:tr w:rsidR="00074E84" w:rsidRPr="00EA2B2D" w14:paraId="72AD268F" w14:textId="77777777" w:rsidTr="00F032D3">
        <w:tc>
          <w:tcPr>
            <w:tcW w:w="276" w:type="dxa"/>
            <w:tcBorders>
              <w:left w:val="single" w:sz="4" w:space="0" w:color="156082" w:themeColor="accent1"/>
              <w:right w:val="nil"/>
            </w:tcBorders>
          </w:tcPr>
          <w:p w14:paraId="21CFB97B" w14:textId="77777777" w:rsidR="00074E84" w:rsidRPr="00EA2B2D" w:rsidRDefault="00074E84" w:rsidP="003A31ED">
            <w:pPr>
              <w:keepNext/>
              <w:keepLines/>
              <w:rPr>
                <w:sz w:val="20"/>
                <w:szCs w:val="20"/>
              </w:rPr>
            </w:pPr>
          </w:p>
        </w:tc>
        <w:tc>
          <w:tcPr>
            <w:tcW w:w="1420" w:type="dxa"/>
            <w:tcBorders>
              <w:left w:val="nil"/>
            </w:tcBorders>
          </w:tcPr>
          <w:p w14:paraId="390B7941" w14:textId="77777777" w:rsidR="00074E84" w:rsidRPr="00EA2B2D" w:rsidRDefault="00074E84" w:rsidP="003A31ED">
            <w:pPr>
              <w:keepNext/>
              <w:keepLines/>
              <w:rPr>
                <w:sz w:val="20"/>
                <w:szCs w:val="20"/>
              </w:rPr>
            </w:pPr>
            <w:r w:rsidRPr="00EA2B2D">
              <w:rPr>
                <w:sz w:val="20"/>
                <w:szCs w:val="20"/>
              </w:rPr>
              <w:t>15 yr</w:t>
            </w:r>
          </w:p>
        </w:tc>
        <w:tc>
          <w:tcPr>
            <w:tcW w:w="1843" w:type="dxa"/>
            <w:vMerge/>
            <w:vAlign w:val="center"/>
          </w:tcPr>
          <w:p w14:paraId="083776BA" w14:textId="77777777" w:rsidR="00074E84" w:rsidRPr="00EA2B2D" w:rsidRDefault="00074E84" w:rsidP="003A31ED">
            <w:pPr>
              <w:keepNext/>
              <w:keepLines/>
              <w:jc w:val="center"/>
              <w:rPr>
                <w:sz w:val="20"/>
                <w:szCs w:val="20"/>
              </w:rPr>
            </w:pPr>
          </w:p>
        </w:tc>
        <w:tc>
          <w:tcPr>
            <w:tcW w:w="1848" w:type="dxa"/>
            <w:vMerge/>
            <w:vAlign w:val="center"/>
          </w:tcPr>
          <w:p w14:paraId="52D27551" w14:textId="77777777" w:rsidR="00074E84" w:rsidRPr="00EA2B2D" w:rsidRDefault="00074E84" w:rsidP="003A31ED">
            <w:pPr>
              <w:keepNext/>
              <w:keepLines/>
              <w:jc w:val="center"/>
              <w:rPr>
                <w:sz w:val="20"/>
                <w:szCs w:val="20"/>
              </w:rPr>
            </w:pPr>
          </w:p>
        </w:tc>
        <w:tc>
          <w:tcPr>
            <w:tcW w:w="1843" w:type="dxa"/>
            <w:vMerge/>
            <w:vAlign w:val="center"/>
          </w:tcPr>
          <w:p w14:paraId="6EEB83A8" w14:textId="77777777" w:rsidR="00074E84" w:rsidRPr="00EA2B2D" w:rsidRDefault="00074E84" w:rsidP="003A31ED">
            <w:pPr>
              <w:keepNext/>
              <w:keepLines/>
              <w:jc w:val="center"/>
              <w:rPr>
                <w:sz w:val="20"/>
                <w:szCs w:val="20"/>
              </w:rPr>
            </w:pPr>
          </w:p>
        </w:tc>
        <w:tc>
          <w:tcPr>
            <w:tcW w:w="1984" w:type="dxa"/>
            <w:vMerge/>
            <w:vAlign w:val="center"/>
          </w:tcPr>
          <w:p w14:paraId="5C26BF10" w14:textId="77777777" w:rsidR="00074E84" w:rsidRPr="00EA2B2D" w:rsidRDefault="00074E84" w:rsidP="003A31ED">
            <w:pPr>
              <w:keepNext/>
              <w:keepLines/>
              <w:jc w:val="center"/>
              <w:rPr>
                <w:sz w:val="20"/>
                <w:szCs w:val="20"/>
              </w:rPr>
            </w:pPr>
          </w:p>
        </w:tc>
        <w:tc>
          <w:tcPr>
            <w:tcW w:w="1842" w:type="dxa"/>
            <w:vMerge/>
            <w:vAlign w:val="center"/>
          </w:tcPr>
          <w:p w14:paraId="557CAC8B" w14:textId="77777777" w:rsidR="00074E84" w:rsidRPr="00EA2B2D" w:rsidRDefault="00074E84" w:rsidP="003A31ED">
            <w:pPr>
              <w:keepNext/>
              <w:keepLines/>
              <w:jc w:val="center"/>
              <w:rPr>
                <w:sz w:val="20"/>
                <w:szCs w:val="20"/>
              </w:rPr>
            </w:pPr>
          </w:p>
        </w:tc>
        <w:tc>
          <w:tcPr>
            <w:tcW w:w="2126" w:type="dxa"/>
            <w:vMerge w:val="restart"/>
            <w:vAlign w:val="center"/>
          </w:tcPr>
          <w:p w14:paraId="2AF42145" w14:textId="77777777" w:rsidR="00074E84" w:rsidRPr="00EA2B2D" w:rsidRDefault="00074E84" w:rsidP="003A31ED">
            <w:pPr>
              <w:keepNext/>
              <w:keepLines/>
              <w:jc w:val="center"/>
              <w:rPr>
                <w:sz w:val="20"/>
                <w:szCs w:val="20"/>
              </w:rPr>
            </w:pPr>
            <w:r w:rsidRPr="00EA2B2D">
              <w:rPr>
                <w:sz w:val="20"/>
                <w:szCs w:val="20"/>
              </w:rPr>
              <w:t>1,500^</w:t>
            </w:r>
          </w:p>
        </w:tc>
      </w:tr>
      <w:tr w:rsidR="00074E84" w:rsidRPr="00EA2B2D" w14:paraId="4FD7F885" w14:textId="77777777" w:rsidTr="00F032D3">
        <w:tc>
          <w:tcPr>
            <w:tcW w:w="276" w:type="dxa"/>
            <w:tcBorders>
              <w:left w:val="single" w:sz="4" w:space="0" w:color="156082" w:themeColor="accent1"/>
              <w:right w:val="nil"/>
            </w:tcBorders>
          </w:tcPr>
          <w:p w14:paraId="77AD3BA0" w14:textId="77777777" w:rsidR="00074E84" w:rsidRPr="00EA2B2D" w:rsidRDefault="00074E84" w:rsidP="003A31ED">
            <w:pPr>
              <w:rPr>
                <w:sz w:val="20"/>
                <w:szCs w:val="20"/>
              </w:rPr>
            </w:pPr>
          </w:p>
        </w:tc>
        <w:tc>
          <w:tcPr>
            <w:tcW w:w="1420" w:type="dxa"/>
            <w:tcBorders>
              <w:left w:val="nil"/>
            </w:tcBorders>
          </w:tcPr>
          <w:p w14:paraId="4BD556BF" w14:textId="77777777" w:rsidR="00074E84" w:rsidRPr="00EA2B2D" w:rsidRDefault="00074E84" w:rsidP="003A31ED">
            <w:pPr>
              <w:rPr>
                <w:sz w:val="20"/>
                <w:szCs w:val="20"/>
              </w:rPr>
            </w:pPr>
            <w:r w:rsidRPr="00EA2B2D">
              <w:rPr>
                <w:sz w:val="20"/>
                <w:szCs w:val="20"/>
              </w:rPr>
              <w:t>16 yr</w:t>
            </w:r>
          </w:p>
        </w:tc>
        <w:tc>
          <w:tcPr>
            <w:tcW w:w="1843" w:type="dxa"/>
            <w:vMerge/>
            <w:vAlign w:val="center"/>
          </w:tcPr>
          <w:p w14:paraId="526DAD56" w14:textId="77777777" w:rsidR="00074E84" w:rsidRPr="00EA2B2D" w:rsidRDefault="00074E84" w:rsidP="003A31ED">
            <w:pPr>
              <w:jc w:val="center"/>
              <w:rPr>
                <w:sz w:val="20"/>
                <w:szCs w:val="20"/>
              </w:rPr>
            </w:pPr>
          </w:p>
        </w:tc>
        <w:tc>
          <w:tcPr>
            <w:tcW w:w="1848" w:type="dxa"/>
            <w:vMerge/>
            <w:vAlign w:val="center"/>
          </w:tcPr>
          <w:p w14:paraId="549F8ED0" w14:textId="77777777" w:rsidR="00074E84" w:rsidRPr="00EA2B2D" w:rsidRDefault="00074E84" w:rsidP="003A31ED">
            <w:pPr>
              <w:jc w:val="center"/>
              <w:rPr>
                <w:sz w:val="20"/>
                <w:szCs w:val="20"/>
              </w:rPr>
            </w:pPr>
          </w:p>
        </w:tc>
        <w:tc>
          <w:tcPr>
            <w:tcW w:w="1843" w:type="dxa"/>
            <w:vMerge/>
            <w:vAlign w:val="center"/>
          </w:tcPr>
          <w:p w14:paraId="0836A1D9" w14:textId="77777777" w:rsidR="00074E84" w:rsidRPr="00EA2B2D" w:rsidRDefault="00074E84" w:rsidP="003A31ED">
            <w:pPr>
              <w:jc w:val="center"/>
              <w:rPr>
                <w:sz w:val="20"/>
                <w:szCs w:val="20"/>
              </w:rPr>
            </w:pPr>
          </w:p>
        </w:tc>
        <w:tc>
          <w:tcPr>
            <w:tcW w:w="1984" w:type="dxa"/>
            <w:vMerge/>
            <w:vAlign w:val="center"/>
          </w:tcPr>
          <w:p w14:paraId="32EBC4F8" w14:textId="77777777" w:rsidR="00074E84" w:rsidRPr="00EA2B2D" w:rsidRDefault="00074E84" w:rsidP="003A31ED">
            <w:pPr>
              <w:jc w:val="center"/>
              <w:rPr>
                <w:sz w:val="20"/>
                <w:szCs w:val="20"/>
              </w:rPr>
            </w:pPr>
          </w:p>
        </w:tc>
        <w:tc>
          <w:tcPr>
            <w:tcW w:w="1842" w:type="dxa"/>
            <w:vMerge/>
            <w:vAlign w:val="center"/>
          </w:tcPr>
          <w:p w14:paraId="19F02E58" w14:textId="77777777" w:rsidR="00074E84" w:rsidRPr="00EA2B2D" w:rsidRDefault="00074E84" w:rsidP="003A31ED">
            <w:pPr>
              <w:jc w:val="center"/>
              <w:rPr>
                <w:sz w:val="20"/>
                <w:szCs w:val="20"/>
              </w:rPr>
            </w:pPr>
          </w:p>
        </w:tc>
        <w:tc>
          <w:tcPr>
            <w:tcW w:w="2126" w:type="dxa"/>
            <w:vMerge/>
          </w:tcPr>
          <w:p w14:paraId="2E2EAE0D" w14:textId="77777777" w:rsidR="00074E84" w:rsidRPr="00EA2B2D" w:rsidRDefault="00074E84" w:rsidP="003A31ED">
            <w:pPr>
              <w:jc w:val="center"/>
              <w:rPr>
                <w:sz w:val="20"/>
                <w:szCs w:val="20"/>
              </w:rPr>
            </w:pPr>
          </w:p>
        </w:tc>
      </w:tr>
      <w:tr w:rsidR="00074E84" w:rsidRPr="00EA2B2D" w14:paraId="3560C4BE" w14:textId="77777777" w:rsidTr="00F032D3">
        <w:tc>
          <w:tcPr>
            <w:tcW w:w="276" w:type="dxa"/>
            <w:tcBorders>
              <w:left w:val="single" w:sz="4" w:space="0" w:color="156082" w:themeColor="accent1"/>
              <w:right w:val="nil"/>
            </w:tcBorders>
          </w:tcPr>
          <w:p w14:paraId="2B65F151" w14:textId="77777777" w:rsidR="00074E84" w:rsidRPr="00EA2B2D" w:rsidRDefault="00074E84" w:rsidP="003A31ED">
            <w:pPr>
              <w:rPr>
                <w:sz w:val="20"/>
                <w:szCs w:val="20"/>
              </w:rPr>
            </w:pPr>
          </w:p>
        </w:tc>
        <w:tc>
          <w:tcPr>
            <w:tcW w:w="1420" w:type="dxa"/>
            <w:tcBorders>
              <w:left w:val="nil"/>
            </w:tcBorders>
          </w:tcPr>
          <w:p w14:paraId="00E77297" w14:textId="77777777" w:rsidR="00074E84" w:rsidRPr="00EA2B2D" w:rsidRDefault="00074E84" w:rsidP="003A31ED">
            <w:pPr>
              <w:rPr>
                <w:sz w:val="20"/>
                <w:szCs w:val="20"/>
              </w:rPr>
            </w:pPr>
            <w:r w:rsidRPr="00EA2B2D">
              <w:rPr>
                <w:sz w:val="20"/>
                <w:szCs w:val="20"/>
              </w:rPr>
              <w:t>17 yr</w:t>
            </w:r>
          </w:p>
        </w:tc>
        <w:tc>
          <w:tcPr>
            <w:tcW w:w="1843" w:type="dxa"/>
            <w:vMerge/>
            <w:vAlign w:val="center"/>
          </w:tcPr>
          <w:p w14:paraId="4A23CD3E" w14:textId="77777777" w:rsidR="00074E84" w:rsidRPr="00EA2B2D" w:rsidRDefault="00074E84" w:rsidP="003A31ED">
            <w:pPr>
              <w:jc w:val="center"/>
              <w:rPr>
                <w:sz w:val="20"/>
                <w:szCs w:val="20"/>
              </w:rPr>
            </w:pPr>
          </w:p>
        </w:tc>
        <w:tc>
          <w:tcPr>
            <w:tcW w:w="1848" w:type="dxa"/>
            <w:vMerge/>
            <w:vAlign w:val="center"/>
          </w:tcPr>
          <w:p w14:paraId="5A859AD1" w14:textId="77777777" w:rsidR="00074E84" w:rsidRPr="00EA2B2D" w:rsidRDefault="00074E84" w:rsidP="003A31ED">
            <w:pPr>
              <w:jc w:val="center"/>
              <w:rPr>
                <w:sz w:val="20"/>
                <w:szCs w:val="20"/>
              </w:rPr>
            </w:pPr>
          </w:p>
        </w:tc>
        <w:tc>
          <w:tcPr>
            <w:tcW w:w="1843" w:type="dxa"/>
            <w:vMerge/>
            <w:vAlign w:val="center"/>
          </w:tcPr>
          <w:p w14:paraId="52911A51" w14:textId="77777777" w:rsidR="00074E84" w:rsidRPr="00EA2B2D" w:rsidRDefault="00074E84" w:rsidP="003A31ED">
            <w:pPr>
              <w:jc w:val="center"/>
              <w:rPr>
                <w:sz w:val="20"/>
                <w:szCs w:val="20"/>
              </w:rPr>
            </w:pPr>
          </w:p>
        </w:tc>
        <w:tc>
          <w:tcPr>
            <w:tcW w:w="1984" w:type="dxa"/>
            <w:vMerge/>
            <w:vAlign w:val="center"/>
          </w:tcPr>
          <w:p w14:paraId="23AB7FD3" w14:textId="77777777" w:rsidR="00074E84" w:rsidRPr="00EA2B2D" w:rsidRDefault="00074E84" w:rsidP="003A31ED">
            <w:pPr>
              <w:jc w:val="center"/>
              <w:rPr>
                <w:sz w:val="20"/>
                <w:szCs w:val="20"/>
              </w:rPr>
            </w:pPr>
          </w:p>
        </w:tc>
        <w:tc>
          <w:tcPr>
            <w:tcW w:w="1842" w:type="dxa"/>
            <w:vMerge/>
            <w:vAlign w:val="center"/>
          </w:tcPr>
          <w:p w14:paraId="055398CC" w14:textId="77777777" w:rsidR="00074E84" w:rsidRPr="00EA2B2D" w:rsidRDefault="00074E84" w:rsidP="003A31ED">
            <w:pPr>
              <w:jc w:val="center"/>
              <w:rPr>
                <w:sz w:val="20"/>
                <w:szCs w:val="20"/>
              </w:rPr>
            </w:pPr>
          </w:p>
        </w:tc>
        <w:tc>
          <w:tcPr>
            <w:tcW w:w="2126" w:type="dxa"/>
            <w:vMerge/>
          </w:tcPr>
          <w:p w14:paraId="73198719" w14:textId="77777777" w:rsidR="00074E84" w:rsidRPr="00EA2B2D" w:rsidRDefault="00074E84" w:rsidP="003A31ED">
            <w:pPr>
              <w:jc w:val="center"/>
              <w:rPr>
                <w:sz w:val="20"/>
                <w:szCs w:val="20"/>
              </w:rPr>
            </w:pPr>
          </w:p>
        </w:tc>
      </w:tr>
    </w:tbl>
    <w:p w14:paraId="72FE1535" w14:textId="77777777" w:rsidR="00074E84" w:rsidRPr="00074E84" w:rsidRDefault="00074E84" w:rsidP="00074E84"/>
    <w:p w14:paraId="6D36AE57" w14:textId="77777777" w:rsidR="001D71E4" w:rsidRDefault="001D71E4" w:rsidP="002A7D19">
      <w:pPr>
        <w:rPr>
          <w:rFonts w:ascii="Gotham Medium" w:eastAsia="SimHei" w:hAnsi="Gotham Medium" w:cs="Arial"/>
          <w:i/>
          <w:iCs/>
          <w:color w:val="FFFFFF"/>
          <w:kern w:val="0"/>
          <w:lang w:eastAsia="en-AU"/>
          <w14:ligatures w14:val="none"/>
        </w:rPr>
      </w:pPr>
    </w:p>
    <w:p w14:paraId="3C53F3E2" w14:textId="77777777" w:rsidR="001D71E4" w:rsidRDefault="001D71E4" w:rsidP="002A7D19">
      <w:pPr>
        <w:rPr>
          <w:rFonts w:ascii="Gotham Medium" w:eastAsia="SimHei" w:hAnsi="Gotham Medium" w:cs="Arial"/>
          <w:i/>
          <w:iCs/>
          <w:color w:val="FFFFFF"/>
          <w:kern w:val="0"/>
          <w:lang w:eastAsia="en-AU"/>
          <w14:ligatures w14:val="none"/>
        </w:rPr>
      </w:pPr>
    </w:p>
    <w:p w14:paraId="115641B3" w14:textId="77777777" w:rsidR="001D71E4" w:rsidRDefault="001D71E4" w:rsidP="002A7D19">
      <w:pPr>
        <w:rPr>
          <w:rFonts w:ascii="Gotham Medium" w:eastAsia="SimHei" w:hAnsi="Gotham Medium" w:cs="Arial"/>
          <w:i/>
          <w:iCs/>
          <w:color w:val="FFFFFF"/>
          <w:kern w:val="0"/>
          <w:lang w:eastAsia="en-AU"/>
          <w14:ligatures w14:val="none"/>
        </w:rPr>
      </w:pPr>
    </w:p>
    <w:p w14:paraId="1EC2ACCC" w14:textId="77777777" w:rsidR="001D71E4" w:rsidRDefault="001D71E4" w:rsidP="002A7D19">
      <w:pPr>
        <w:rPr>
          <w:rFonts w:ascii="Gotham Medium" w:eastAsia="SimHei" w:hAnsi="Gotham Medium" w:cs="Arial"/>
          <w:i/>
          <w:iCs/>
          <w:color w:val="FFFFFF"/>
          <w:kern w:val="0"/>
          <w:lang w:eastAsia="en-AU"/>
          <w14:ligatures w14:val="none"/>
        </w:rPr>
      </w:pPr>
    </w:p>
    <w:p w14:paraId="1DBFBD32" w14:textId="77777777" w:rsidR="001D71E4" w:rsidRDefault="001D71E4" w:rsidP="002A7D19">
      <w:pPr>
        <w:rPr>
          <w:rFonts w:ascii="Gotham Medium" w:eastAsia="SimHei" w:hAnsi="Gotham Medium" w:cs="Arial"/>
          <w:i/>
          <w:iCs/>
          <w:color w:val="FFFFFF"/>
          <w:kern w:val="0"/>
          <w:lang w:eastAsia="en-AU"/>
          <w14:ligatures w14:val="none"/>
        </w:rPr>
      </w:pPr>
    </w:p>
    <w:p w14:paraId="6081B878" w14:textId="77777777" w:rsidR="001D71E4" w:rsidRDefault="001D71E4" w:rsidP="002A7D19">
      <w:pPr>
        <w:rPr>
          <w:rFonts w:ascii="Gotham Medium" w:eastAsia="SimHei" w:hAnsi="Gotham Medium" w:cs="Arial"/>
          <w:i/>
          <w:iCs/>
          <w:color w:val="FFFFFF"/>
          <w:kern w:val="0"/>
          <w:lang w:eastAsia="en-AU"/>
          <w14:ligatures w14:val="none"/>
        </w:rPr>
      </w:pPr>
    </w:p>
    <w:p w14:paraId="5E0D310F" w14:textId="77777777" w:rsidR="001D71E4" w:rsidRDefault="001D71E4" w:rsidP="002A7D19">
      <w:pPr>
        <w:rPr>
          <w:rFonts w:ascii="Gotham Medium" w:eastAsia="SimHei" w:hAnsi="Gotham Medium" w:cs="Arial"/>
          <w:i/>
          <w:iCs/>
          <w:color w:val="FFFFFF"/>
          <w:kern w:val="0"/>
          <w:lang w:eastAsia="en-AU"/>
          <w14:ligatures w14:val="none"/>
        </w:rPr>
      </w:pPr>
    </w:p>
    <w:p w14:paraId="565BC24E" w14:textId="77777777" w:rsidR="001D71E4" w:rsidRDefault="001D71E4" w:rsidP="002A7D19">
      <w:pPr>
        <w:rPr>
          <w:rFonts w:ascii="Gotham Medium" w:eastAsia="SimHei" w:hAnsi="Gotham Medium" w:cs="Arial"/>
          <w:i/>
          <w:iCs/>
          <w:color w:val="FFFFFF"/>
          <w:kern w:val="0"/>
          <w:lang w:eastAsia="en-AU"/>
          <w14:ligatures w14:val="none"/>
        </w:rPr>
      </w:pPr>
    </w:p>
    <w:p w14:paraId="65231CF6" w14:textId="77777777" w:rsidR="001D71E4" w:rsidRDefault="001D71E4" w:rsidP="002A7D19">
      <w:pPr>
        <w:rPr>
          <w:rFonts w:ascii="Gotham Medium" w:eastAsia="SimHei" w:hAnsi="Gotham Medium" w:cs="Arial"/>
          <w:i/>
          <w:iCs/>
          <w:color w:val="FFFFFF"/>
          <w:kern w:val="0"/>
          <w:lang w:eastAsia="en-AU"/>
          <w14:ligatures w14:val="none"/>
        </w:rPr>
      </w:pPr>
    </w:p>
    <w:p w14:paraId="18B015B8" w14:textId="77777777" w:rsidR="001D71E4" w:rsidRDefault="001D71E4" w:rsidP="002A7D19">
      <w:pPr>
        <w:rPr>
          <w:rFonts w:ascii="Gotham Medium" w:eastAsia="SimHei" w:hAnsi="Gotham Medium" w:cs="Arial"/>
          <w:i/>
          <w:iCs/>
          <w:color w:val="FFFFFF"/>
          <w:kern w:val="0"/>
          <w:lang w:eastAsia="en-AU"/>
          <w14:ligatures w14:val="none"/>
        </w:rPr>
      </w:pPr>
    </w:p>
    <w:p w14:paraId="7F5BCC68" w14:textId="77777777" w:rsidR="001D71E4" w:rsidRDefault="001D71E4" w:rsidP="002A7D19">
      <w:pPr>
        <w:rPr>
          <w:rFonts w:ascii="Gotham Medium" w:eastAsia="SimHei" w:hAnsi="Gotham Medium" w:cs="Arial"/>
          <w:i/>
          <w:iCs/>
          <w:color w:val="FFFFFF"/>
          <w:kern w:val="0"/>
          <w:lang w:eastAsia="en-AU"/>
          <w14:ligatures w14:val="none"/>
        </w:rPr>
      </w:pPr>
    </w:p>
    <w:p w14:paraId="2AFA66F3" w14:textId="77777777" w:rsidR="001D71E4" w:rsidRDefault="001D71E4" w:rsidP="002A7D19">
      <w:pPr>
        <w:rPr>
          <w:rFonts w:ascii="Gotham Medium" w:eastAsia="SimHei" w:hAnsi="Gotham Medium" w:cs="Arial"/>
          <w:i/>
          <w:iCs/>
          <w:color w:val="FFFFFF"/>
          <w:kern w:val="0"/>
          <w:lang w:eastAsia="en-AU"/>
          <w14:ligatures w14:val="none"/>
        </w:rPr>
      </w:pPr>
    </w:p>
    <w:p w14:paraId="023097FD" w14:textId="77777777" w:rsidR="001D71E4" w:rsidRDefault="001D71E4" w:rsidP="002A7D19">
      <w:pPr>
        <w:rPr>
          <w:rFonts w:ascii="Gotham Medium" w:eastAsia="SimHei" w:hAnsi="Gotham Medium" w:cs="Arial"/>
          <w:i/>
          <w:iCs/>
          <w:color w:val="FFFFFF"/>
          <w:kern w:val="0"/>
          <w:lang w:eastAsia="en-AU"/>
          <w14:ligatures w14:val="none"/>
        </w:rPr>
      </w:pPr>
    </w:p>
    <w:p w14:paraId="3F828A3E" w14:textId="77777777" w:rsidR="001D71E4" w:rsidRPr="001D71E4" w:rsidRDefault="001D71E4" w:rsidP="002A7D19">
      <w:pPr>
        <w:rPr>
          <w:rFonts w:ascii="Gotham Medium" w:eastAsia="SimHei" w:hAnsi="Gotham Medium" w:cs="Arial"/>
          <w:i/>
          <w:iCs/>
          <w:color w:val="FFFFFF"/>
          <w:kern w:val="0"/>
          <w:lang w:eastAsia="en-AU"/>
          <w14:ligatures w14:val="none"/>
        </w:rPr>
      </w:pPr>
    </w:p>
    <w:p w14:paraId="7EAD5C50"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lastRenderedPageBreak/>
        <w:t>Balance of effects (benefits and harms)</w:t>
      </w:r>
    </w:p>
    <w:p w14:paraId="5BBB5EA0" w14:textId="77777777" w:rsidR="002A7D19" w:rsidRDefault="002A7D19" w:rsidP="002A7D19">
      <w:proofErr w:type="gramStart"/>
      <w:r>
        <w:t>By definition, the</w:t>
      </w:r>
      <w:proofErr w:type="gramEnd"/>
      <w:r>
        <w:t xml:space="preserve"> </w:t>
      </w:r>
      <w:r w:rsidRPr="0080179F">
        <w:t>AI does not represent a true requirement; rather,</w:t>
      </w:r>
      <w:r w:rsidRPr="00D015B7">
        <w:t xml:space="preserve"> it reflects </w:t>
      </w:r>
      <w:r>
        <w:t xml:space="preserve">an adequate intake based on </w:t>
      </w:r>
      <w:r w:rsidRPr="00D015B7">
        <w:t xml:space="preserve">observed intakes in </w:t>
      </w:r>
      <w:r>
        <w:t xml:space="preserve">apparently </w:t>
      </w:r>
      <w:r w:rsidRPr="00D015B7">
        <w:t xml:space="preserve">healthy populations and </w:t>
      </w:r>
      <w:r w:rsidRPr="0080179F">
        <w:t>may exceed the needs of most individuals.</w:t>
      </w:r>
      <w:r>
        <w:t xml:space="preserve"> However, f</w:t>
      </w:r>
      <w:r w:rsidRPr="00D015B7">
        <w:t xml:space="preserve">or sodium using observed population intakes </w:t>
      </w:r>
      <w:r>
        <w:t xml:space="preserve">among children and adolescents </w:t>
      </w:r>
      <w:r w:rsidRPr="00D015B7">
        <w:t>to set an A</w:t>
      </w:r>
      <w:r>
        <w:t xml:space="preserve">dequate </w:t>
      </w:r>
      <w:r w:rsidRPr="00D015B7">
        <w:t>I</w:t>
      </w:r>
      <w:r>
        <w:t>ntake</w:t>
      </w:r>
      <w:r w:rsidRPr="00D015B7">
        <w:t xml:space="preserve"> is problematic, as </w:t>
      </w:r>
      <w:r w:rsidRPr="0080179F">
        <w:t xml:space="preserve">current </w:t>
      </w:r>
      <w:r>
        <w:t xml:space="preserve">average </w:t>
      </w:r>
      <w:r w:rsidRPr="0080179F">
        <w:t xml:space="preserve">intakes are high </w:t>
      </w:r>
      <w:r>
        <w:t xml:space="preserve">(exceeding recommendations) </w:t>
      </w:r>
      <w:r w:rsidRPr="0080179F">
        <w:t>and associated with increased chronic disease risk.</w:t>
      </w:r>
      <w:r>
        <w:t xml:space="preserve"> The </w:t>
      </w:r>
      <w:r w:rsidRPr="00D015B7">
        <w:t xml:space="preserve">evidence </w:t>
      </w:r>
      <w:r>
        <w:t xml:space="preserve">for sodium requirements in children and adolescents is </w:t>
      </w:r>
      <w:r w:rsidRPr="00A77F33">
        <w:t xml:space="preserve">limited and methodologically </w:t>
      </w:r>
      <w:proofErr w:type="gramStart"/>
      <w:r w:rsidRPr="00A77F33">
        <w:t>weak, and</w:t>
      </w:r>
      <w:proofErr w:type="gramEnd"/>
      <w:r w:rsidRPr="00A77F33">
        <w:t xml:space="preserve"> does not provide</w:t>
      </w:r>
      <w:r w:rsidRPr="00D015B7">
        <w:t xml:space="preserve"> a strong empirical basis for determining requirements.</w:t>
      </w:r>
      <w:r>
        <w:t xml:space="preserve"> </w:t>
      </w:r>
    </w:p>
    <w:p w14:paraId="3E29F9D1" w14:textId="77777777" w:rsidR="002A7D19" w:rsidRDefault="002A7D19" w:rsidP="002A7D19">
      <w:r>
        <w:t>The prevailing determinant of AI recommendations i</w:t>
      </w:r>
      <w:r w:rsidRPr="00D015B7">
        <w:t>n children and adolescents</w:t>
      </w:r>
      <w:r>
        <w:t xml:space="preserve"> is therefore the adult AI, from which values for children and adolescents can be extrapolated. There is some allowance for rounding to smooth transitions between age groupings.</w:t>
      </w:r>
    </w:p>
    <w:p w14:paraId="6B618AA9" w14:textId="77777777" w:rsidR="002A7D19" w:rsidRDefault="002A7D19" w:rsidP="002A7D19">
      <w:pPr>
        <w:tabs>
          <w:tab w:val="num" w:pos="720"/>
        </w:tabs>
      </w:pPr>
      <w:r w:rsidRPr="00D015B7">
        <w:t>In this context, recommendations for children must balance</w:t>
      </w:r>
      <w:r>
        <w:t xml:space="preserve"> </w:t>
      </w:r>
      <w:r w:rsidRPr="00D015B7">
        <w:t xml:space="preserve">ensuring </w:t>
      </w:r>
      <w:r w:rsidRPr="00A77F33">
        <w:t>adequacy of intake, and</w:t>
      </w:r>
      <w:r>
        <w:t xml:space="preserve"> </w:t>
      </w:r>
      <w:r w:rsidRPr="00A77F33">
        <w:t>avoiding unintended endorsement of higher intakes that could</w:t>
      </w:r>
      <w:r w:rsidRPr="00D015B7">
        <w:t xml:space="preserve"> increase long</w:t>
      </w:r>
      <w:r w:rsidRPr="00D015B7">
        <w:noBreakHyphen/>
        <w:t>term risk (e.g. elevated blood pressure and cardiovascular disease).</w:t>
      </w:r>
      <w:r>
        <w:t xml:space="preserve"> There should also be a s</w:t>
      </w:r>
      <w:r w:rsidRPr="00D015B7">
        <w:t xml:space="preserve">ufficient </w:t>
      </w:r>
      <w:r>
        <w:t xml:space="preserve">interval </w:t>
      </w:r>
      <w:r w:rsidRPr="00D015B7">
        <w:t xml:space="preserve">between </w:t>
      </w:r>
      <w:r>
        <w:t>a</w:t>
      </w:r>
      <w:r w:rsidRPr="00D015B7">
        <w:t xml:space="preserve">dequacy values and </w:t>
      </w:r>
      <w:r>
        <w:t xml:space="preserve">the CDRR </w:t>
      </w:r>
      <w:r w:rsidRPr="00D015B7">
        <w:t xml:space="preserve">to allow </w:t>
      </w:r>
      <w:r w:rsidRPr="005104B9">
        <w:t>flexibility in dietary patterns</w:t>
      </w:r>
      <w:r w:rsidRPr="00D015B7">
        <w:t>.</w:t>
      </w:r>
    </w:p>
    <w:p w14:paraId="18115707"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Certainty of the evidence</w:t>
      </w:r>
    </w:p>
    <w:p w14:paraId="6C447517" w14:textId="77777777" w:rsidR="002A7D19" w:rsidRDefault="002A7D19" w:rsidP="002A7D19">
      <w:r>
        <w:t>There is insufficient evidence from balance studies and other sources to guide a recommendation about sodium requirements in children and adolescents.</w:t>
      </w:r>
    </w:p>
    <w:p w14:paraId="194CF37C"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Values, preferences and feasibility (consumers, communities)</w:t>
      </w:r>
    </w:p>
    <w:p w14:paraId="3825A6E7" w14:textId="77777777" w:rsidR="002A7D19" w:rsidRDefault="002A7D19" w:rsidP="002A7D19">
      <w:pPr>
        <w:pStyle w:val="Heading4"/>
      </w:pPr>
      <w:r w:rsidRPr="007638CD">
        <w:t>Values and preferences</w:t>
      </w:r>
    </w:p>
    <w:p w14:paraId="1780B101" w14:textId="77777777" w:rsidR="002A7D19" w:rsidRDefault="002A7D19" w:rsidP="002A7D19">
      <w:pPr>
        <w:spacing w:after="120"/>
        <w:ind w:right="170"/>
      </w:pPr>
      <w:r>
        <w:t xml:space="preserve">Most Australian and New Zealand children consume sodium in amounts </w:t>
      </w:r>
      <w:proofErr w:type="gramStart"/>
      <w:r>
        <w:t>in excess of</w:t>
      </w:r>
      <w:proofErr w:type="gramEnd"/>
      <w:r>
        <w:t xml:space="preserve"> current recommendations and sodium is widely available within the local food supply. Consequently, the broader public health challenge lies in supporting the population to achieve intakes within the recommended levels to prevent chronic disease. No specific factors regarding values and preferences have been identified in respect of establishing an Adequate Intake. </w:t>
      </w:r>
    </w:p>
    <w:p w14:paraId="3F1338F9" w14:textId="77777777" w:rsidR="002A7D19" w:rsidRPr="0005013B" w:rsidRDefault="002A7D19" w:rsidP="002A7D19">
      <w:pPr>
        <w:pStyle w:val="Heading4"/>
      </w:pPr>
      <w:r w:rsidRPr="0005013B">
        <w:t>Feas</w:t>
      </w:r>
      <w:r>
        <w:t>i</w:t>
      </w:r>
      <w:r w:rsidRPr="0005013B">
        <w:t>bility</w:t>
      </w:r>
    </w:p>
    <w:p w14:paraId="5F7D787B" w14:textId="1A5B3F8E" w:rsidR="002A7D19" w:rsidRDefault="002A7D19" w:rsidP="002A7D19">
      <w:pPr>
        <w:keepNext/>
        <w:spacing w:after="120"/>
        <w:rPr>
          <w:i/>
          <w:iCs/>
          <w:color w:val="0E2841" w:themeColor="text2"/>
          <w:sz w:val="18"/>
          <w:szCs w:val="18"/>
        </w:rPr>
      </w:pPr>
      <w:r>
        <w:rPr>
          <w:rFonts w:eastAsia="Times New Roman" w:cs="Arial"/>
          <w:szCs w:val="20"/>
        </w:rPr>
        <w:t xml:space="preserve">Data from food modelling are presented at </w:t>
      </w:r>
      <w:r>
        <w:rPr>
          <w:rFonts w:eastAsia="Times New Roman" w:cs="Arial"/>
          <w:szCs w:val="20"/>
        </w:rPr>
        <w:fldChar w:fldCharType="begin"/>
      </w:r>
      <w:r>
        <w:rPr>
          <w:rFonts w:eastAsia="Times New Roman" w:cs="Arial"/>
          <w:szCs w:val="20"/>
        </w:rPr>
        <w:instrText xml:space="preserve"> REF _Ref231330595 \h </w:instrText>
      </w:r>
      <w:r>
        <w:rPr>
          <w:rFonts w:eastAsia="Times New Roman" w:cs="Arial"/>
          <w:szCs w:val="20"/>
        </w:rPr>
      </w:r>
      <w:r>
        <w:rPr>
          <w:rFonts w:eastAsia="Times New Roman" w:cs="Arial"/>
          <w:szCs w:val="20"/>
        </w:rPr>
        <w:fldChar w:fldCharType="separate"/>
      </w:r>
      <w:r w:rsidR="00F569E8">
        <w:t xml:space="preserve">Table </w:t>
      </w:r>
      <w:r w:rsidR="00F569E8">
        <w:rPr>
          <w:noProof/>
        </w:rPr>
        <w:t>26</w:t>
      </w:r>
      <w:r>
        <w:rPr>
          <w:rFonts w:eastAsia="Times New Roman" w:cs="Arial"/>
          <w:szCs w:val="20"/>
        </w:rPr>
        <w:fldChar w:fldCharType="end"/>
      </w:r>
      <w:r>
        <w:rPr>
          <w:rFonts w:eastAsia="Times New Roman" w:cs="Arial"/>
          <w:szCs w:val="20"/>
        </w:rPr>
        <w:t xml:space="preserve">. Although the modelling data suggest that it is very feasible for children to achieve intakes greater than required for adequacy, in most cases the modelled intakes substantially exceed the AI. This may suggest that it is less feasible (though not impossible) to achieve intakes aligned with the lower range of the AI recommendation. </w:t>
      </w:r>
      <w:r>
        <w:t xml:space="preserve">This modelling </w:t>
      </w:r>
      <w:r>
        <w:rPr>
          <w:rFonts w:eastAsia="Times New Roman" w:cs="Arial"/>
          <w:szCs w:val="20"/>
        </w:rPr>
        <w:t xml:space="preserve">should be interpreted with caution given the significant time elapsed since modelling was </w:t>
      </w:r>
      <w:proofErr w:type="gramStart"/>
      <w:r>
        <w:rPr>
          <w:rFonts w:eastAsia="Times New Roman" w:cs="Arial"/>
          <w:szCs w:val="20"/>
        </w:rPr>
        <w:t>undertaken, and</w:t>
      </w:r>
      <w:proofErr w:type="gramEnd"/>
      <w:r>
        <w:rPr>
          <w:rFonts w:eastAsia="Times New Roman" w:cs="Arial"/>
          <w:szCs w:val="20"/>
        </w:rPr>
        <w:t xml:space="preserve"> noting changes in both dietary patterns and sodium in the food supply since this time. </w:t>
      </w:r>
      <w:r>
        <w:t xml:space="preserve">This modelling predates the Healthy Food Partnership (HFP) program, so it does not reflect any reformulation-related reductions in sodium in the food supply, with associated reductions in the sodium content of participating products estimated at 4.3% (ABS, 2025).  </w:t>
      </w:r>
      <w:r>
        <w:br w:type="page"/>
      </w:r>
    </w:p>
    <w:p w14:paraId="6B83E038" w14:textId="6748FA37" w:rsidR="002A7D19" w:rsidRDefault="002A7D19" w:rsidP="002A7D19">
      <w:pPr>
        <w:pStyle w:val="Caption"/>
        <w:keepNext/>
      </w:pPr>
      <w:bookmarkStart w:id="164" w:name="_Ref231330595"/>
      <w:r>
        <w:lastRenderedPageBreak/>
        <w:t xml:space="preserve">Table </w:t>
      </w:r>
      <w:r>
        <w:fldChar w:fldCharType="begin"/>
      </w:r>
      <w:r>
        <w:instrText>SEQ Table \* ARABIC</w:instrText>
      </w:r>
      <w:r>
        <w:fldChar w:fldCharType="separate"/>
      </w:r>
      <w:r w:rsidR="00B90577">
        <w:rPr>
          <w:noProof/>
        </w:rPr>
        <w:t>25</w:t>
      </w:r>
      <w:r>
        <w:fldChar w:fldCharType="end"/>
      </w:r>
      <w:bookmarkEnd w:id="164"/>
      <w:r>
        <w:t xml:space="preserve"> - Estimated sodium intake based on food modelling data for children and adolescents (NHMRC, 2011)</w:t>
      </w:r>
    </w:p>
    <w:tbl>
      <w:tblPr>
        <w:tblStyle w:val="TableGrid2"/>
        <w:tblW w:w="14480" w:type="dxa"/>
        <w:tblLayout w:type="fixed"/>
        <w:tblLook w:val="04A0" w:firstRow="1" w:lastRow="0" w:firstColumn="1" w:lastColumn="0" w:noHBand="0" w:noVBand="1"/>
      </w:tblPr>
      <w:tblGrid>
        <w:gridCol w:w="1079"/>
        <w:gridCol w:w="901"/>
        <w:gridCol w:w="1276"/>
        <w:gridCol w:w="534"/>
        <w:gridCol w:w="625"/>
        <w:gridCol w:w="709"/>
        <w:gridCol w:w="709"/>
        <w:gridCol w:w="850"/>
        <w:gridCol w:w="709"/>
        <w:gridCol w:w="567"/>
        <w:gridCol w:w="851"/>
        <w:gridCol w:w="1417"/>
        <w:gridCol w:w="1467"/>
        <w:gridCol w:w="1368"/>
        <w:gridCol w:w="1418"/>
      </w:tblGrid>
      <w:tr w:rsidR="002A7D19" w:rsidRPr="000D2DF6" w14:paraId="2EB7F1D1" w14:textId="77777777" w:rsidTr="003A31ED">
        <w:tc>
          <w:tcPr>
            <w:tcW w:w="1079" w:type="dxa"/>
            <w:vMerge w:val="restart"/>
            <w:shd w:val="clear" w:color="auto" w:fill="005F85"/>
            <w:vAlign w:val="bottom"/>
          </w:tcPr>
          <w:p w14:paraId="3D3DC6DF" w14:textId="77777777" w:rsidR="002A7D19" w:rsidRPr="000D2DF6" w:rsidRDefault="002A7D19" w:rsidP="003A31ED">
            <w:pPr>
              <w:spacing w:after="0"/>
              <w:ind w:left="-88" w:right="33"/>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Age group (years)</w:t>
            </w:r>
          </w:p>
        </w:tc>
        <w:tc>
          <w:tcPr>
            <w:tcW w:w="901" w:type="dxa"/>
            <w:vMerge w:val="restart"/>
            <w:shd w:val="clear" w:color="auto" w:fill="005F85"/>
          </w:tcPr>
          <w:p w14:paraId="06031CAD" w14:textId="77777777" w:rsidR="002A7D19" w:rsidRPr="000D2DF6" w:rsidRDefault="002A7D19"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Core food groups^</w:t>
            </w:r>
          </w:p>
          <w:p w14:paraId="406FCD26" w14:textId="77777777" w:rsidR="002A7D19" w:rsidRPr="000D2DF6" w:rsidRDefault="002A7D19" w:rsidP="003A31ED">
            <w:pPr>
              <w:spacing w:after="0"/>
              <w:ind w:left="-191" w:right="-132"/>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1276" w:type="dxa"/>
            <w:vMerge w:val="restart"/>
            <w:shd w:val="clear" w:color="auto" w:fill="156082" w:themeFill="accent1"/>
          </w:tcPr>
          <w:p w14:paraId="1C1DFC67" w14:textId="77777777" w:rsidR="002A7D19" w:rsidRPr="000D2DF6" w:rsidRDefault="002A7D19"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Intake from AGTHE98</w:t>
            </w:r>
            <w:r>
              <w:rPr>
                <w:rFonts w:ascii="Aptos" w:eastAsia="Times New Roman" w:hAnsi="Aptos" w:cs="Arial"/>
                <w:b/>
                <w:bCs/>
                <w:color w:val="FFFFFF"/>
                <w:sz w:val="20"/>
                <w:szCs w:val="20"/>
              </w:rPr>
              <w:t>^</w:t>
            </w:r>
          </w:p>
          <w:p w14:paraId="4568CDD7" w14:textId="77777777" w:rsidR="002A7D19" w:rsidRPr="000D2DF6" w:rsidRDefault="002A7D19"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5554" w:type="dxa"/>
            <w:gridSpan w:val="8"/>
            <w:shd w:val="clear" w:color="auto" w:fill="005F85"/>
          </w:tcPr>
          <w:p w14:paraId="60AD8373" w14:textId="77777777" w:rsidR="002A7D19" w:rsidRPr="000D2DF6" w:rsidRDefault="002A7D19" w:rsidP="003A31ED">
            <w:pPr>
              <w:spacing w:after="0"/>
              <w:ind w:right="34"/>
              <w:jc w:val="center"/>
              <w:rPr>
                <w:rFonts w:ascii="Aptos" w:eastAsia="Times New Roman" w:hAnsi="Aptos" w:cs="Arial"/>
                <w:b/>
                <w:bCs/>
                <w:color w:val="FFFFFF"/>
                <w:sz w:val="20"/>
                <w:szCs w:val="20"/>
              </w:rPr>
            </w:pPr>
            <w:r>
              <w:rPr>
                <w:rFonts w:ascii="Aptos" w:eastAsia="Times New Roman" w:hAnsi="Aptos" w:cs="Arial"/>
                <w:b/>
                <w:bCs/>
                <w:color w:val="FFFFFF"/>
                <w:sz w:val="20"/>
                <w:szCs w:val="20"/>
              </w:rPr>
              <w:t>Foundation diets</w:t>
            </w:r>
          </w:p>
        </w:tc>
        <w:tc>
          <w:tcPr>
            <w:tcW w:w="5670" w:type="dxa"/>
            <w:gridSpan w:val="4"/>
            <w:shd w:val="clear" w:color="auto" w:fill="005F85"/>
          </w:tcPr>
          <w:p w14:paraId="7B98C484" w14:textId="77777777" w:rsidR="002A7D19" w:rsidRDefault="002A7D19" w:rsidP="003A31ED">
            <w:pPr>
              <w:spacing w:after="0"/>
              <w:ind w:right="34"/>
              <w:jc w:val="center"/>
              <w:rPr>
                <w:rFonts w:ascii="Aptos" w:eastAsia="Times New Roman" w:hAnsi="Aptos" w:cs="Arial"/>
                <w:b/>
                <w:bCs/>
                <w:color w:val="FFFFFF"/>
                <w:sz w:val="20"/>
                <w:szCs w:val="20"/>
              </w:rPr>
            </w:pPr>
            <w:r>
              <w:rPr>
                <w:rFonts w:ascii="Aptos" w:eastAsia="Times New Roman" w:hAnsi="Aptos" w:cs="Arial"/>
                <w:b/>
                <w:bCs/>
                <w:color w:val="FFFFFF"/>
                <w:sz w:val="20"/>
                <w:szCs w:val="20"/>
              </w:rPr>
              <w:t>7-day Total Diet</w:t>
            </w:r>
          </w:p>
        </w:tc>
      </w:tr>
      <w:tr w:rsidR="002A7D19" w:rsidRPr="000D2DF6" w14:paraId="3E370326" w14:textId="77777777" w:rsidTr="003A31ED">
        <w:tc>
          <w:tcPr>
            <w:tcW w:w="1079" w:type="dxa"/>
            <w:vMerge/>
            <w:shd w:val="clear" w:color="auto" w:fill="005F85"/>
            <w:vAlign w:val="bottom"/>
          </w:tcPr>
          <w:p w14:paraId="61C4AE20" w14:textId="77777777" w:rsidR="002A7D19" w:rsidRPr="000D2DF6" w:rsidRDefault="002A7D19" w:rsidP="003A31ED">
            <w:pPr>
              <w:spacing w:after="0"/>
              <w:ind w:left="-88" w:right="33"/>
              <w:jc w:val="center"/>
              <w:rPr>
                <w:rFonts w:ascii="Aptos" w:eastAsia="Times New Roman" w:hAnsi="Aptos" w:cs="Arial"/>
                <w:b/>
                <w:bCs/>
                <w:color w:val="FFFFFF"/>
                <w:sz w:val="20"/>
                <w:szCs w:val="20"/>
              </w:rPr>
            </w:pPr>
          </w:p>
        </w:tc>
        <w:tc>
          <w:tcPr>
            <w:tcW w:w="901" w:type="dxa"/>
            <w:vMerge/>
            <w:shd w:val="clear" w:color="auto" w:fill="005F85"/>
          </w:tcPr>
          <w:p w14:paraId="5158DB3D" w14:textId="77777777" w:rsidR="002A7D19" w:rsidRPr="000D2DF6" w:rsidRDefault="002A7D19" w:rsidP="003A31ED">
            <w:pPr>
              <w:spacing w:after="0"/>
              <w:jc w:val="center"/>
              <w:rPr>
                <w:rFonts w:ascii="Aptos" w:eastAsia="Times New Roman" w:hAnsi="Aptos" w:cs="Arial"/>
                <w:b/>
                <w:bCs/>
                <w:color w:val="FFFFFF"/>
                <w:sz w:val="20"/>
                <w:szCs w:val="20"/>
              </w:rPr>
            </w:pPr>
          </w:p>
        </w:tc>
        <w:tc>
          <w:tcPr>
            <w:tcW w:w="1276" w:type="dxa"/>
            <w:vMerge/>
            <w:shd w:val="clear" w:color="auto" w:fill="156082" w:themeFill="accent1"/>
          </w:tcPr>
          <w:p w14:paraId="58DF964A" w14:textId="77777777" w:rsidR="002A7D19" w:rsidRPr="000D2DF6" w:rsidRDefault="002A7D19" w:rsidP="003A31ED">
            <w:pPr>
              <w:spacing w:after="0"/>
              <w:jc w:val="center"/>
              <w:rPr>
                <w:rFonts w:ascii="Aptos" w:eastAsia="Times New Roman" w:hAnsi="Aptos" w:cs="Arial"/>
                <w:b/>
                <w:bCs/>
                <w:color w:val="FFFFFF"/>
                <w:sz w:val="20"/>
                <w:szCs w:val="20"/>
              </w:rPr>
            </w:pPr>
          </w:p>
        </w:tc>
        <w:tc>
          <w:tcPr>
            <w:tcW w:w="1159" w:type="dxa"/>
            <w:gridSpan w:val="2"/>
            <w:shd w:val="clear" w:color="auto" w:fill="005F85"/>
          </w:tcPr>
          <w:p w14:paraId="14957AA3" w14:textId="77777777" w:rsidR="002A7D19" w:rsidRPr="000D2DF6" w:rsidRDefault="002A7D19" w:rsidP="003A31ED">
            <w:pPr>
              <w:spacing w:after="0"/>
              <w:jc w:val="center"/>
              <w:rPr>
                <w:rFonts w:ascii="Aptos" w:eastAsia="Times New Roman" w:hAnsi="Aptos" w:cs="Arial"/>
                <w:b/>
                <w:bCs/>
                <w:color w:val="FFFFFF"/>
                <w:sz w:val="20"/>
                <w:szCs w:val="20"/>
              </w:rPr>
            </w:pPr>
            <w:r>
              <w:rPr>
                <w:rFonts w:ascii="Aptos" w:eastAsia="Times New Roman" w:hAnsi="Aptos" w:cs="Arial"/>
                <w:b/>
                <w:bCs/>
                <w:color w:val="FFFFFF"/>
                <w:sz w:val="20"/>
                <w:szCs w:val="20"/>
              </w:rPr>
              <w:t>O</w:t>
            </w:r>
            <w:r w:rsidRPr="000D2DF6">
              <w:rPr>
                <w:rFonts w:ascii="Aptos" w:eastAsia="Times New Roman" w:hAnsi="Aptos" w:cs="Arial"/>
                <w:b/>
                <w:bCs/>
                <w:color w:val="FFFFFF"/>
                <w:sz w:val="20"/>
                <w:szCs w:val="20"/>
              </w:rPr>
              <w:t>verall</w:t>
            </w:r>
          </w:p>
          <w:p w14:paraId="458E8C51" w14:textId="77777777" w:rsidR="002A7D19" w:rsidRPr="000D2DF6" w:rsidRDefault="002A7D19"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1418" w:type="dxa"/>
            <w:gridSpan w:val="2"/>
            <w:shd w:val="clear" w:color="auto" w:fill="005F85"/>
          </w:tcPr>
          <w:p w14:paraId="08A9D5BF" w14:textId="77777777" w:rsidR="002A7D19" w:rsidRPr="000D2DF6" w:rsidRDefault="002A7D19"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Intake from rice-based diets</w:t>
            </w:r>
          </w:p>
          <w:p w14:paraId="7679BD73" w14:textId="77777777" w:rsidR="002A7D19" w:rsidRPr="000D2DF6" w:rsidRDefault="002A7D19"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1559" w:type="dxa"/>
            <w:gridSpan w:val="2"/>
            <w:shd w:val="clear" w:color="auto" w:fill="005F85"/>
          </w:tcPr>
          <w:p w14:paraId="3765E667" w14:textId="77777777" w:rsidR="002A7D19" w:rsidRPr="000D2DF6" w:rsidRDefault="002A7D19" w:rsidP="003A31ED">
            <w:pPr>
              <w:spacing w:after="0"/>
              <w:ind w:right="27"/>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Intake from pasta-based diets</w:t>
            </w:r>
          </w:p>
          <w:p w14:paraId="5B44E08C" w14:textId="77777777" w:rsidR="002A7D19" w:rsidRPr="000D2DF6" w:rsidRDefault="002A7D19" w:rsidP="003A31ED">
            <w:pPr>
              <w:spacing w:after="0"/>
              <w:ind w:right="27"/>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1418" w:type="dxa"/>
            <w:gridSpan w:val="2"/>
            <w:shd w:val="clear" w:color="auto" w:fill="005F85"/>
          </w:tcPr>
          <w:p w14:paraId="7C67409C" w14:textId="77777777" w:rsidR="002A7D19" w:rsidRPr="000D2DF6" w:rsidRDefault="002A7D19" w:rsidP="003A31ED">
            <w:pPr>
              <w:spacing w:after="0"/>
              <w:ind w:right="3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 xml:space="preserve">Intake from </w:t>
            </w:r>
            <w:proofErr w:type="spellStart"/>
            <w:r w:rsidRPr="000D2DF6">
              <w:rPr>
                <w:rFonts w:ascii="Aptos" w:eastAsia="Times New Roman" w:hAnsi="Aptos" w:cs="Arial"/>
                <w:b/>
                <w:bCs/>
                <w:color w:val="FFFFFF"/>
                <w:sz w:val="20"/>
                <w:szCs w:val="20"/>
              </w:rPr>
              <w:t>lacto</w:t>
            </w:r>
            <w:proofErr w:type="spellEnd"/>
            <w:r w:rsidRPr="000D2DF6">
              <w:rPr>
                <w:rFonts w:ascii="Aptos" w:eastAsia="Times New Roman" w:hAnsi="Aptos" w:cs="Arial"/>
                <w:b/>
                <w:bCs/>
                <w:color w:val="FFFFFF"/>
                <w:sz w:val="20"/>
                <w:szCs w:val="20"/>
              </w:rPr>
              <w:t>-ovo-vego diets</w:t>
            </w:r>
          </w:p>
          <w:p w14:paraId="20269423" w14:textId="77777777" w:rsidR="002A7D19" w:rsidRPr="000D2DF6" w:rsidRDefault="002A7D19" w:rsidP="003A31ED">
            <w:pPr>
              <w:spacing w:after="0"/>
              <w:ind w:right="3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2884" w:type="dxa"/>
            <w:gridSpan w:val="2"/>
            <w:shd w:val="clear" w:color="auto" w:fill="005F85"/>
          </w:tcPr>
          <w:p w14:paraId="030DD91C" w14:textId="77777777" w:rsidR="002A7D19" w:rsidRDefault="002A7D19" w:rsidP="003A31ED">
            <w:pPr>
              <w:spacing w:after="0"/>
              <w:ind w:right="34"/>
              <w:jc w:val="center"/>
              <w:rPr>
                <w:rFonts w:eastAsia="Times New Roman" w:cs="Arial"/>
                <w:b/>
                <w:bCs/>
                <w:color w:val="FFFFFF"/>
                <w:sz w:val="20"/>
                <w:szCs w:val="20"/>
              </w:rPr>
            </w:pPr>
            <w:r>
              <w:rPr>
                <w:rFonts w:eastAsia="Times New Roman" w:cs="Arial"/>
                <w:b/>
                <w:bCs/>
                <w:color w:val="FFFFFF"/>
                <w:sz w:val="20"/>
                <w:szCs w:val="20"/>
              </w:rPr>
              <w:t>Mid energy level</w:t>
            </w:r>
          </w:p>
          <w:p w14:paraId="454ECB35" w14:textId="77777777" w:rsidR="002A7D19" w:rsidRDefault="002A7D19" w:rsidP="003A31ED">
            <w:pPr>
              <w:spacing w:after="0"/>
              <w:ind w:right="34"/>
              <w:jc w:val="center"/>
              <w:rPr>
                <w:rFonts w:eastAsia="Times New Roman" w:cs="Arial"/>
                <w:b/>
                <w:bCs/>
                <w:color w:val="FFFFFF"/>
                <w:sz w:val="20"/>
                <w:szCs w:val="20"/>
              </w:rPr>
            </w:pPr>
            <w:r>
              <w:rPr>
                <w:rFonts w:eastAsia="Times New Roman" w:cs="Arial"/>
                <w:b/>
                <w:bCs/>
                <w:color w:val="FFFFFF"/>
                <w:sz w:val="20"/>
                <w:szCs w:val="20"/>
              </w:rPr>
              <w:t>(average height, light-moderate activity)</w:t>
            </w:r>
          </w:p>
          <w:p w14:paraId="7AD68765" w14:textId="77777777" w:rsidR="002A7D19" w:rsidRPr="000D2DF6" w:rsidRDefault="002A7D19" w:rsidP="003A31ED">
            <w:pPr>
              <w:spacing w:after="0"/>
              <w:ind w:right="3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2786" w:type="dxa"/>
            <w:gridSpan w:val="2"/>
            <w:shd w:val="clear" w:color="auto" w:fill="005F85"/>
          </w:tcPr>
          <w:p w14:paraId="1315280D" w14:textId="77777777" w:rsidR="002A7D19" w:rsidRDefault="002A7D19" w:rsidP="003A31ED">
            <w:pPr>
              <w:spacing w:after="0"/>
              <w:ind w:right="34"/>
              <w:jc w:val="center"/>
              <w:rPr>
                <w:rFonts w:eastAsia="Times New Roman" w:cs="Arial"/>
                <w:b/>
                <w:bCs/>
                <w:color w:val="FFFFFF"/>
                <w:sz w:val="20"/>
                <w:szCs w:val="20"/>
              </w:rPr>
            </w:pPr>
            <w:r>
              <w:rPr>
                <w:rFonts w:eastAsia="Times New Roman" w:cs="Arial"/>
                <w:b/>
                <w:bCs/>
                <w:color w:val="FFFFFF"/>
                <w:sz w:val="20"/>
                <w:szCs w:val="20"/>
              </w:rPr>
              <w:t xml:space="preserve">High energy level </w:t>
            </w:r>
          </w:p>
          <w:p w14:paraId="2DAE4607" w14:textId="77777777" w:rsidR="002A7D19" w:rsidRDefault="002A7D19" w:rsidP="003A31ED">
            <w:pPr>
              <w:spacing w:after="0"/>
              <w:ind w:right="34"/>
              <w:jc w:val="center"/>
              <w:rPr>
                <w:rFonts w:eastAsia="Times New Roman" w:cs="Arial"/>
                <w:b/>
                <w:bCs/>
                <w:color w:val="FFFFFF"/>
                <w:sz w:val="20"/>
                <w:szCs w:val="20"/>
              </w:rPr>
            </w:pPr>
            <w:r>
              <w:rPr>
                <w:rFonts w:eastAsia="Times New Roman" w:cs="Arial"/>
                <w:b/>
                <w:bCs/>
                <w:color w:val="FFFFFF"/>
                <w:sz w:val="20"/>
                <w:szCs w:val="20"/>
              </w:rPr>
              <w:t>(tallest, highest activity)</w:t>
            </w:r>
          </w:p>
          <w:p w14:paraId="11C14314" w14:textId="77777777" w:rsidR="002A7D19" w:rsidRPr="000D2DF6" w:rsidRDefault="002A7D19" w:rsidP="003A31ED">
            <w:pPr>
              <w:spacing w:after="0"/>
              <w:ind w:right="3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r>
      <w:tr w:rsidR="002A7D19" w:rsidRPr="000D2DF6" w14:paraId="2E44F976" w14:textId="77777777" w:rsidTr="003A31ED">
        <w:trPr>
          <w:trHeight w:val="321"/>
        </w:trPr>
        <w:tc>
          <w:tcPr>
            <w:tcW w:w="1079" w:type="dxa"/>
            <w:vMerge/>
            <w:shd w:val="clear" w:color="auto" w:fill="005F85"/>
          </w:tcPr>
          <w:p w14:paraId="5F809B13" w14:textId="77777777" w:rsidR="002A7D19" w:rsidRPr="000D2DF6" w:rsidRDefault="002A7D19" w:rsidP="003A31ED">
            <w:pPr>
              <w:spacing w:after="0"/>
              <w:ind w:right="-1346"/>
              <w:rPr>
                <w:rFonts w:ascii="Aptos" w:eastAsia="Times New Roman" w:hAnsi="Aptos" w:cs="Arial"/>
                <w:b/>
                <w:bCs/>
                <w:color w:val="FFFFFF"/>
                <w:sz w:val="20"/>
                <w:szCs w:val="20"/>
              </w:rPr>
            </w:pPr>
          </w:p>
        </w:tc>
        <w:tc>
          <w:tcPr>
            <w:tcW w:w="901" w:type="dxa"/>
            <w:shd w:val="clear" w:color="auto" w:fill="005F85"/>
            <w:vAlign w:val="bottom"/>
          </w:tcPr>
          <w:p w14:paraId="63CA12AC" w14:textId="77777777" w:rsidR="002A7D19" w:rsidRPr="000D2DF6" w:rsidRDefault="002A7D19" w:rsidP="003A31ED">
            <w:pPr>
              <w:spacing w:after="0"/>
              <w:jc w:val="center"/>
              <w:rPr>
                <w:rFonts w:ascii="Aptos" w:eastAsia="Times New Roman" w:hAnsi="Aptos" w:cs="Arial"/>
                <w:b/>
                <w:bCs/>
                <w:color w:val="FFFFFF"/>
                <w:sz w:val="20"/>
                <w:szCs w:val="20"/>
              </w:rPr>
            </w:pPr>
            <w:r>
              <w:rPr>
                <w:rFonts w:ascii="Aptos" w:eastAsia="Times New Roman" w:hAnsi="Aptos" w:cs="Arial"/>
                <w:b/>
                <w:bCs/>
                <w:color w:val="FFFFFF"/>
                <w:sz w:val="20"/>
                <w:szCs w:val="20"/>
              </w:rPr>
              <w:t>All</w:t>
            </w:r>
          </w:p>
        </w:tc>
        <w:tc>
          <w:tcPr>
            <w:tcW w:w="1276" w:type="dxa"/>
            <w:shd w:val="clear" w:color="auto" w:fill="156082" w:themeFill="accent1"/>
            <w:vAlign w:val="bottom"/>
          </w:tcPr>
          <w:p w14:paraId="5A3B4A77" w14:textId="77777777" w:rsidR="002A7D19" w:rsidRPr="000D2DF6" w:rsidRDefault="002A7D19" w:rsidP="003A31ED">
            <w:pPr>
              <w:spacing w:after="0"/>
              <w:ind w:left="-114"/>
              <w:jc w:val="center"/>
              <w:rPr>
                <w:rFonts w:ascii="Aptos" w:eastAsia="Times New Roman" w:hAnsi="Aptos" w:cs="Arial"/>
                <w:b/>
                <w:bCs/>
                <w:color w:val="FFFFFF"/>
                <w:sz w:val="20"/>
                <w:szCs w:val="20"/>
              </w:rPr>
            </w:pPr>
            <w:r>
              <w:rPr>
                <w:rFonts w:ascii="Aptos" w:eastAsia="Times New Roman" w:hAnsi="Aptos" w:cs="Arial"/>
                <w:b/>
                <w:bCs/>
                <w:color w:val="FFFFFF"/>
                <w:sz w:val="20"/>
                <w:szCs w:val="20"/>
              </w:rPr>
              <w:t>All</w:t>
            </w:r>
          </w:p>
        </w:tc>
        <w:tc>
          <w:tcPr>
            <w:tcW w:w="534" w:type="dxa"/>
            <w:shd w:val="clear" w:color="auto" w:fill="005F85"/>
            <w:vAlign w:val="bottom"/>
          </w:tcPr>
          <w:p w14:paraId="2FA4AC58" w14:textId="77777777" w:rsidR="002A7D19" w:rsidRPr="000D2DF6" w:rsidRDefault="002A7D19"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625" w:type="dxa"/>
            <w:shd w:val="clear" w:color="auto" w:fill="005F85"/>
            <w:vAlign w:val="bottom"/>
          </w:tcPr>
          <w:p w14:paraId="5B748223" w14:textId="77777777" w:rsidR="002A7D19" w:rsidRPr="000D2DF6" w:rsidRDefault="002A7D19" w:rsidP="003A31ED">
            <w:pPr>
              <w:spacing w:after="0"/>
              <w:ind w:right="-112"/>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c>
          <w:tcPr>
            <w:tcW w:w="709" w:type="dxa"/>
            <w:shd w:val="clear" w:color="auto" w:fill="005F85"/>
            <w:vAlign w:val="bottom"/>
          </w:tcPr>
          <w:p w14:paraId="1FB14E36" w14:textId="77777777" w:rsidR="002A7D19" w:rsidRPr="000D2DF6" w:rsidRDefault="002A7D19"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709" w:type="dxa"/>
            <w:shd w:val="clear" w:color="auto" w:fill="005F85"/>
            <w:vAlign w:val="bottom"/>
          </w:tcPr>
          <w:p w14:paraId="70122AC2" w14:textId="77777777" w:rsidR="002A7D19" w:rsidRPr="000D2DF6" w:rsidRDefault="002A7D19" w:rsidP="003A31ED">
            <w:pPr>
              <w:spacing w:after="0"/>
              <w:ind w:right="-11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c>
          <w:tcPr>
            <w:tcW w:w="850" w:type="dxa"/>
            <w:shd w:val="clear" w:color="auto" w:fill="005F85"/>
            <w:vAlign w:val="bottom"/>
          </w:tcPr>
          <w:p w14:paraId="03FF36B6" w14:textId="77777777" w:rsidR="002A7D19" w:rsidRPr="000D2DF6" w:rsidRDefault="002A7D19"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709" w:type="dxa"/>
            <w:shd w:val="clear" w:color="auto" w:fill="005F85"/>
            <w:vAlign w:val="bottom"/>
          </w:tcPr>
          <w:p w14:paraId="70E29CAF" w14:textId="77777777" w:rsidR="002A7D19" w:rsidRPr="000D2DF6" w:rsidRDefault="002A7D19" w:rsidP="003A31ED">
            <w:pPr>
              <w:spacing w:after="0"/>
              <w:ind w:right="-108"/>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c>
          <w:tcPr>
            <w:tcW w:w="567" w:type="dxa"/>
            <w:shd w:val="clear" w:color="auto" w:fill="005F85"/>
            <w:vAlign w:val="bottom"/>
          </w:tcPr>
          <w:p w14:paraId="40A1EB19" w14:textId="77777777" w:rsidR="002A7D19" w:rsidRPr="000D2DF6" w:rsidRDefault="002A7D19"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851" w:type="dxa"/>
            <w:shd w:val="clear" w:color="auto" w:fill="005F85"/>
            <w:vAlign w:val="bottom"/>
          </w:tcPr>
          <w:p w14:paraId="1EC4EBEF" w14:textId="77777777" w:rsidR="002A7D19" w:rsidRPr="000D2DF6" w:rsidRDefault="002A7D19" w:rsidP="003A31ED">
            <w:pPr>
              <w:spacing w:after="0"/>
              <w:ind w:right="-10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c>
          <w:tcPr>
            <w:tcW w:w="1417" w:type="dxa"/>
            <w:shd w:val="clear" w:color="auto" w:fill="005F85"/>
            <w:vAlign w:val="bottom"/>
          </w:tcPr>
          <w:p w14:paraId="039BFF1A" w14:textId="77777777" w:rsidR="002A7D19" w:rsidRPr="000D2DF6" w:rsidRDefault="002A7D19" w:rsidP="003A31ED">
            <w:pPr>
              <w:spacing w:after="0"/>
              <w:ind w:right="-10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1467" w:type="dxa"/>
            <w:shd w:val="clear" w:color="auto" w:fill="005F85"/>
            <w:vAlign w:val="bottom"/>
          </w:tcPr>
          <w:p w14:paraId="129642AB" w14:textId="77777777" w:rsidR="002A7D19" w:rsidRPr="000D2DF6" w:rsidRDefault="002A7D19" w:rsidP="003A31ED">
            <w:pPr>
              <w:spacing w:after="0"/>
              <w:ind w:right="-10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c>
          <w:tcPr>
            <w:tcW w:w="1368" w:type="dxa"/>
            <w:shd w:val="clear" w:color="auto" w:fill="005F85"/>
            <w:vAlign w:val="bottom"/>
          </w:tcPr>
          <w:p w14:paraId="298852C5" w14:textId="77777777" w:rsidR="002A7D19" w:rsidRPr="000D2DF6" w:rsidRDefault="002A7D19" w:rsidP="003A31ED">
            <w:pPr>
              <w:spacing w:after="0"/>
              <w:ind w:right="-10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1418" w:type="dxa"/>
            <w:shd w:val="clear" w:color="auto" w:fill="005F85"/>
            <w:vAlign w:val="bottom"/>
          </w:tcPr>
          <w:p w14:paraId="6DDC0F54" w14:textId="77777777" w:rsidR="002A7D19" w:rsidRPr="000D2DF6" w:rsidRDefault="002A7D19" w:rsidP="003A31ED">
            <w:pPr>
              <w:spacing w:after="0"/>
              <w:ind w:right="-10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r>
      <w:tr w:rsidR="002A7D19" w:rsidRPr="000D2DF6" w14:paraId="40818518" w14:textId="77777777" w:rsidTr="003A31ED">
        <w:tc>
          <w:tcPr>
            <w:tcW w:w="1079" w:type="dxa"/>
            <w:vAlign w:val="center"/>
          </w:tcPr>
          <w:p w14:paraId="2722E5BB" w14:textId="77777777" w:rsidR="002A7D19" w:rsidRPr="000D2DF6" w:rsidRDefault="002A7D19" w:rsidP="003A31ED">
            <w:pPr>
              <w:spacing w:after="0"/>
              <w:ind w:right="-1346"/>
              <w:rPr>
                <w:rFonts w:ascii="Aptos" w:eastAsia="Times New Roman" w:hAnsi="Aptos" w:cs="Arial"/>
                <w:sz w:val="20"/>
                <w:szCs w:val="20"/>
              </w:rPr>
            </w:pPr>
            <w:r w:rsidRPr="000D2DF6">
              <w:rPr>
                <w:rFonts w:ascii="Aptos" w:eastAsia="Times New Roman" w:hAnsi="Aptos" w:cs="Arial"/>
                <w:sz w:val="20"/>
                <w:szCs w:val="20"/>
              </w:rPr>
              <w:t xml:space="preserve">13-23 </w:t>
            </w:r>
            <w:proofErr w:type="spellStart"/>
            <w:r w:rsidRPr="000D2DF6">
              <w:rPr>
                <w:rFonts w:ascii="Aptos" w:eastAsia="Times New Roman" w:hAnsi="Aptos" w:cs="Arial"/>
                <w:sz w:val="20"/>
                <w:szCs w:val="20"/>
              </w:rPr>
              <w:t>mo</w:t>
            </w:r>
            <w:proofErr w:type="spellEnd"/>
          </w:p>
        </w:tc>
        <w:tc>
          <w:tcPr>
            <w:tcW w:w="901" w:type="dxa"/>
            <w:vAlign w:val="center"/>
          </w:tcPr>
          <w:p w14:paraId="00D403D0" w14:textId="77777777" w:rsidR="002A7D19" w:rsidRPr="000D2DF6" w:rsidRDefault="002A7D19" w:rsidP="003A31ED">
            <w:pPr>
              <w:spacing w:after="0"/>
              <w:ind w:right="38"/>
              <w:jc w:val="center"/>
              <w:rPr>
                <w:rFonts w:ascii="Aptos" w:eastAsia="Times New Roman" w:hAnsi="Aptos" w:cs="Arial"/>
                <w:sz w:val="20"/>
                <w:szCs w:val="20"/>
              </w:rPr>
            </w:pPr>
            <w:r>
              <w:rPr>
                <w:rFonts w:ascii="Aptos" w:eastAsia="Times New Roman" w:hAnsi="Aptos" w:cs="Arial"/>
                <w:sz w:val="20"/>
                <w:szCs w:val="20"/>
              </w:rPr>
              <w:t>NR</w:t>
            </w:r>
          </w:p>
        </w:tc>
        <w:tc>
          <w:tcPr>
            <w:tcW w:w="1276" w:type="dxa"/>
            <w:vAlign w:val="center"/>
          </w:tcPr>
          <w:p w14:paraId="60A303F9" w14:textId="77777777" w:rsidR="002A7D19" w:rsidRPr="000D2DF6" w:rsidRDefault="002A7D19" w:rsidP="003A31ED">
            <w:pPr>
              <w:spacing w:after="0"/>
              <w:ind w:left="-114"/>
              <w:jc w:val="center"/>
              <w:rPr>
                <w:rFonts w:ascii="Aptos" w:eastAsia="Times New Roman" w:hAnsi="Aptos" w:cs="Arial"/>
                <w:sz w:val="20"/>
                <w:szCs w:val="20"/>
              </w:rPr>
            </w:pPr>
            <w:r>
              <w:rPr>
                <w:rFonts w:ascii="Aptos" w:eastAsia="Times New Roman" w:hAnsi="Aptos" w:cs="Arial"/>
                <w:sz w:val="20"/>
                <w:szCs w:val="20"/>
              </w:rPr>
              <w:t>NR</w:t>
            </w:r>
          </w:p>
        </w:tc>
        <w:tc>
          <w:tcPr>
            <w:tcW w:w="534" w:type="dxa"/>
            <w:vAlign w:val="center"/>
          </w:tcPr>
          <w:p w14:paraId="68DC5740" w14:textId="77777777" w:rsidR="002A7D19" w:rsidRPr="000D2DF6" w:rsidRDefault="002A7D19" w:rsidP="003A31ED">
            <w:pPr>
              <w:spacing w:after="0"/>
              <w:ind w:right="-115"/>
              <w:jc w:val="center"/>
              <w:rPr>
                <w:rFonts w:ascii="Aptos" w:eastAsia="Times New Roman" w:hAnsi="Aptos" w:cs="Arial"/>
                <w:sz w:val="20"/>
                <w:szCs w:val="20"/>
              </w:rPr>
            </w:pPr>
            <w:r>
              <w:rPr>
                <w:rFonts w:ascii="Aptos" w:eastAsia="Times New Roman" w:hAnsi="Aptos" w:cs="Arial"/>
                <w:sz w:val="20"/>
                <w:szCs w:val="20"/>
              </w:rPr>
              <w:t>701</w:t>
            </w:r>
          </w:p>
        </w:tc>
        <w:tc>
          <w:tcPr>
            <w:tcW w:w="625" w:type="dxa"/>
            <w:vAlign w:val="center"/>
          </w:tcPr>
          <w:p w14:paraId="680C17DA"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716</w:t>
            </w:r>
          </w:p>
        </w:tc>
        <w:tc>
          <w:tcPr>
            <w:tcW w:w="709" w:type="dxa"/>
            <w:vAlign w:val="center"/>
          </w:tcPr>
          <w:p w14:paraId="32FBEBB9" w14:textId="77777777" w:rsidR="002A7D19" w:rsidRPr="000D2DF6" w:rsidRDefault="002A7D19" w:rsidP="003A31ED">
            <w:pPr>
              <w:spacing w:after="0"/>
              <w:ind w:right="36"/>
              <w:jc w:val="center"/>
              <w:rPr>
                <w:rFonts w:ascii="Aptos" w:eastAsia="Times New Roman" w:hAnsi="Aptos" w:cs="Arial"/>
                <w:sz w:val="20"/>
                <w:szCs w:val="20"/>
              </w:rPr>
            </w:pPr>
            <w:r>
              <w:rPr>
                <w:rFonts w:ascii="Aptos" w:eastAsia="Times New Roman" w:hAnsi="Aptos" w:cs="Arial"/>
                <w:sz w:val="20"/>
                <w:szCs w:val="20"/>
              </w:rPr>
              <w:t>NR</w:t>
            </w:r>
          </w:p>
        </w:tc>
        <w:tc>
          <w:tcPr>
            <w:tcW w:w="709" w:type="dxa"/>
            <w:vAlign w:val="center"/>
          </w:tcPr>
          <w:p w14:paraId="058EF6C5" w14:textId="77777777" w:rsidR="002A7D19" w:rsidRPr="000D2DF6" w:rsidRDefault="002A7D19" w:rsidP="003A31ED">
            <w:pPr>
              <w:spacing w:after="0"/>
              <w:ind w:right="-115"/>
              <w:jc w:val="center"/>
              <w:rPr>
                <w:rFonts w:ascii="Aptos" w:eastAsia="Times New Roman" w:hAnsi="Aptos" w:cs="Arial"/>
                <w:sz w:val="20"/>
                <w:szCs w:val="20"/>
              </w:rPr>
            </w:pPr>
            <w:r>
              <w:rPr>
                <w:rFonts w:ascii="Aptos" w:eastAsia="Times New Roman" w:hAnsi="Aptos" w:cs="Arial"/>
                <w:sz w:val="20"/>
                <w:szCs w:val="20"/>
              </w:rPr>
              <w:t>NR</w:t>
            </w:r>
          </w:p>
        </w:tc>
        <w:tc>
          <w:tcPr>
            <w:tcW w:w="850" w:type="dxa"/>
            <w:vAlign w:val="center"/>
          </w:tcPr>
          <w:p w14:paraId="589D9FE2" w14:textId="77777777" w:rsidR="002A7D19" w:rsidRPr="000D2DF6" w:rsidRDefault="002A7D19" w:rsidP="003A31ED">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709" w:type="dxa"/>
            <w:vAlign w:val="center"/>
          </w:tcPr>
          <w:p w14:paraId="320B8369" w14:textId="77777777" w:rsidR="002A7D19" w:rsidRPr="000D2DF6" w:rsidRDefault="002A7D19" w:rsidP="003A31ED">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567" w:type="dxa"/>
            <w:vAlign w:val="center"/>
          </w:tcPr>
          <w:p w14:paraId="7EBD129B"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NR</w:t>
            </w:r>
          </w:p>
        </w:tc>
        <w:tc>
          <w:tcPr>
            <w:tcW w:w="851" w:type="dxa"/>
            <w:vAlign w:val="center"/>
          </w:tcPr>
          <w:p w14:paraId="367FBEBE"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NR</w:t>
            </w:r>
          </w:p>
        </w:tc>
        <w:tc>
          <w:tcPr>
            <w:tcW w:w="1417" w:type="dxa"/>
          </w:tcPr>
          <w:p w14:paraId="5DC5515E"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NR</w:t>
            </w:r>
          </w:p>
        </w:tc>
        <w:tc>
          <w:tcPr>
            <w:tcW w:w="1467" w:type="dxa"/>
          </w:tcPr>
          <w:p w14:paraId="75CF74E3"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NR</w:t>
            </w:r>
          </w:p>
        </w:tc>
        <w:tc>
          <w:tcPr>
            <w:tcW w:w="1368" w:type="dxa"/>
          </w:tcPr>
          <w:p w14:paraId="32C41E54"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NR</w:t>
            </w:r>
          </w:p>
        </w:tc>
        <w:tc>
          <w:tcPr>
            <w:tcW w:w="1418" w:type="dxa"/>
          </w:tcPr>
          <w:p w14:paraId="28CC4BB7"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NR</w:t>
            </w:r>
          </w:p>
        </w:tc>
      </w:tr>
      <w:tr w:rsidR="002A7D19" w:rsidRPr="000D2DF6" w14:paraId="29582982" w14:textId="77777777" w:rsidTr="003A31ED">
        <w:tc>
          <w:tcPr>
            <w:tcW w:w="1079" w:type="dxa"/>
            <w:vAlign w:val="center"/>
          </w:tcPr>
          <w:p w14:paraId="43DBCCD9" w14:textId="77777777" w:rsidR="002A7D19" w:rsidRPr="000D2DF6" w:rsidRDefault="002A7D19" w:rsidP="003A31ED">
            <w:pPr>
              <w:spacing w:after="0"/>
              <w:ind w:right="-1346"/>
              <w:rPr>
                <w:rFonts w:ascii="Aptos" w:eastAsia="Times New Roman" w:hAnsi="Aptos" w:cs="Arial"/>
                <w:sz w:val="20"/>
                <w:szCs w:val="20"/>
              </w:rPr>
            </w:pPr>
            <w:r w:rsidRPr="000D2DF6">
              <w:rPr>
                <w:rFonts w:ascii="Aptos" w:eastAsia="Times New Roman" w:hAnsi="Aptos" w:cs="Arial"/>
                <w:sz w:val="20"/>
                <w:szCs w:val="20"/>
              </w:rPr>
              <w:t>2 - 3 yr</w:t>
            </w:r>
          </w:p>
        </w:tc>
        <w:tc>
          <w:tcPr>
            <w:tcW w:w="901" w:type="dxa"/>
            <w:vAlign w:val="center"/>
          </w:tcPr>
          <w:p w14:paraId="624E8695" w14:textId="77777777" w:rsidR="002A7D19" w:rsidRPr="000D2DF6" w:rsidRDefault="002A7D19" w:rsidP="003A31ED">
            <w:pPr>
              <w:spacing w:after="0"/>
              <w:ind w:right="38"/>
              <w:jc w:val="center"/>
              <w:rPr>
                <w:rFonts w:ascii="Aptos" w:eastAsia="Times New Roman" w:hAnsi="Aptos" w:cs="Arial"/>
                <w:sz w:val="20"/>
                <w:szCs w:val="20"/>
              </w:rPr>
            </w:pPr>
            <w:r>
              <w:rPr>
                <w:rFonts w:ascii="Aptos" w:eastAsia="Times New Roman" w:hAnsi="Aptos" w:cs="Arial"/>
                <w:sz w:val="20"/>
                <w:szCs w:val="20"/>
              </w:rPr>
              <w:t>NR</w:t>
            </w:r>
          </w:p>
        </w:tc>
        <w:tc>
          <w:tcPr>
            <w:tcW w:w="1276" w:type="dxa"/>
            <w:vAlign w:val="center"/>
          </w:tcPr>
          <w:p w14:paraId="798DF597" w14:textId="77777777" w:rsidR="002A7D19" w:rsidRPr="000D2DF6" w:rsidRDefault="002A7D19" w:rsidP="003A31ED">
            <w:pPr>
              <w:spacing w:after="0"/>
              <w:ind w:left="-114"/>
              <w:jc w:val="center"/>
              <w:rPr>
                <w:rFonts w:ascii="Aptos" w:eastAsia="Times New Roman" w:hAnsi="Aptos" w:cs="Arial"/>
                <w:sz w:val="20"/>
                <w:szCs w:val="20"/>
              </w:rPr>
            </w:pPr>
            <w:r>
              <w:rPr>
                <w:rFonts w:ascii="Aptos" w:eastAsia="Times New Roman" w:hAnsi="Aptos" w:cs="Arial"/>
                <w:sz w:val="20"/>
                <w:szCs w:val="20"/>
              </w:rPr>
              <w:t>NR</w:t>
            </w:r>
          </w:p>
        </w:tc>
        <w:tc>
          <w:tcPr>
            <w:tcW w:w="534" w:type="dxa"/>
            <w:vAlign w:val="center"/>
          </w:tcPr>
          <w:p w14:paraId="56139E89"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80</w:t>
            </w:r>
            <w:r>
              <w:rPr>
                <w:rFonts w:ascii="Aptos" w:eastAsia="Times New Roman" w:hAnsi="Aptos" w:cs="Arial"/>
                <w:sz w:val="20"/>
                <w:szCs w:val="20"/>
              </w:rPr>
              <w:t>6</w:t>
            </w:r>
          </w:p>
        </w:tc>
        <w:tc>
          <w:tcPr>
            <w:tcW w:w="625" w:type="dxa"/>
            <w:vAlign w:val="center"/>
          </w:tcPr>
          <w:p w14:paraId="49B5D133"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821</w:t>
            </w:r>
          </w:p>
        </w:tc>
        <w:tc>
          <w:tcPr>
            <w:tcW w:w="709" w:type="dxa"/>
            <w:vAlign w:val="center"/>
          </w:tcPr>
          <w:p w14:paraId="5F276CCA" w14:textId="77777777" w:rsidR="002A7D19" w:rsidRPr="000D2DF6" w:rsidRDefault="002A7D19" w:rsidP="003A31ED">
            <w:pPr>
              <w:spacing w:after="0"/>
              <w:ind w:right="36"/>
              <w:jc w:val="center"/>
              <w:rPr>
                <w:rFonts w:ascii="Aptos" w:eastAsia="Times New Roman" w:hAnsi="Aptos" w:cs="Arial"/>
                <w:sz w:val="20"/>
                <w:szCs w:val="20"/>
              </w:rPr>
            </w:pPr>
            <w:r>
              <w:rPr>
                <w:rFonts w:ascii="Aptos" w:eastAsia="Times New Roman" w:hAnsi="Aptos" w:cs="Arial"/>
                <w:sz w:val="20"/>
                <w:szCs w:val="20"/>
              </w:rPr>
              <w:t>NR</w:t>
            </w:r>
          </w:p>
        </w:tc>
        <w:tc>
          <w:tcPr>
            <w:tcW w:w="709" w:type="dxa"/>
            <w:vAlign w:val="center"/>
          </w:tcPr>
          <w:p w14:paraId="0685645E" w14:textId="77777777" w:rsidR="002A7D19" w:rsidRPr="000D2DF6" w:rsidRDefault="002A7D19" w:rsidP="003A31ED">
            <w:pPr>
              <w:spacing w:after="0"/>
              <w:ind w:right="-115"/>
              <w:jc w:val="center"/>
              <w:rPr>
                <w:rFonts w:ascii="Aptos" w:eastAsia="Times New Roman" w:hAnsi="Aptos" w:cs="Arial"/>
                <w:sz w:val="20"/>
                <w:szCs w:val="20"/>
              </w:rPr>
            </w:pPr>
            <w:r>
              <w:rPr>
                <w:rFonts w:ascii="Aptos" w:eastAsia="Times New Roman" w:hAnsi="Aptos" w:cs="Arial"/>
                <w:sz w:val="20"/>
                <w:szCs w:val="20"/>
              </w:rPr>
              <w:t>NR</w:t>
            </w:r>
          </w:p>
        </w:tc>
        <w:tc>
          <w:tcPr>
            <w:tcW w:w="850" w:type="dxa"/>
            <w:vAlign w:val="center"/>
          </w:tcPr>
          <w:p w14:paraId="46681B9A" w14:textId="77777777" w:rsidR="002A7D19" w:rsidRPr="000D2DF6" w:rsidRDefault="002A7D19" w:rsidP="003A31ED">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709" w:type="dxa"/>
            <w:vAlign w:val="center"/>
          </w:tcPr>
          <w:p w14:paraId="22F7B84A" w14:textId="77777777" w:rsidR="002A7D19" w:rsidRPr="000D2DF6" w:rsidRDefault="002A7D19" w:rsidP="003A31ED">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567" w:type="dxa"/>
            <w:vAlign w:val="center"/>
          </w:tcPr>
          <w:p w14:paraId="1465C474"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666</w:t>
            </w:r>
          </w:p>
        </w:tc>
        <w:tc>
          <w:tcPr>
            <w:tcW w:w="851" w:type="dxa"/>
            <w:vAlign w:val="center"/>
          </w:tcPr>
          <w:p w14:paraId="1F2E5A41" w14:textId="77777777" w:rsidR="002A7D19" w:rsidRPr="000D2DF6" w:rsidRDefault="002A7D19" w:rsidP="003A31ED">
            <w:pPr>
              <w:spacing w:after="0"/>
              <w:ind w:right="34"/>
              <w:jc w:val="center"/>
              <w:rPr>
                <w:rFonts w:ascii="Aptos" w:eastAsia="Times New Roman" w:hAnsi="Aptos" w:cs="Arial"/>
                <w:sz w:val="20"/>
                <w:szCs w:val="20"/>
              </w:rPr>
            </w:pPr>
            <w:r w:rsidRPr="000D2DF6">
              <w:rPr>
                <w:rFonts w:ascii="Aptos" w:eastAsia="Times New Roman" w:hAnsi="Aptos" w:cs="Arial"/>
                <w:sz w:val="20"/>
                <w:szCs w:val="20"/>
              </w:rPr>
              <w:t>79</w:t>
            </w:r>
            <w:r>
              <w:rPr>
                <w:rFonts w:ascii="Aptos" w:eastAsia="Times New Roman" w:hAnsi="Aptos" w:cs="Arial"/>
                <w:sz w:val="20"/>
                <w:szCs w:val="20"/>
              </w:rPr>
              <w:t>8</w:t>
            </w:r>
          </w:p>
        </w:tc>
        <w:tc>
          <w:tcPr>
            <w:tcW w:w="1417" w:type="dxa"/>
          </w:tcPr>
          <w:p w14:paraId="5049275C"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849 to 946</w:t>
            </w:r>
          </w:p>
        </w:tc>
        <w:tc>
          <w:tcPr>
            <w:tcW w:w="1467" w:type="dxa"/>
          </w:tcPr>
          <w:p w14:paraId="2177D3A8"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950 to 1077</w:t>
            </w:r>
          </w:p>
        </w:tc>
        <w:tc>
          <w:tcPr>
            <w:tcW w:w="1368" w:type="dxa"/>
          </w:tcPr>
          <w:p w14:paraId="0CFFA8B4"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1027 to 1178</w:t>
            </w:r>
          </w:p>
        </w:tc>
        <w:tc>
          <w:tcPr>
            <w:tcW w:w="1418" w:type="dxa"/>
          </w:tcPr>
          <w:p w14:paraId="46F7BE9B"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1196 to 1329</w:t>
            </w:r>
          </w:p>
        </w:tc>
      </w:tr>
      <w:tr w:rsidR="002A7D19" w:rsidRPr="000D2DF6" w14:paraId="7919C5CB" w14:textId="77777777" w:rsidTr="003A31ED">
        <w:tc>
          <w:tcPr>
            <w:tcW w:w="1079" w:type="dxa"/>
            <w:vAlign w:val="center"/>
          </w:tcPr>
          <w:p w14:paraId="363D3AF7" w14:textId="77777777" w:rsidR="002A7D19" w:rsidRPr="000D2DF6" w:rsidRDefault="002A7D19" w:rsidP="003A31ED">
            <w:pPr>
              <w:spacing w:after="0"/>
              <w:ind w:right="-1346"/>
              <w:rPr>
                <w:rFonts w:ascii="Aptos" w:eastAsia="Times New Roman" w:hAnsi="Aptos" w:cs="Arial"/>
                <w:sz w:val="20"/>
                <w:szCs w:val="20"/>
              </w:rPr>
            </w:pPr>
            <w:r w:rsidRPr="000D2DF6">
              <w:rPr>
                <w:rFonts w:ascii="Aptos" w:eastAsia="Times New Roman" w:hAnsi="Aptos" w:cs="Arial"/>
                <w:sz w:val="20"/>
                <w:szCs w:val="20"/>
              </w:rPr>
              <w:t>4 - 8 yr</w:t>
            </w:r>
          </w:p>
        </w:tc>
        <w:tc>
          <w:tcPr>
            <w:tcW w:w="901" w:type="dxa"/>
            <w:vAlign w:val="center"/>
          </w:tcPr>
          <w:p w14:paraId="660BEE4B" w14:textId="77777777" w:rsidR="002A7D19" w:rsidRPr="000D2DF6" w:rsidRDefault="002A7D19" w:rsidP="003A31ED">
            <w:pPr>
              <w:spacing w:after="0"/>
              <w:ind w:right="38"/>
              <w:jc w:val="center"/>
              <w:rPr>
                <w:rFonts w:ascii="Aptos" w:eastAsia="Times New Roman" w:hAnsi="Aptos" w:cs="Arial"/>
                <w:sz w:val="20"/>
                <w:szCs w:val="20"/>
              </w:rPr>
            </w:pPr>
            <w:r w:rsidRPr="000D2DF6">
              <w:rPr>
                <w:rFonts w:ascii="Aptos" w:eastAsia="Times New Roman" w:hAnsi="Aptos" w:cs="Arial"/>
                <w:sz w:val="20"/>
                <w:szCs w:val="20"/>
              </w:rPr>
              <w:t>441^</w:t>
            </w:r>
          </w:p>
        </w:tc>
        <w:tc>
          <w:tcPr>
            <w:tcW w:w="1276" w:type="dxa"/>
            <w:vAlign w:val="center"/>
          </w:tcPr>
          <w:p w14:paraId="72C1A7E8" w14:textId="77777777" w:rsidR="002A7D19" w:rsidRPr="000D2DF6" w:rsidRDefault="002A7D19" w:rsidP="003A31ED">
            <w:pPr>
              <w:spacing w:after="0"/>
              <w:ind w:left="-114"/>
              <w:jc w:val="center"/>
              <w:rPr>
                <w:rFonts w:ascii="Aptos" w:eastAsia="Times New Roman" w:hAnsi="Aptos" w:cs="Arial"/>
                <w:sz w:val="20"/>
                <w:szCs w:val="20"/>
              </w:rPr>
            </w:pPr>
            <w:r w:rsidRPr="000D2DF6">
              <w:rPr>
                <w:rFonts w:ascii="Aptos" w:eastAsia="Times New Roman" w:hAnsi="Aptos" w:cs="Arial"/>
                <w:sz w:val="20"/>
                <w:szCs w:val="20"/>
              </w:rPr>
              <w:t>1321 to 170</w:t>
            </w:r>
            <w:r>
              <w:rPr>
                <w:rFonts w:ascii="Aptos" w:eastAsia="Times New Roman" w:hAnsi="Aptos" w:cs="Arial"/>
                <w:sz w:val="20"/>
                <w:szCs w:val="20"/>
              </w:rPr>
              <w:t>5</w:t>
            </w:r>
          </w:p>
        </w:tc>
        <w:tc>
          <w:tcPr>
            <w:tcW w:w="534" w:type="dxa"/>
            <w:vAlign w:val="center"/>
          </w:tcPr>
          <w:p w14:paraId="0A53685E"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95</w:t>
            </w:r>
            <w:r>
              <w:rPr>
                <w:rFonts w:ascii="Aptos" w:eastAsia="Times New Roman" w:hAnsi="Aptos" w:cs="Arial"/>
                <w:sz w:val="20"/>
                <w:szCs w:val="20"/>
              </w:rPr>
              <w:t>2</w:t>
            </w:r>
          </w:p>
        </w:tc>
        <w:tc>
          <w:tcPr>
            <w:tcW w:w="625" w:type="dxa"/>
            <w:vAlign w:val="center"/>
          </w:tcPr>
          <w:p w14:paraId="3CD7A601"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1007</w:t>
            </w:r>
          </w:p>
        </w:tc>
        <w:tc>
          <w:tcPr>
            <w:tcW w:w="709" w:type="dxa"/>
            <w:vAlign w:val="center"/>
          </w:tcPr>
          <w:p w14:paraId="3808559F" w14:textId="77777777" w:rsidR="002A7D19" w:rsidRPr="000D2DF6" w:rsidRDefault="002A7D19" w:rsidP="003A31ED">
            <w:pPr>
              <w:spacing w:after="0"/>
              <w:ind w:right="36"/>
              <w:jc w:val="center"/>
              <w:rPr>
                <w:rFonts w:ascii="Aptos" w:eastAsia="Times New Roman" w:hAnsi="Aptos" w:cs="Arial"/>
                <w:sz w:val="20"/>
                <w:szCs w:val="20"/>
              </w:rPr>
            </w:pPr>
            <w:r>
              <w:rPr>
                <w:rFonts w:ascii="Aptos" w:eastAsia="Times New Roman" w:hAnsi="Aptos" w:cs="Arial"/>
                <w:sz w:val="20"/>
                <w:szCs w:val="20"/>
              </w:rPr>
              <w:t>NR</w:t>
            </w:r>
          </w:p>
        </w:tc>
        <w:tc>
          <w:tcPr>
            <w:tcW w:w="709" w:type="dxa"/>
            <w:vAlign w:val="center"/>
          </w:tcPr>
          <w:p w14:paraId="32C985C3" w14:textId="77777777" w:rsidR="002A7D19" w:rsidRPr="000D2DF6" w:rsidRDefault="002A7D19" w:rsidP="003A31ED">
            <w:pPr>
              <w:spacing w:after="0"/>
              <w:ind w:right="-115"/>
              <w:jc w:val="center"/>
              <w:rPr>
                <w:rFonts w:ascii="Aptos" w:eastAsia="Times New Roman" w:hAnsi="Aptos" w:cs="Arial"/>
                <w:sz w:val="20"/>
                <w:szCs w:val="20"/>
              </w:rPr>
            </w:pPr>
            <w:r>
              <w:rPr>
                <w:rFonts w:ascii="Aptos" w:eastAsia="Times New Roman" w:hAnsi="Aptos" w:cs="Arial"/>
                <w:sz w:val="20"/>
                <w:szCs w:val="20"/>
              </w:rPr>
              <w:t>NR</w:t>
            </w:r>
          </w:p>
        </w:tc>
        <w:tc>
          <w:tcPr>
            <w:tcW w:w="850" w:type="dxa"/>
            <w:vAlign w:val="center"/>
          </w:tcPr>
          <w:p w14:paraId="781D4AE0" w14:textId="77777777" w:rsidR="002A7D19" w:rsidRPr="000D2DF6" w:rsidRDefault="002A7D19" w:rsidP="003A31ED">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709" w:type="dxa"/>
            <w:vAlign w:val="center"/>
          </w:tcPr>
          <w:p w14:paraId="16CE66B1" w14:textId="77777777" w:rsidR="002A7D19" w:rsidRPr="000D2DF6" w:rsidRDefault="002A7D19" w:rsidP="003A31ED">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567" w:type="dxa"/>
            <w:vAlign w:val="center"/>
          </w:tcPr>
          <w:p w14:paraId="07465CC3"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776</w:t>
            </w:r>
          </w:p>
        </w:tc>
        <w:tc>
          <w:tcPr>
            <w:tcW w:w="851" w:type="dxa"/>
            <w:vAlign w:val="center"/>
          </w:tcPr>
          <w:p w14:paraId="31614AC1" w14:textId="77777777" w:rsidR="002A7D19" w:rsidRPr="000D2DF6" w:rsidRDefault="002A7D19" w:rsidP="003A31ED">
            <w:pPr>
              <w:spacing w:after="0"/>
              <w:ind w:right="34"/>
              <w:jc w:val="center"/>
              <w:rPr>
                <w:rFonts w:ascii="Aptos" w:eastAsia="Times New Roman" w:hAnsi="Aptos" w:cs="Arial"/>
                <w:sz w:val="20"/>
                <w:szCs w:val="20"/>
              </w:rPr>
            </w:pPr>
            <w:r w:rsidRPr="000D2DF6">
              <w:rPr>
                <w:rFonts w:ascii="Aptos" w:eastAsia="Times New Roman" w:hAnsi="Aptos" w:cs="Arial"/>
                <w:sz w:val="20"/>
                <w:szCs w:val="20"/>
              </w:rPr>
              <w:t>86</w:t>
            </w:r>
            <w:r>
              <w:rPr>
                <w:rFonts w:ascii="Aptos" w:eastAsia="Times New Roman" w:hAnsi="Aptos" w:cs="Arial"/>
                <w:sz w:val="20"/>
                <w:szCs w:val="20"/>
              </w:rPr>
              <w:t>5</w:t>
            </w:r>
          </w:p>
        </w:tc>
        <w:tc>
          <w:tcPr>
            <w:tcW w:w="1417" w:type="dxa"/>
          </w:tcPr>
          <w:p w14:paraId="7C7DA481"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1090 to 1282</w:t>
            </w:r>
          </w:p>
        </w:tc>
        <w:tc>
          <w:tcPr>
            <w:tcW w:w="1467" w:type="dxa"/>
          </w:tcPr>
          <w:p w14:paraId="7B1CD342"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1131 to 1406</w:t>
            </w:r>
          </w:p>
        </w:tc>
        <w:tc>
          <w:tcPr>
            <w:tcW w:w="1368" w:type="dxa"/>
          </w:tcPr>
          <w:p w14:paraId="1BE1887C"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1408 to 1621</w:t>
            </w:r>
          </w:p>
        </w:tc>
        <w:tc>
          <w:tcPr>
            <w:tcW w:w="1418" w:type="dxa"/>
          </w:tcPr>
          <w:p w14:paraId="363DBA1D"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1529 to 1790</w:t>
            </w:r>
          </w:p>
        </w:tc>
      </w:tr>
      <w:tr w:rsidR="002A7D19" w:rsidRPr="000D2DF6" w14:paraId="698CDA96" w14:textId="77777777" w:rsidTr="003A31ED">
        <w:tc>
          <w:tcPr>
            <w:tcW w:w="1079" w:type="dxa"/>
            <w:vAlign w:val="center"/>
          </w:tcPr>
          <w:p w14:paraId="6CC60616" w14:textId="77777777" w:rsidR="002A7D19" w:rsidRPr="000D2DF6" w:rsidRDefault="002A7D19" w:rsidP="003A31ED">
            <w:pPr>
              <w:spacing w:after="0"/>
              <w:ind w:right="-1346"/>
              <w:rPr>
                <w:rFonts w:ascii="Aptos" w:eastAsia="Times New Roman" w:hAnsi="Aptos" w:cs="Arial"/>
                <w:sz w:val="20"/>
                <w:szCs w:val="20"/>
              </w:rPr>
            </w:pPr>
            <w:r w:rsidRPr="000D2DF6">
              <w:rPr>
                <w:rFonts w:ascii="Aptos" w:eastAsia="Times New Roman" w:hAnsi="Aptos" w:cs="Arial"/>
                <w:sz w:val="20"/>
                <w:szCs w:val="20"/>
              </w:rPr>
              <w:t>9 - 11 yr</w:t>
            </w:r>
          </w:p>
        </w:tc>
        <w:tc>
          <w:tcPr>
            <w:tcW w:w="901" w:type="dxa"/>
            <w:vAlign w:val="center"/>
          </w:tcPr>
          <w:p w14:paraId="03E47840" w14:textId="77777777" w:rsidR="002A7D19" w:rsidRPr="000D2DF6" w:rsidRDefault="002A7D19" w:rsidP="003A31ED">
            <w:pPr>
              <w:spacing w:after="0"/>
              <w:ind w:right="38"/>
              <w:jc w:val="center"/>
              <w:rPr>
                <w:rFonts w:ascii="Aptos" w:eastAsia="Times New Roman" w:hAnsi="Aptos" w:cs="Arial"/>
                <w:sz w:val="20"/>
                <w:szCs w:val="20"/>
              </w:rPr>
            </w:pPr>
            <w:r w:rsidRPr="000D2DF6">
              <w:rPr>
                <w:rFonts w:ascii="Aptos" w:eastAsia="Times New Roman" w:hAnsi="Aptos" w:cs="Arial"/>
                <w:sz w:val="20"/>
                <w:szCs w:val="20"/>
              </w:rPr>
              <w:t>556^</w:t>
            </w:r>
          </w:p>
        </w:tc>
        <w:tc>
          <w:tcPr>
            <w:tcW w:w="1276" w:type="dxa"/>
            <w:vAlign w:val="center"/>
          </w:tcPr>
          <w:p w14:paraId="6EE5E545" w14:textId="77777777" w:rsidR="002A7D19" w:rsidRPr="000D2DF6" w:rsidRDefault="002A7D19" w:rsidP="003A31ED">
            <w:pPr>
              <w:spacing w:after="0"/>
              <w:ind w:left="-114"/>
              <w:jc w:val="center"/>
              <w:rPr>
                <w:rFonts w:ascii="Aptos" w:eastAsia="Times New Roman" w:hAnsi="Aptos" w:cs="Arial"/>
                <w:sz w:val="20"/>
                <w:szCs w:val="20"/>
              </w:rPr>
            </w:pPr>
            <w:r w:rsidRPr="000D2DF6">
              <w:rPr>
                <w:rFonts w:ascii="Aptos" w:eastAsia="Times New Roman" w:hAnsi="Aptos" w:cs="Arial"/>
                <w:sz w:val="20"/>
                <w:szCs w:val="20"/>
              </w:rPr>
              <w:t>1571 to 214</w:t>
            </w:r>
            <w:r>
              <w:rPr>
                <w:rFonts w:ascii="Aptos" w:eastAsia="Times New Roman" w:hAnsi="Aptos" w:cs="Arial"/>
                <w:sz w:val="20"/>
                <w:szCs w:val="20"/>
              </w:rPr>
              <w:t>7</w:t>
            </w:r>
          </w:p>
        </w:tc>
        <w:tc>
          <w:tcPr>
            <w:tcW w:w="534" w:type="dxa"/>
            <w:vAlign w:val="center"/>
          </w:tcPr>
          <w:p w14:paraId="049986D9"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1189</w:t>
            </w:r>
          </w:p>
        </w:tc>
        <w:tc>
          <w:tcPr>
            <w:tcW w:w="625" w:type="dxa"/>
            <w:vAlign w:val="center"/>
          </w:tcPr>
          <w:p w14:paraId="10D6F333"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1175</w:t>
            </w:r>
          </w:p>
        </w:tc>
        <w:tc>
          <w:tcPr>
            <w:tcW w:w="709" w:type="dxa"/>
            <w:vAlign w:val="center"/>
          </w:tcPr>
          <w:p w14:paraId="213CA021" w14:textId="77777777" w:rsidR="002A7D19" w:rsidRPr="000D2DF6" w:rsidRDefault="002A7D19" w:rsidP="003A31ED">
            <w:pPr>
              <w:spacing w:after="0"/>
              <w:ind w:right="36"/>
              <w:jc w:val="center"/>
              <w:rPr>
                <w:rFonts w:ascii="Aptos" w:eastAsia="Times New Roman" w:hAnsi="Aptos" w:cs="Arial"/>
                <w:sz w:val="20"/>
                <w:szCs w:val="20"/>
              </w:rPr>
            </w:pPr>
            <w:r w:rsidRPr="000D2DF6">
              <w:rPr>
                <w:rFonts w:ascii="Aptos" w:eastAsia="Times New Roman" w:hAnsi="Aptos" w:cs="Arial"/>
                <w:sz w:val="20"/>
                <w:szCs w:val="20"/>
              </w:rPr>
              <w:t>831</w:t>
            </w:r>
          </w:p>
        </w:tc>
        <w:tc>
          <w:tcPr>
            <w:tcW w:w="709" w:type="dxa"/>
            <w:vAlign w:val="center"/>
          </w:tcPr>
          <w:p w14:paraId="2DD7D919"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751</w:t>
            </w:r>
          </w:p>
        </w:tc>
        <w:tc>
          <w:tcPr>
            <w:tcW w:w="850" w:type="dxa"/>
            <w:vAlign w:val="center"/>
          </w:tcPr>
          <w:p w14:paraId="4CB05605" w14:textId="77777777" w:rsidR="002A7D19" w:rsidRPr="000D2DF6" w:rsidRDefault="002A7D19" w:rsidP="003A31ED">
            <w:pPr>
              <w:spacing w:after="0"/>
              <w:ind w:right="27"/>
              <w:jc w:val="center"/>
              <w:rPr>
                <w:rFonts w:ascii="Aptos" w:eastAsia="Times New Roman" w:hAnsi="Aptos" w:cs="Arial"/>
                <w:sz w:val="20"/>
                <w:szCs w:val="20"/>
              </w:rPr>
            </w:pPr>
            <w:r w:rsidRPr="000D2DF6">
              <w:rPr>
                <w:rFonts w:ascii="Aptos" w:eastAsia="Times New Roman" w:hAnsi="Aptos" w:cs="Arial"/>
                <w:sz w:val="20"/>
                <w:szCs w:val="20"/>
              </w:rPr>
              <w:t>1048</w:t>
            </w:r>
          </w:p>
        </w:tc>
        <w:tc>
          <w:tcPr>
            <w:tcW w:w="709" w:type="dxa"/>
            <w:vAlign w:val="center"/>
          </w:tcPr>
          <w:p w14:paraId="23E0D1AA" w14:textId="77777777" w:rsidR="002A7D19" w:rsidRPr="000D2DF6" w:rsidRDefault="002A7D19" w:rsidP="003A31ED">
            <w:pPr>
              <w:spacing w:after="0"/>
              <w:ind w:right="27"/>
              <w:jc w:val="center"/>
              <w:rPr>
                <w:rFonts w:ascii="Aptos" w:eastAsia="Times New Roman" w:hAnsi="Aptos" w:cs="Arial"/>
                <w:sz w:val="20"/>
                <w:szCs w:val="20"/>
              </w:rPr>
            </w:pPr>
            <w:r w:rsidRPr="000D2DF6">
              <w:rPr>
                <w:rFonts w:ascii="Aptos" w:eastAsia="Times New Roman" w:hAnsi="Aptos" w:cs="Arial"/>
                <w:sz w:val="20"/>
                <w:szCs w:val="20"/>
              </w:rPr>
              <w:t>989</w:t>
            </w:r>
          </w:p>
        </w:tc>
        <w:tc>
          <w:tcPr>
            <w:tcW w:w="567" w:type="dxa"/>
            <w:vAlign w:val="center"/>
          </w:tcPr>
          <w:p w14:paraId="02D8240E"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1054</w:t>
            </w:r>
          </w:p>
        </w:tc>
        <w:tc>
          <w:tcPr>
            <w:tcW w:w="851" w:type="dxa"/>
            <w:vAlign w:val="center"/>
          </w:tcPr>
          <w:p w14:paraId="38EBD087" w14:textId="77777777" w:rsidR="002A7D19" w:rsidRPr="000D2DF6" w:rsidRDefault="002A7D19" w:rsidP="003A31ED">
            <w:pPr>
              <w:spacing w:after="0"/>
              <w:ind w:right="34"/>
              <w:jc w:val="center"/>
              <w:rPr>
                <w:rFonts w:ascii="Aptos" w:eastAsia="Times New Roman" w:hAnsi="Aptos" w:cs="Arial"/>
                <w:sz w:val="20"/>
                <w:szCs w:val="20"/>
              </w:rPr>
            </w:pPr>
            <w:r w:rsidRPr="000D2DF6">
              <w:rPr>
                <w:rFonts w:ascii="Aptos" w:eastAsia="Times New Roman" w:hAnsi="Aptos" w:cs="Arial"/>
                <w:sz w:val="20"/>
                <w:szCs w:val="20"/>
              </w:rPr>
              <w:t>91</w:t>
            </w:r>
            <w:r>
              <w:rPr>
                <w:rFonts w:ascii="Aptos" w:eastAsia="Times New Roman" w:hAnsi="Aptos" w:cs="Arial"/>
                <w:sz w:val="20"/>
                <w:szCs w:val="20"/>
              </w:rPr>
              <w:t>6</w:t>
            </w:r>
          </w:p>
        </w:tc>
        <w:tc>
          <w:tcPr>
            <w:tcW w:w="1417" w:type="dxa"/>
          </w:tcPr>
          <w:p w14:paraId="49ABA1AA"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1231 to 1458</w:t>
            </w:r>
          </w:p>
        </w:tc>
        <w:tc>
          <w:tcPr>
            <w:tcW w:w="1467" w:type="dxa"/>
          </w:tcPr>
          <w:p w14:paraId="5865C056"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1330 to 1434</w:t>
            </w:r>
          </w:p>
        </w:tc>
        <w:tc>
          <w:tcPr>
            <w:tcW w:w="1368" w:type="dxa"/>
          </w:tcPr>
          <w:p w14:paraId="52908B51"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1502 to 1811</w:t>
            </w:r>
          </w:p>
        </w:tc>
        <w:tc>
          <w:tcPr>
            <w:tcW w:w="1418" w:type="dxa"/>
          </w:tcPr>
          <w:p w14:paraId="0E3D87BB"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1613 to 1987</w:t>
            </w:r>
          </w:p>
        </w:tc>
      </w:tr>
      <w:tr w:rsidR="002A7D19" w:rsidRPr="000D2DF6" w14:paraId="63D9152D" w14:textId="77777777" w:rsidTr="003A31ED">
        <w:tc>
          <w:tcPr>
            <w:tcW w:w="1079" w:type="dxa"/>
            <w:vAlign w:val="center"/>
          </w:tcPr>
          <w:p w14:paraId="5BAA9B89" w14:textId="77777777" w:rsidR="002A7D19" w:rsidRPr="000D2DF6" w:rsidRDefault="002A7D19" w:rsidP="003A31ED">
            <w:pPr>
              <w:spacing w:after="0"/>
              <w:ind w:right="-1346"/>
              <w:rPr>
                <w:rFonts w:ascii="Aptos" w:eastAsia="Times New Roman" w:hAnsi="Aptos" w:cs="Arial"/>
                <w:sz w:val="20"/>
                <w:szCs w:val="20"/>
              </w:rPr>
            </w:pPr>
            <w:r w:rsidRPr="000D2DF6">
              <w:rPr>
                <w:rFonts w:ascii="Aptos" w:eastAsia="Times New Roman" w:hAnsi="Aptos" w:cs="Arial"/>
                <w:sz w:val="20"/>
                <w:szCs w:val="20"/>
              </w:rPr>
              <w:t>12 - 13 yr</w:t>
            </w:r>
          </w:p>
        </w:tc>
        <w:tc>
          <w:tcPr>
            <w:tcW w:w="901" w:type="dxa"/>
            <w:vMerge w:val="restart"/>
            <w:vAlign w:val="center"/>
          </w:tcPr>
          <w:p w14:paraId="3B1DB7F4" w14:textId="77777777" w:rsidR="002A7D19" w:rsidRPr="000D2DF6" w:rsidRDefault="002A7D19" w:rsidP="003A31ED">
            <w:pPr>
              <w:spacing w:after="0"/>
              <w:ind w:right="38"/>
              <w:jc w:val="center"/>
              <w:rPr>
                <w:rFonts w:ascii="Aptos" w:eastAsia="Times New Roman" w:hAnsi="Aptos" w:cs="Arial"/>
                <w:sz w:val="20"/>
                <w:szCs w:val="20"/>
              </w:rPr>
            </w:pPr>
            <w:r w:rsidRPr="000D2DF6">
              <w:rPr>
                <w:rFonts w:ascii="Aptos" w:eastAsia="Times New Roman" w:hAnsi="Aptos" w:cs="Arial"/>
                <w:sz w:val="20"/>
                <w:szCs w:val="20"/>
              </w:rPr>
              <w:t>68</w:t>
            </w:r>
            <w:r>
              <w:rPr>
                <w:rFonts w:ascii="Aptos" w:eastAsia="Times New Roman" w:hAnsi="Aptos" w:cs="Arial"/>
                <w:sz w:val="20"/>
                <w:szCs w:val="20"/>
              </w:rPr>
              <w:t>8</w:t>
            </w:r>
            <w:r w:rsidRPr="000D2DF6">
              <w:rPr>
                <w:rFonts w:ascii="Aptos" w:eastAsia="Times New Roman" w:hAnsi="Aptos" w:cs="Arial"/>
                <w:sz w:val="20"/>
                <w:szCs w:val="20"/>
              </w:rPr>
              <w:t>^</w:t>
            </w:r>
          </w:p>
        </w:tc>
        <w:tc>
          <w:tcPr>
            <w:tcW w:w="1276" w:type="dxa"/>
            <w:vMerge w:val="restart"/>
            <w:vAlign w:val="center"/>
          </w:tcPr>
          <w:p w14:paraId="7E26D5AB" w14:textId="77777777" w:rsidR="002A7D19" w:rsidRPr="000D2DF6" w:rsidRDefault="002A7D19" w:rsidP="003A31ED">
            <w:pPr>
              <w:spacing w:after="0"/>
              <w:ind w:left="-114"/>
              <w:jc w:val="center"/>
              <w:rPr>
                <w:rFonts w:ascii="Aptos" w:eastAsia="Times New Roman" w:hAnsi="Aptos" w:cs="Arial"/>
                <w:sz w:val="20"/>
                <w:szCs w:val="20"/>
              </w:rPr>
            </w:pPr>
            <w:r w:rsidRPr="000D2DF6">
              <w:rPr>
                <w:rFonts w:ascii="Aptos" w:eastAsia="Times New Roman" w:hAnsi="Aptos" w:cs="Arial"/>
                <w:sz w:val="20"/>
                <w:szCs w:val="20"/>
              </w:rPr>
              <w:t>150</w:t>
            </w:r>
            <w:r>
              <w:rPr>
                <w:rFonts w:ascii="Aptos" w:eastAsia="Times New Roman" w:hAnsi="Aptos" w:cs="Arial"/>
                <w:sz w:val="20"/>
                <w:szCs w:val="20"/>
              </w:rPr>
              <w:t>4</w:t>
            </w:r>
            <w:r w:rsidRPr="000D2DF6">
              <w:rPr>
                <w:rFonts w:ascii="Aptos" w:eastAsia="Times New Roman" w:hAnsi="Aptos" w:cs="Arial"/>
                <w:sz w:val="20"/>
                <w:szCs w:val="20"/>
              </w:rPr>
              <w:t xml:space="preserve"> to 2654</w:t>
            </w:r>
          </w:p>
        </w:tc>
        <w:tc>
          <w:tcPr>
            <w:tcW w:w="534" w:type="dxa"/>
            <w:vAlign w:val="center"/>
          </w:tcPr>
          <w:p w14:paraId="32DFECA5"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1379</w:t>
            </w:r>
          </w:p>
        </w:tc>
        <w:tc>
          <w:tcPr>
            <w:tcW w:w="625" w:type="dxa"/>
            <w:vAlign w:val="center"/>
          </w:tcPr>
          <w:p w14:paraId="53864298"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145</w:t>
            </w:r>
            <w:r>
              <w:rPr>
                <w:rFonts w:ascii="Aptos" w:eastAsia="Times New Roman" w:hAnsi="Aptos" w:cs="Arial"/>
                <w:sz w:val="20"/>
                <w:szCs w:val="20"/>
              </w:rPr>
              <w:t>6</w:t>
            </w:r>
          </w:p>
        </w:tc>
        <w:tc>
          <w:tcPr>
            <w:tcW w:w="709" w:type="dxa"/>
            <w:vAlign w:val="center"/>
          </w:tcPr>
          <w:p w14:paraId="60B59416" w14:textId="77777777" w:rsidR="002A7D19" w:rsidRPr="000D2DF6" w:rsidRDefault="002A7D19" w:rsidP="003A31ED">
            <w:pPr>
              <w:spacing w:after="0"/>
              <w:ind w:right="36"/>
              <w:jc w:val="center"/>
              <w:rPr>
                <w:rFonts w:ascii="Aptos" w:eastAsia="Times New Roman" w:hAnsi="Aptos" w:cs="Arial"/>
                <w:sz w:val="20"/>
                <w:szCs w:val="20"/>
              </w:rPr>
            </w:pPr>
            <w:r w:rsidRPr="000D2DF6">
              <w:rPr>
                <w:rFonts w:ascii="Aptos" w:eastAsia="Times New Roman" w:hAnsi="Aptos" w:cs="Arial"/>
                <w:sz w:val="20"/>
                <w:szCs w:val="20"/>
              </w:rPr>
              <w:t>1017</w:t>
            </w:r>
          </w:p>
        </w:tc>
        <w:tc>
          <w:tcPr>
            <w:tcW w:w="709" w:type="dxa"/>
            <w:vAlign w:val="center"/>
          </w:tcPr>
          <w:p w14:paraId="30FF0C26"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97</w:t>
            </w:r>
            <w:r>
              <w:rPr>
                <w:rFonts w:ascii="Aptos" w:eastAsia="Times New Roman" w:hAnsi="Aptos" w:cs="Arial"/>
                <w:sz w:val="20"/>
                <w:szCs w:val="20"/>
              </w:rPr>
              <w:t>0</w:t>
            </w:r>
          </w:p>
        </w:tc>
        <w:tc>
          <w:tcPr>
            <w:tcW w:w="850" w:type="dxa"/>
            <w:vAlign w:val="center"/>
          </w:tcPr>
          <w:p w14:paraId="4381E6D2" w14:textId="77777777" w:rsidR="002A7D19" w:rsidRPr="000D2DF6" w:rsidRDefault="002A7D19" w:rsidP="003A31ED">
            <w:pPr>
              <w:spacing w:after="0"/>
              <w:ind w:right="27"/>
              <w:jc w:val="center"/>
              <w:rPr>
                <w:rFonts w:ascii="Aptos" w:eastAsia="Times New Roman" w:hAnsi="Aptos" w:cs="Arial"/>
                <w:sz w:val="20"/>
                <w:szCs w:val="20"/>
              </w:rPr>
            </w:pPr>
            <w:r w:rsidRPr="000D2DF6">
              <w:rPr>
                <w:rFonts w:ascii="Aptos" w:eastAsia="Times New Roman" w:hAnsi="Aptos" w:cs="Arial"/>
                <w:sz w:val="20"/>
                <w:szCs w:val="20"/>
              </w:rPr>
              <w:t>120</w:t>
            </w:r>
            <w:r>
              <w:rPr>
                <w:rFonts w:ascii="Aptos" w:eastAsia="Times New Roman" w:hAnsi="Aptos" w:cs="Arial"/>
                <w:sz w:val="20"/>
                <w:szCs w:val="20"/>
              </w:rPr>
              <w:t>4</w:t>
            </w:r>
          </w:p>
        </w:tc>
        <w:tc>
          <w:tcPr>
            <w:tcW w:w="709" w:type="dxa"/>
            <w:vAlign w:val="center"/>
          </w:tcPr>
          <w:p w14:paraId="6980D809" w14:textId="77777777" w:rsidR="002A7D19" w:rsidRPr="000D2DF6" w:rsidRDefault="002A7D19" w:rsidP="003A31ED">
            <w:pPr>
              <w:spacing w:after="0"/>
              <w:ind w:right="27"/>
              <w:jc w:val="center"/>
              <w:rPr>
                <w:rFonts w:ascii="Aptos" w:eastAsia="Times New Roman" w:hAnsi="Aptos" w:cs="Arial"/>
                <w:sz w:val="20"/>
                <w:szCs w:val="20"/>
              </w:rPr>
            </w:pPr>
            <w:r w:rsidRPr="000D2DF6">
              <w:rPr>
                <w:rFonts w:ascii="Aptos" w:eastAsia="Times New Roman" w:hAnsi="Aptos" w:cs="Arial"/>
                <w:sz w:val="20"/>
                <w:szCs w:val="20"/>
              </w:rPr>
              <w:t>1094</w:t>
            </w:r>
          </w:p>
        </w:tc>
        <w:tc>
          <w:tcPr>
            <w:tcW w:w="567" w:type="dxa"/>
            <w:vAlign w:val="center"/>
          </w:tcPr>
          <w:p w14:paraId="0EECB1A1"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110</w:t>
            </w:r>
            <w:r>
              <w:rPr>
                <w:rFonts w:ascii="Aptos" w:eastAsia="Times New Roman" w:hAnsi="Aptos" w:cs="Arial"/>
                <w:sz w:val="20"/>
                <w:szCs w:val="20"/>
              </w:rPr>
              <w:t>7</w:t>
            </w:r>
          </w:p>
        </w:tc>
        <w:tc>
          <w:tcPr>
            <w:tcW w:w="851" w:type="dxa"/>
            <w:vAlign w:val="center"/>
          </w:tcPr>
          <w:p w14:paraId="29673798" w14:textId="77777777" w:rsidR="002A7D19" w:rsidRPr="000D2DF6" w:rsidRDefault="002A7D19" w:rsidP="003A31ED">
            <w:pPr>
              <w:spacing w:after="0"/>
              <w:ind w:right="34"/>
              <w:jc w:val="center"/>
              <w:rPr>
                <w:rFonts w:ascii="Aptos" w:eastAsia="Times New Roman" w:hAnsi="Aptos" w:cs="Arial"/>
                <w:sz w:val="20"/>
                <w:szCs w:val="20"/>
              </w:rPr>
            </w:pPr>
            <w:r w:rsidRPr="000D2DF6">
              <w:rPr>
                <w:rFonts w:ascii="Aptos" w:eastAsia="Times New Roman" w:hAnsi="Aptos" w:cs="Arial"/>
                <w:sz w:val="20"/>
                <w:szCs w:val="20"/>
              </w:rPr>
              <w:t>112</w:t>
            </w:r>
            <w:r>
              <w:rPr>
                <w:rFonts w:ascii="Aptos" w:eastAsia="Times New Roman" w:hAnsi="Aptos" w:cs="Arial"/>
                <w:sz w:val="20"/>
                <w:szCs w:val="20"/>
              </w:rPr>
              <w:t>4</w:t>
            </w:r>
          </w:p>
        </w:tc>
        <w:tc>
          <w:tcPr>
            <w:tcW w:w="1417" w:type="dxa"/>
          </w:tcPr>
          <w:p w14:paraId="77CC8E58"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1470 to 1749</w:t>
            </w:r>
          </w:p>
        </w:tc>
        <w:tc>
          <w:tcPr>
            <w:tcW w:w="1467" w:type="dxa"/>
          </w:tcPr>
          <w:p w14:paraId="7D7DB4C9"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1563 to 1878</w:t>
            </w:r>
          </w:p>
        </w:tc>
        <w:tc>
          <w:tcPr>
            <w:tcW w:w="1368" w:type="dxa"/>
          </w:tcPr>
          <w:p w14:paraId="5A8D75BC"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1819 to 2127</w:t>
            </w:r>
          </w:p>
        </w:tc>
        <w:tc>
          <w:tcPr>
            <w:tcW w:w="1418" w:type="dxa"/>
          </w:tcPr>
          <w:p w14:paraId="7FEA8ABB"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1978 to 2184</w:t>
            </w:r>
          </w:p>
        </w:tc>
      </w:tr>
      <w:tr w:rsidR="002A7D19" w:rsidRPr="000D2DF6" w14:paraId="0F550D09" w14:textId="77777777" w:rsidTr="003A31ED">
        <w:tc>
          <w:tcPr>
            <w:tcW w:w="1079" w:type="dxa"/>
            <w:vAlign w:val="center"/>
          </w:tcPr>
          <w:p w14:paraId="1A0E5942" w14:textId="77777777" w:rsidR="002A7D19" w:rsidRPr="000D2DF6" w:rsidRDefault="002A7D19" w:rsidP="003A31ED">
            <w:pPr>
              <w:spacing w:after="0"/>
              <w:ind w:right="-1346"/>
              <w:rPr>
                <w:rFonts w:ascii="Aptos" w:eastAsia="Times New Roman" w:hAnsi="Aptos" w:cs="Arial"/>
                <w:sz w:val="20"/>
                <w:szCs w:val="20"/>
              </w:rPr>
            </w:pPr>
            <w:r w:rsidRPr="000D2DF6">
              <w:rPr>
                <w:rFonts w:ascii="Aptos" w:eastAsia="Times New Roman" w:hAnsi="Aptos" w:cs="Arial"/>
                <w:sz w:val="20"/>
                <w:szCs w:val="20"/>
              </w:rPr>
              <w:t>14 - 18 yr</w:t>
            </w:r>
          </w:p>
        </w:tc>
        <w:tc>
          <w:tcPr>
            <w:tcW w:w="901" w:type="dxa"/>
            <w:vMerge/>
            <w:vAlign w:val="center"/>
          </w:tcPr>
          <w:p w14:paraId="338300C2" w14:textId="77777777" w:rsidR="002A7D19" w:rsidRPr="000D2DF6" w:rsidRDefault="002A7D19" w:rsidP="003A31ED">
            <w:pPr>
              <w:spacing w:after="0"/>
              <w:ind w:right="38"/>
              <w:jc w:val="center"/>
              <w:rPr>
                <w:rFonts w:ascii="Aptos" w:eastAsia="Times New Roman" w:hAnsi="Aptos" w:cs="Arial"/>
                <w:sz w:val="20"/>
                <w:szCs w:val="20"/>
              </w:rPr>
            </w:pPr>
          </w:p>
        </w:tc>
        <w:tc>
          <w:tcPr>
            <w:tcW w:w="1276" w:type="dxa"/>
            <w:vMerge/>
            <w:vAlign w:val="center"/>
          </w:tcPr>
          <w:p w14:paraId="43C0ECC4" w14:textId="77777777" w:rsidR="002A7D19" w:rsidRPr="000D2DF6" w:rsidRDefault="002A7D19" w:rsidP="003A31ED">
            <w:pPr>
              <w:spacing w:after="0"/>
              <w:ind w:right="-115"/>
              <w:jc w:val="center"/>
              <w:rPr>
                <w:rFonts w:ascii="Aptos" w:eastAsia="Times New Roman" w:hAnsi="Aptos" w:cs="Arial"/>
                <w:sz w:val="20"/>
                <w:szCs w:val="20"/>
              </w:rPr>
            </w:pPr>
          </w:p>
        </w:tc>
        <w:tc>
          <w:tcPr>
            <w:tcW w:w="534" w:type="dxa"/>
            <w:vAlign w:val="center"/>
          </w:tcPr>
          <w:p w14:paraId="5B47F052"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1723</w:t>
            </w:r>
          </w:p>
        </w:tc>
        <w:tc>
          <w:tcPr>
            <w:tcW w:w="625" w:type="dxa"/>
            <w:vAlign w:val="center"/>
          </w:tcPr>
          <w:p w14:paraId="71DB60D0"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1635</w:t>
            </w:r>
          </w:p>
        </w:tc>
        <w:tc>
          <w:tcPr>
            <w:tcW w:w="709" w:type="dxa"/>
            <w:vAlign w:val="center"/>
          </w:tcPr>
          <w:p w14:paraId="081E0267" w14:textId="77777777" w:rsidR="002A7D19" w:rsidRPr="000D2DF6" w:rsidRDefault="002A7D19" w:rsidP="003A31ED">
            <w:pPr>
              <w:spacing w:after="0"/>
              <w:ind w:right="36"/>
              <w:jc w:val="center"/>
              <w:rPr>
                <w:rFonts w:ascii="Aptos" w:eastAsia="Times New Roman" w:hAnsi="Aptos" w:cs="Arial"/>
                <w:sz w:val="20"/>
                <w:szCs w:val="20"/>
              </w:rPr>
            </w:pPr>
            <w:r w:rsidRPr="000D2DF6">
              <w:rPr>
                <w:rFonts w:ascii="Aptos" w:eastAsia="Times New Roman" w:hAnsi="Aptos" w:cs="Arial"/>
                <w:sz w:val="20"/>
                <w:szCs w:val="20"/>
              </w:rPr>
              <w:t>1151</w:t>
            </w:r>
          </w:p>
        </w:tc>
        <w:tc>
          <w:tcPr>
            <w:tcW w:w="709" w:type="dxa"/>
            <w:vAlign w:val="center"/>
          </w:tcPr>
          <w:p w14:paraId="024EE032"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106</w:t>
            </w:r>
            <w:r>
              <w:rPr>
                <w:rFonts w:ascii="Aptos" w:eastAsia="Times New Roman" w:hAnsi="Aptos" w:cs="Arial"/>
                <w:sz w:val="20"/>
                <w:szCs w:val="20"/>
              </w:rPr>
              <w:t>2</w:t>
            </w:r>
          </w:p>
        </w:tc>
        <w:tc>
          <w:tcPr>
            <w:tcW w:w="850" w:type="dxa"/>
            <w:vAlign w:val="center"/>
          </w:tcPr>
          <w:p w14:paraId="26FB892D" w14:textId="77777777" w:rsidR="002A7D19" w:rsidRPr="000D2DF6" w:rsidRDefault="002A7D19" w:rsidP="003A31ED">
            <w:pPr>
              <w:spacing w:after="0"/>
              <w:ind w:right="27"/>
              <w:jc w:val="center"/>
              <w:rPr>
                <w:rFonts w:ascii="Aptos" w:eastAsia="Times New Roman" w:hAnsi="Aptos" w:cs="Arial"/>
                <w:sz w:val="20"/>
                <w:szCs w:val="20"/>
              </w:rPr>
            </w:pPr>
            <w:r w:rsidRPr="000D2DF6">
              <w:rPr>
                <w:rFonts w:ascii="Aptos" w:eastAsia="Times New Roman" w:hAnsi="Aptos" w:cs="Arial"/>
                <w:sz w:val="20"/>
                <w:szCs w:val="20"/>
              </w:rPr>
              <w:t>1414</w:t>
            </w:r>
          </w:p>
        </w:tc>
        <w:tc>
          <w:tcPr>
            <w:tcW w:w="709" w:type="dxa"/>
            <w:vAlign w:val="center"/>
          </w:tcPr>
          <w:p w14:paraId="1ACA40DE" w14:textId="77777777" w:rsidR="002A7D19" w:rsidRPr="000D2DF6" w:rsidRDefault="002A7D19" w:rsidP="003A31ED">
            <w:pPr>
              <w:spacing w:after="0"/>
              <w:ind w:right="27"/>
              <w:jc w:val="center"/>
              <w:rPr>
                <w:rFonts w:ascii="Aptos" w:eastAsia="Times New Roman" w:hAnsi="Aptos" w:cs="Arial"/>
                <w:sz w:val="20"/>
                <w:szCs w:val="20"/>
              </w:rPr>
            </w:pPr>
            <w:r w:rsidRPr="000D2DF6">
              <w:rPr>
                <w:rFonts w:ascii="Aptos" w:eastAsia="Times New Roman" w:hAnsi="Aptos" w:cs="Arial"/>
                <w:sz w:val="20"/>
                <w:szCs w:val="20"/>
              </w:rPr>
              <w:t>1271</w:t>
            </w:r>
          </w:p>
        </w:tc>
        <w:tc>
          <w:tcPr>
            <w:tcW w:w="567" w:type="dxa"/>
            <w:vAlign w:val="center"/>
          </w:tcPr>
          <w:p w14:paraId="5C2753FF" w14:textId="77777777" w:rsidR="002A7D19" w:rsidRPr="000D2DF6" w:rsidRDefault="002A7D19"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1579</w:t>
            </w:r>
          </w:p>
        </w:tc>
        <w:tc>
          <w:tcPr>
            <w:tcW w:w="851" w:type="dxa"/>
            <w:vAlign w:val="center"/>
          </w:tcPr>
          <w:p w14:paraId="6BCE452F" w14:textId="77777777" w:rsidR="002A7D19" w:rsidRPr="000D2DF6" w:rsidRDefault="002A7D19" w:rsidP="003A31ED">
            <w:pPr>
              <w:spacing w:after="0"/>
              <w:ind w:right="34"/>
              <w:jc w:val="center"/>
              <w:rPr>
                <w:rFonts w:ascii="Aptos" w:eastAsia="Times New Roman" w:hAnsi="Aptos" w:cs="Arial"/>
                <w:sz w:val="20"/>
                <w:szCs w:val="20"/>
              </w:rPr>
            </w:pPr>
            <w:r w:rsidRPr="000D2DF6">
              <w:rPr>
                <w:rFonts w:ascii="Aptos" w:eastAsia="Times New Roman" w:hAnsi="Aptos" w:cs="Arial"/>
                <w:sz w:val="20"/>
                <w:szCs w:val="20"/>
              </w:rPr>
              <w:t>1375</w:t>
            </w:r>
          </w:p>
        </w:tc>
        <w:tc>
          <w:tcPr>
            <w:tcW w:w="1417" w:type="dxa"/>
          </w:tcPr>
          <w:p w14:paraId="63411D53"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1770 to 2137</w:t>
            </w:r>
          </w:p>
        </w:tc>
        <w:tc>
          <w:tcPr>
            <w:tcW w:w="1467" w:type="dxa"/>
          </w:tcPr>
          <w:p w14:paraId="540EDFBA"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2005 to 2296</w:t>
            </w:r>
          </w:p>
        </w:tc>
        <w:tc>
          <w:tcPr>
            <w:tcW w:w="1368" w:type="dxa"/>
          </w:tcPr>
          <w:p w14:paraId="59A9D5F5"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2241 to 2559</w:t>
            </w:r>
          </w:p>
        </w:tc>
        <w:tc>
          <w:tcPr>
            <w:tcW w:w="1418" w:type="dxa"/>
          </w:tcPr>
          <w:p w14:paraId="63820DB7" w14:textId="77777777" w:rsidR="002A7D19" w:rsidRPr="000D2DF6" w:rsidRDefault="002A7D19" w:rsidP="003A31ED">
            <w:pPr>
              <w:spacing w:after="0"/>
              <w:ind w:right="34"/>
              <w:jc w:val="center"/>
              <w:rPr>
                <w:rFonts w:ascii="Aptos" w:eastAsia="Times New Roman" w:hAnsi="Aptos" w:cs="Arial"/>
                <w:sz w:val="20"/>
                <w:szCs w:val="20"/>
              </w:rPr>
            </w:pPr>
            <w:r>
              <w:rPr>
                <w:rFonts w:ascii="Aptos" w:eastAsia="Times New Roman" w:hAnsi="Aptos" w:cs="Arial"/>
                <w:sz w:val="20"/>
                <w:szCs w:val="20"/>
              </w:rPr>
              <w:t>2499 to 2644</w:t>
            </w:r>
          </w:p>
        </w:tc>
      </w:tr>
    </w:tbl>
    <w:p w14:paraId="4CE1C6CB"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Resource impacts</w:t>
      </w:r>
    </w:p>
    <w:p w14:paraId="0C944040" w14:textId="77777777" w:rsidR="002A7D19" w:rsidRDefault="002A7D19" w:rsidP="002A7D19">
      <w:pPr>
        <w:rPr>
          <w:rFonts w:eastAsia="Times New Roman" w:cs="Arial"/>
          <w:iCs/>
          <w:szCs w:val="20"/>
        </w:rPr>
      </w:pPr>
      <w:r>
        <w:rPr>
          <w:rFonts w:eastAsia="Times New Roman" w:cs="Arial"/>
          <w:iCs/>
          <w:szCs w:val="20"/>
        </w:rPr>
        <w:t xml:space="preserve">There </w:t>
      </w:r>
      <w:proofErr w:type="gramStart"/>
      <w:r>
        <w:rPr>
          <w:rFonts w:eastAsia="Times New Roman" w:cs="Arial"/>
          <w:iCs/>
          <w:szCs w:val="20"/>
        </w:rPr>
        <w:t>are</w:t>
      </w:r>
      <w:proofErr w:type="gramEnd"/>
      <w:r>
        <w:rPr>
          <w:rFonts w:eastAsia="Times New Roman" w:cs="Arial"/>
          <w:iCs/>
          <w:szCs w:val="20"/>
        </w:rPr>
        <w:t xml:space="preserve"> no resource impacts associated with r</w:t>
      </w:r>
      <w:r w:rsidRPr="003F785D">
        <w:rPr>
          <w:rFonts w:eastAsia="Times New Roman" w:cs="Arial"/>
          <w:iCs/>
          <w:szCs w:val="20"/>
        </w:rPr>
        <w:t>etaining the current</w:t>
      </w:r>
      <w:r>
        <w:rPr>
          <w:rFonts w:eastAsia="Times New Roman" w:cs="Arial"/>
          <w:iCs/>
          <w:szCs w:val="20"/>
        </w:rPr>
        <w:t xml:space="preserve"> AI</w:t>
      </w:r>
      <w:r w:rsidRPr="003F785D">
        <w:rPr>
          <w:rFonts w:eastAsia="Times New Roman" w:cs="Arial"/>
          <w:iCs/>
          <w:szCs w:val="20"/>
        </w:rPr>
        <w:t xml:space="preserve"> values</w:t>
      </w:r>
      <w:r>
        <w:rPr>
          <w:rFonts w:eastAsia="Times New Roman" w:cs="Arial"/>
          <w:iCs/>
          <w:szCs w:val="20"/>
        </w:rPr>
        <w:t>.</w:t>
      </w:r>
    </w:p>
    <w:p w14:paraId="2E719D4F" w14:textId="77777777" w:rsidR="002A7D19" w:rsidRDefault="002A7D19" w:rsidP="002A7D19">
      <w:pPr>
        <w:keepNext/>
        <w:spacing w:after="120"/>
        <w:rPr>
          <w:rFonts w:eastAsia="Times New Roman" w:cs="Arial"/>
          <w:szCs w:val="20"/>
        </w:rPr>
      </w:pPr>
      <w:r>
        <w:rPr>
          <w:rFonts w:eastAsia="Times New Roman" w:cs="Arial"/>
          <w:szCs w:val="20"/>
        </w:rPr>
        <w:t xml:space="preserve">In contrast, revising the recommended AI may have </w:t>
      </w:r>
      <w:r w:rsidRPr="00211817">
        <w:rPr>
          <w:rFonts w:eastAsia="Times New Roman" w:cs="Arial"/>
          <w:szCs w:val="20"/>
        </w:rPr>
        <w:t xml:space="preserve">implications for </w:t>
      </w:r>
      <w:r>
        <w:rPr>
          <w:rFonts w:eastAsia="Times New Roman" w:cs="Arial"/>
          <w:szCs w:val="20"/>
        </w:rPr>
        <w:t xml:space="preserve">policy makers to ensure appropriate public health standards, interventions and messaging and </w:t>
      </w:r>
      <w:r w:rsidRPr="00211817">
        <w:rPr>
          <w:rFonts w:eastAsia="Times New Roman" w:cs="Arial"/>
          <w:szCs w:val="20"/>
        </w:rPr>
        <w:t>regulators, including FSANZ (food and food products) and the TGA (supplements).</w:t>
      </w:r>
      <w:r>
        <w:rPr>
          <w:rFonts w:eastAsia="Times New Roman" w:cs="Arial"/>
          <w:szCs w:val="20"/>
        </w:rPr>
        <w:t xml:space="preserve"> However, if an increase is recommended, v</w:t>
      </w:r>
      <w:r w:rsidRPr="00211817">
        <w:rPr>
          <w:rFonts w:eastAsia="Times New Roman" w:cs="Arial"/>
          <w:szCs w:val="20"/>
        </w:rPr>
        <w:t xml:space="preserve">iews </w:t>
      </w:r>
      <w:r>
        <w:rPr>
          <w:rFonts w:eastAsia="Times New Roman" w:cs="Arial"/>
          <w:szCs w:val="20"/>
        </w:rPr>
        <w:t xml:space="preserve">can </w:t>
      </w:r>
      <w:r w:rsidRPr="00211817">
        <w:rPr>
          <w:rFonts w:eastAsia="Times New Roman" w:cs="Arial"/>
          <w:szCs w:val="20"/>
        </w:rPr>
        <w:t xml:space="preserve">be sought during targeted/stakeholder consultation and considered when </w:t>
      </w:r>
      <w:r>
        <w:rPr>
          <w:rFonts w:eastAsia="Times New Roman" w:cs="Arial"/>
          <w:szCs w:val="20"/>
        </w:rPr>
        <w:t xml:space="preserve">determining </w:t>
      </w:r>
      <w:r w:rsidRPr="00211817">
        <w:rPr>
          <w:rFonts w:eastAsia="Times New Roman" w:cs="Arial"/>
          <w:szCs w:val="20"/>
        </w:rPr>
        <w:t>final NRVs</w:t>
      </w:r>
      <w:r>
        <w:rPr>
          <w:rFonts w:eastAsia="Times New Roman" w:cs="Arial"/>
          <w:szCs w:val="20"/>
        </w:rPr>
        <w:t>.</w:t>
      </w:r>
    </w:p>
    <w:p w14:paraId="57ACB32B"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Other factors (health equity impacts, sustainability, nutrient interactions)</w:t>
      </w:r>
    </w:p>
    <w:p w14:paraId="17625FCD" w14:textId="77777777" w:rsidR="002A7D19" w:rsidRDefault="002A7D19" w:rsidP="002A7D19">
      <w:pPr>
        <w:pStyle w:val="Heading4"/>
      </w:pPr>
      <w:r>
        <w:t>Equity impacts</w:t>
      </w:r>
    </w:p>
    <w:p w14:paraId="3401F385" w14:textId="77777777" w:rsidR="002A7D19" w:rsidRDefault="002A7D19" w:rsidP="002A7D19">
      <w:pPr>
        <w:spacing w:after="120"/>
        <w:ind w:right="172"/>
        <w:rPr>
          <w:rFonts w:eastAsia="Times New Roman" w:cs="Arial"/>
          <w:iCs/>
        </w:rPr>
      </w:pPr>
      <w:r w:rsidRPr="00A635FB">
        <w:rPr>
          <w:rFonts w:eastAsia="Times New Roman" w:cs="Arial"/>
          <w:iCs/>
        </w:rPr>
        <w:t xml:space="preserve">Equity impacts relating to sodium consumption predominantly relate to excess sodium consumption among vulnerable groups. </w:t>
      </w:r>
      <w:proofErr w:type="gramStart"/>
      <w:r w:rsidRPr="00A635FB">
        <w:rPr>
          <w:rFonts w:eastAsia="Times New Roman" w:cs="Arial"/>
          <w:iCs/>
        </w:rPr>
        <w:t>Consequently</w:t>
      </w:r>
      <w:proofErr w:type="gramEnd"/>
      <w:r w:rsidRPr="00A635FB">
        <w:rPr>
          <w:rFonts w:eastAsia="Times New Roman" w:cs="Arial"/>
          <w:iCs/>
        </w:rPr>
        <w:t xml:space="preserve"> no specific considerations have been identified relevant to achieving an Adequate Intake. </w:t>
      </w:r>
    </w:p>
    <w:p w14:paraId="49E80A0F" w14:textId="77777777" w:rsidR="002A7D19" w:rsidRPr="00857B0C" w:rsidRDefault="002A7D19" w:rsidP="002A7D19">
      <w:pPr>
        <w:pStyle w:val="Heading4"/>
      </w:pPr>
      <w:r w:rsidRPr="00857B0C">
        <w:t>Other nutrients</w:t>
      </w:r>
    </w:p>
    <w:p w14:paraId="65D6CBFF" w14:textId="77777777" w:rsidR="002A7D19" w:rsidRDefault="002A7D19" w:rsidP="002A7D19">
      <w:pPr>
        <w:spacing w:after="120"/>
        <w:ind w:right="172"/>
        <w:rPr>
          <w:rFonts w:eastAsia="Times New Roman" w:cs="Arial"/>
          <w:iCs/>
        </w:rPr>
      </w:pPr>
      <w:r w:rsidRPr="00594C6B">
        <w:rPr>
          <w:rFonts w:eastAsia="Times New Roman" w:cs="Arial"/>
          <w:iCs/>
        </w:rPr>
        <w:t>Sodium is widespread in the basic food supply and consequently the A</w:t>
      </w:r>
      <w:r>
        <w:rPr>
          <w:rFonts w:eastAsia="Times New Roman" w:cs="Arial"/>
          <w:iCs/>
        </w:rPr>
        <w:t xml:space="preserve">dequate </w:t>
      </w:r>
      <w:r w:rsidRPr="00594C6B">
        <w:rPr>
          <w:rFonts w:eastAsia="Times New Roman" w:cs="Arial"/>
          <w:iCs/>
        </w:rPr>
        <w:t>I</w:t>
      </w:r>
      <w:r>
        <w:rPr>
          <w:rFonts w:eastAsia="Times New Roman" w:cs="Arial"/>
          <w:iCs/>
        </w:rPr>
        <w:t>ntake</w:t>
      </w:r>
      <w:r w:rsidRPr="00594C6B">
        <w:rPr>
          <w:rFonts w:eastAsia="Times New Roman" w:cs="Arial"/>
          <w:iCs/>
        </w:rPr>
        <w:t xml:space="preserve"> must also </w:t>
      </w:r>
      <w:r>
        <w:rPr>
          <w:rFonts w:eastAsia="Times New Roman" w:cs="Arial"/>
          <w:iCs/>
        </w:rPr>
        <w:t xml:space="preserve">support achievement of </w:t>
      </w:r>
      <w:r w:rsidRPr="00594C6B">
        <w:rPr>
          <w:rFonts w:eastAsia="Times New Roman" w:cs="Arial"/>
          <w:iCs/>
        </w:rPr>
        <w:t xml:space="preserve">balanced nutrient intake </w:t>
      </w:r>
      <w:r>
        <w:rPr>
          <w:rFonts w:eastAsia="Times New Roman" w:cs="Arial"/>
          <w:iCs/>
        </w:rPr>
        <w:t xml:space="preserve">across all </w:t>
      </w:r>
      <w:r w:rsidRPr="00594C6B">
        <w:rPr>
          <w:rFonts w:eastAsia="Times New Roman" w:cs="Arial"/>
          <w:iCs/>
        </w:rPr>
        <w:t xml:space="preserve">essential nutrients </w:t>
      </w:r>
      <w:r>
        <w:rPr>
          <w:rFonts w:eastAsia="Times New Roman" w:cs="Arial"/>
          <w:iCs/>
        </w:rPr>
        <w:t xml:space="preserve">from whole </w:t>
      </w:r>
      <w:r w:rsidRPr="00594C6B">
        <w:rPr>
          <w:rFonts w:eastAsia="Times New Roman" w:cs="Arial"/>
          <w:iCs/>
        </w:rPr>
        <w:t>diet</w:t>
      </w:r>
      <w:r>
        <w:rPr>
          <w:rFonts w:eastAsia="Times New Roman" w:cs="Arial"/>
          <w:iCs/>
        </w:rPr>
        <w:t>s</w:t>
      </w:r>
      <w:r w:rsidRPr="00594C6B">
        <w:rPr>
          <w:rFonts w:eastAsia="Times New Roman" w:cs="Arial"/>
          <w:iCs/>
        </w:rPr>
        <w:t>.</w:t>
      </w:r>
      <w:r>
        <w:rPr>
          <w:rFonts w:eastAsia="Times New Roman" w:cs="Arial"/>
          <w:iCs/>
        </w:rPr>
        <w:t xml:space="preserve"> Establishing the AI at a level that can only be achieved with a highly restricted dietary intake may have adverse impacts on the ability to achieve requirements for other essential nutrients.</w:t>
      </w:r>
    </w:p>
    <w:p w14:paraId="7C5CDAB6" w14:textId="77777777" w:rsidR="002A7D19" w:rsidRDefault="002A7D19" w:rsidP="002A7D19">
      <w:pPr>
        <w:spacing w:after="120"/>
        <w:ind w:right="172"/>
        <w:rPr>
          <w:rFonts w:eastAsia="Times New Roman" w:cs="Arial"/>
          <w:iCs/>
        </w:rPr>
      </w:pPr>
      <w:r>
        <w:rPr>
          <w:rFonts w:eastAsia="Times New Roman" w:cs="Arial"/>
          <w:iCs/>
        </w:rPr>
        <w:lastRenderedPageBreak/>
        <w:t xml:space="preserve">Although sodium interacts closely with potassium, chloride and calcium, these nutrient interactions are not sufficiently characterised to inform sodium NRV establishment </w:t>
      </w:r>
      <w:r>
        <w:rPr>
          <w:rFonts w:eastAsia="Times New Roman" w:cs="Arial"/>
          <w:iCs/>
        </w:rPr>
        <w:fldChar w:fldCharType="begin"/>
      </w:r>
      <w:r>
        <w:rPr>
          <w:rFonts w:eastAsia="Times New Roman" w:cs="Arial"/>
          <w:iCs/>
        </w:rPr>
        <w:instrText xml:space="preserve"> ADDIN EN.CITE &lt;EndNote&gt;&lt;Cite ExcludeAuth="1"&gt;&lt;Author&gt;European Food Safety Authority&lt;/Author&gt;&lt;Year&gt;2019&lt;/Year&gt;&lt;RecNum&gt;4610&lt;/RecNum&gt;&lt;Prefix&gt;EFSA`, &lt;/Prefix&gt;&lt;DisplayText&gt;(EFSA, 2019; NASEM, 2019)&lt;/DisplayText&gt;&lt;record&gt;&lt;rec-number&gt;4610&lt;/rec-number&gt;&lt;foreign-keys&gt;&lt;key app="EN" db-id="wwsdv2wwp29fenerv0kx5tw9zxtx2fdrprx2" timestamp="1774919605"&gt;4610&lt;/key&gt;&lt;/foreign-keys&gt;&lt;ref-type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Cite ExcludeAuth="1"&gt;&lt;Author&gt;National Academies of Sciences&lt;/Author&gt;&lt;Year&gt;2019&lt;/Year&gt;&lt;RecNum&gt;4618&lt;/RecNum&gt;&lt;Prefix&gt;NASEM`, &lt;/Prefix&gt;&lt;record&gt;&lt;rec-number&gt;4618&lt;/rec-number&gt;&lt;foreign-keys&gt;&lt;key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Pr>
          <w:rFonts w:eastAsia="Times New Roman" w:cs="Arial"/>
          <w:iCs/>
        </w:rPr>
        <w:fldChar w:fldCharType="separate"/>
      </w:r>
      <w:r>
        <w:rPr>
          <w:rFonts w:eastAsia="Times New Roman" w:cs="Arial"/>
          <w:iCs/>
          <w:noProof/>
        </w:rPr>
        <w:t>(EFSA, 2019; NASEM, 2019)</w:t>
      </w:r>
      <w:r>
        <w:rPr>
          <w:rFonts w:eastAsia="Times New Roman" w:cs="Arial"/>
          <w:iCs/>
        </w:rPr>
        <w:fldChar w:fldCharType="end"/>
      </w:r>
      <w:r>
        <w:rPr>
          <w:rFonts w:eastAsia="Times New Roman" w:cs="Arial"/>
          <w:iCs/>
        </w:rPr>
        <w:t xml:space="preserve">. </w:t>
      </w:r>
    </w:p>
    <w:p w14:paraId="113F7999" w14:textId="77777777" w:rsidR="002A7D19" w:rsidRPr="00104BD2" w:rsidRDefault="002A7D19" w:rsidP="002A7D19">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Decision</w:t>
      </w:r>
    </w:p>
    <w:p w14:paraId="4B289143" w14:textId="0F3B2C17" w:rsidR="002A7D19" w:rsidRDefault="00895665" w:rsidP="002A7D19">
      <w:pPr>
        <w:keepNext/>
        <w:spacing w:after="120"/>
        <w:rPr>
          <w:rFonts w:eastAsia="Times New Roman" w:cs="Arial"/>
          <w:szCs w:val="20"/>
        </w:rPr>
      </w:pPr>
      <w:r>
        <w:t>V</w:t>
      </w:r>
      <w:r w:rsidR="002A7D19">
        <w:t xml:space="preserve">alues </w:t>
      </w:r>
      <w:r>
        <w:t xml:space="preserve">to be extrapolated </w:t>
      </w:r>
      <w:r w:rsidR="002A7D19">
        <w:t xml:space="preserve">from </w:t>
      </w:r>
      <w:r>
        <w:t xml:space="preserve">the </w:t>
      </w:r>
      <w:r w:rsidR="002A7D19">
        <w:t>adult AI of 920mg/day in the absence of sufficient evidence from which to derive a recommendation for children and adolescents.</w:t>
      </w:r>
    </w:p>
    <w:bookmarkEnd w:id="161"/>
    <w:p w14:paraId="16746292" w14:textId="77777777" w:rsidR="00F22E60" w:rsidRDefault="00F22E60">
      <w:pPr>
        <w:rPr>
          <w:rFonts w:asciiTheme="majorHAnsi" w:eastAsiaTheme="majorEastAsia" w:hAnsiTheme="majorHAnsi" w:cstheme="majorBidi"/>
          <w:color w:val="0F4761" w:themeColor="accent1" w:themeShade="BF"/>
          <w:sz w:val="32"/>
          <w:szCs w:val="32"/>
          <w:lang w:eastAsia="en-AU"/>
        </w:rPr>
      </w:pPr>
      <w:r>
        <w:rPr>
          <w:lang w:eastAsia="en-AU"/>
        </w:rPr>
        <w:br w:type="page"/>
      </w:r>
    </w:p>
    <w:p w14:paraId="6E599765" w14:textId="33DF3EAE" w:rsidR="002A7D19" w:rsidRPr="00CB560E" w:rsidRDefault="00895665" w:rsidP="00F22E60">
      <w:pPr>
        <w:pStyle w:val="Heading2"/>
        <w:rPr>
          <w:lang w:eastAsia="en-AU"/>
        </w:rPr>
      </w:pPr>
      <w:bookmarkStart w:id="165" w:name="_Toc234960915"/>
      <w:r w:rsidRPr="00CB560E">
        <w:rPr>
          <w:lang w:eastAsia="en-AU"/>
        </w:rPr>
        <w:lastRenderedPageBreak/>
        <w:t>References</w:t>
      </w:r>
      <w:bookmarkEnd w:id="165"/>
    </w:p>
    <w:p w14:paraId="127CD4FE" w14:textId="3F06BFD9" w:rsidR="002A7D19" w:rsidRPr="00F95F9F" w:rsidRDefault="002A7D19" w:rsidP="002A7D19">
      <w:pPr>
        <w:pStyle w:val="EndNoteBibliography"/>
        <w:spacing w:after="0"/>
        <w:ind w:left="720" w:hanging="720"/>
      </w:pPr>
      <w:r>
        <w:fldChar w:fldCharType="begin"/>
      </w:r>
      <w:r>
        <w:instrText xml:space="preserve"> ADDIN EN.REFLIST </w:instrText>
      </w:r>
      <w:r>
        <w:fldChar w:fldCharType="separate"/>
      </w:r>
      <w:r w:rsidRPr="00F95F9F">
        <w:t>Australian Bureau of Statistics. (2023).</w:t>
      </w:r>
      <w:r w:rsidRPr="00F95F9F">
        <w:rPr>
          <w:i/>
        </w:rPr>
        <w:t xml:space="preserve"> National Nutrition and Physical Activity Survey: Food and nutrients</w:t>
      </w:r>
      <w:r w:rsidRPr="00F95F9F">
        <w:t xml:space="preserve"> (</w:t>
      </w:r>
      <w:hyperlink r:id="rId223" w:history="1">
        <w:r w:rsidRPr="00F95F9F">
          <w:rPr>
            <w:rStyle w:val="Hyperlink"/>
          </w:rPr>
          <w:t>https://www.abs.gov.au/statistics/health/food-and-nutrition/food-and-nutrients/2023</w:t>
        </w:r>
      </w:hyperlink>
      <w:r w:rsidRPr="00F95F9F">
        <w:t xml:space="preserve"> </w:t>
      </w:r>
    </w:p>
    <w:p w14:paraId="5A03E246" w14:textId="2C3893F0" w:rsidR="002A7D19" w:rsidRPr="00F95F9F" w:rsidRDefault="002A7D19" w:rsidP="002A7D19">
      <w:pPr>
        <w:pStyle w:val="EndNoteBibliography"/>
        <w:spacing w:after="0"/>
        <w:ind w:left="720" w:hanging="720"/>
      </w:pPr>
      <w:r w:rsidRPr="00F95F9F">
        <w:t xml:space="preserve">Beard, T. C., Cooke, H. M., Gray, W. R., &amp; Barge, R. (1982). Randomised controlled trial of a no-added-sodium diet for mild hypertension. </w:t>
      </w:r>
      <w:r w:rsidRPr="00F95F9F">
        <w:rPr>
          <w:i/>
        </w:rPr>
        <w:t>Lancet</w:t>
      </w:r>
      <w:r w:rsidRPr="00F95F9F">
        <w:t>,</w:t>
      </w:r>
      <w:r w:rsidRPr="00F95F9F">
        <w:rPr>
          <w:i/>
        </w:rPr>
        <w:t xml:space="preserve"> 2</w:t>
      </w:r>
      <w:r w:rsidRPr="00F95F9F">
        <w:t xml:space="preserve">(8296), 455-458. </w:t>
      </w:r>
      <w:hyperlink r:id="rId224" w:history="1">
        <w:r w:rsidRPr="00F95F9F">
          <w:rPr>
            <w:rStyle w:val="Hyperlink"/>
          </w:rPr>
          <w:t>https://doi.org/10.1016/s0140-6736(82)90491-3</w:t>
        </w:r>
      </w:hyperlink>
      <w:r w:rsidRPr="00F95F9F">
        <w:t xml:space="preserve"> </w:t>
      </w:r>
    </w:p>
    <w:p w14:paraId="620C74A4" w14:textId="6232DF33" w:rsidR="002A7D19" w:rsidRPr="00F95F9F" w:rsidRDefault="002A7D19" w:rsidP="002A7D19">
      <w:pPr>
        <w:pStyle w:val="EndNoteBibliography"/>
        <w:spacing w:after="0"/>
        <w:ind w:left="720" w:hanging="720"/>
      </w:pPr>
      <w:r w:rsidRPr="00F95F9F">
        <w:t xml:space="preserve">Blomhoff, R., Andersen, R., Arnesen, E., Christensen, J., Eneroth, H., Erkkola, M., Gudanaviciene, I., Høyer-Lund, A., Lemming, E., Meltzer, H., Pitsi, T., Siksna, I., Thorsdottir, I., &amp; Trolle, E. (2023). </w:t>
      </w:r>
      <w:r w:rsidRPr="00F95F9F">
        <w:rPr>
          <w:i/>
        </w:rPr>
        <w:t>Nordic Nutrition Recommendations 2023</w:t>
      </w:r>
      <w:r w:rsidRPr="00F95F9F">
        <w:t xml:space="preserve">. </w:t>
      </w:r>
      <w:hyperlink r:id="rId225" w:history="1">
        <w:r w:rsidRPr="00F95F9F">
          <w:rPr>
            <w:rStyle w:val="Hyperlink"/>
          </w:rPr>
          <w:t>https://doi.org/10.6027/nord2023-003</w:t>
        </w:r>
      </w:hyperlink>
      <w:r w:rsidRPr="00F95F9F">
        <w:t xml:space="preserve"> </w:t>
      </w:r>
    </w:p>
    <w:p w14:paraId="12E38FEC" w14:textId="0AC9DBC4" w:rsidR="002A7D19" w:rsidRPr="00F95F9F" w:rsidRDefault="002A7D19" w:rsidP="002A7D19">
      <w:pPr>
        <w:pStyle w:val="EndNoteBibliography"/>
        <w:spacing w:after="0"/>
        <w:ind w:left="720" w:hanging="720"/>
      </w:pPr>
      <w:r w:rsidRPr="00F95F9F">
        <w:t xml:space="preserve">Boorman, J., Cunningham, J., Mackerras, D. (2008). </w:t>
      </w:r>
      <w:r w:rsidRPr="00F95F9F">
        <w:rPr>
          <w:i/>
        </w:rPr>
        <w:t>Salt Intake from Processed Food and Discretionary Use in Australia</w:t>
      </w:r>
      <w:r w:rsidRPr="00F95F9F">
        <w:t xml:space="preserve">. ACT, Australia: FSANZ Retrieved from </w:t>
      </w:r>
      <w:hyperlink r:id="rId226" w:history="1">
        <w:r w:rsidRPr="00F95F9F">
          <w:rPr>
            <w:rStyle w:val="Hyperlink"/>
          </w:rPr>
          <w:t>https://www.foodstandards.gov.au/sites/default/files/consumer/nutrition/salthowmuch/Documents/Salt_Intake_5.pdf</w:t>
        </w:r>
      </w:hyperlink>
    </w:p>
    <w:p w14:paraId="3F150A21" w14:textId="1A47B8E8" w:rsidR="002A7D19" w:rsidRPr="00F95F9F" w:rsidRDefault="002A7D19" w:rsidP="002A7D19">
      <w:pPr>
        <w:pStyle w:val="EndNoteBibliography"/>
        <w:spacing w:after="0"/>
        <w:ind w:left="720" w:hanging="720"/>
      </w:pPr>
      <w:r w:rsidRPr="00F95F9F">
        <w:t xml:space="preserve">Campbell, N. R. C., He, F. J., Tan, M., Cappuccio, F. P., Neal, B., Woodward, M., Cogswell, M. E., McLean, R., Arcand, J., MacGregor, G., Whelton, P., Jula, A., L'Abbe, M. R., Cobb, L. K., &amp; Lackland, D. T. (2019). The International Consortium for Quality Research on Dietary Sodium/Salt (TRUE) position statement on the use of 24-hour, spot, and short duration (&lt;24 hours) timed urine collections to assess dietary sodium intake. </w:t>
      </w:r>
      <w:r w:rsidRPr="00F95F9F">
        <w:rPr>
          <w:i/>
        </w:rPr>
        <w:t>J Clin Hypertens (Greenwich)</w:t>
      </w:r>
      <w:r w:rsidRPr="00F95F9F">
        <w:t>,</w:t>
      </w:r>
      <w:r w:rsidRPr="00F95F9F">
        <w:rPr>
          <w:i/>
        </w:rPr>
        <w:t xml:space="preserve"> 21</w:t>
      </w:r>
      <w:r w:rsidRPr="00F95F9F">
        <w:t xml:space="preserve">(6), 700-709. </w:t>
      </w:r>
      <w:hyperlink r:id="rId227" w:history="1">
        <w:r w:rsidRPr="00F95F9F">
          <w:rPr>
            <w:rStyle w:val="Hyperlink"/>
          </w:rPr>
          <w:t>https://doi.org/10.1111/jch.13551</w:t>
        </w:r>
      </w:hyperlink>
      <w:r w:rsidRPr="00F95F9F">
        <w:t xml:space="preserve"> </w:t>
      </w:r>
    </w:p>
    <w:p w14:paraId="25327313" w14:textId="64DA8FE7" w:rsidR="002A7D19" w:rsidRPr="00F95F9F" w:rsidRDefault="002A7D19" w:rsidP="002A7D19">
      <w:pPr>
        <w:pStyle w:val="EndNoteBibliography"/>
        <w:spacing w:after="0"/>
        <w:ind w:left="720" w:hanging="720"/>
      </w:pPr>
      <w:r w:rsidRPr="00F95F9F">
        <w:t xml:space="preserve">European Food Safety Authority. (2019). Dietary Reference Values for Sodium. </w:t>
      </w:r>
      <w:r w:rsidRPr="00F95F9F">
        <w:rPr>
          <w:i/>
        </w:rPr>
        <w:t>EFSA Journal</w:t>
      </w:r>
      <w:r w:rsidRPr="00F95F9F">
        <w:t>,</w:t>
      </w:r>
      <w:r w:rsidRPr="00F95F9F">
        <w:rPr>
          <w:i/>
        </w:rPr>
        <w:t xml:space="preserve"> 17</w:t>
      </w:r>
      <w:r w:rsidRPr="00F95F9F">
        <w:t xml:space="preserve">(9), :e05778. </w:t>
      </w:r>
      <w:hyperlink r:id="rId228" w:history="1">
        <w:r w:rsidRPr="00F95F9F">
          <w:rPr>
            <w:rStyle w:val="Hyperlink"/>
          </w:rPr>
          <w:t>https://doi.org/https://doi.org/10.2903/j.efsa.2019.5778</w:t>
        </w:r>
      </w:hyperlink>
      <w:r w:rsidRPr="00F95F9F">
        <w:t xml:space="preserve"> </w:t>
      </w:r>
    </w:p>
    <w:p w14:paraId="1B7566A3" w14:textId="48D6E5BE" w:rsidR="002A7D19" w:rsidRPr="00F95F9F" w:rsidRDefault="002A7D19" w:rsidP="002A7D19">
      <w:pPr>
        <w:pStyle w:val="EndNoteBibliography"/>
        <w:spacing w:after="0"/>
        <w:ind w:left="720" w:hanging="720"/>
      </w:pPr>
      <w:r w:rsidRPr="00F95F9F">
        <w:t xml:space="preserve">Food Standards Australia New Zealand, F. (2015, 26/11/2025). </w:t>
      </w:r>
      <w:r w:rsidRPr="00F95F9F">
        <w:rPr>
          <w:i/>
        </w:rPr>
        <w:t>How much sodium do Australians eat?</w:t>
      </w:r>
      <w:r w:rsidRPr="00F95F9F">
        <w:t xml:space="preserve"> FSANZ. Retrieved 31/03/2026 from </w:t>
      </w:r>
      <w:hyperlink r:id="rId229" w:history="1">
        <w:r w:rsidRPr="00F95F9F">
          <w:rPr>
            <w:rStyle w:val="Hyperlink"/>
          </w:rPr>
          <w:t>https://www.foodstandards.gov.au/consumer/nutrition/sodium-salt/salthowmuch</w:t>
        </w:r>
      </w:hyperlink>
    </w:p>
    <w:p w14:paraId="01EF40AD" w14:textId="50FBE65E" w:rsidR="002A7D19" w:rsidRPr="00F95F9F" w:rsidRDefault="002A7D19" w:rsidP="002A7D19">
      <w:pPr>
        <w:pStyle w:val="EndNoteBibliography"/>
        <w:spacing w:after="0"/>
        <w:ind w:left="720" w:hanging="720"/>
      </w:pPr>
      <w:r w:rsidRPr="00F95F9F">
        <w:t xml:space="preserve">He, F. J., &amp; MacGregor, G. A. (2010). Reducing population salt intake worldwide: from evidence to implementation. </w:t>
      </w:r>
      <w:r w:rsidRPr="00F95F9F">
        <w:rPr>
          <w:i/>
        </w:rPr>
        <w:t>Prog Cardiovasc Dis</w:t>
      </w:r>
      <w:r w:rsidRPr="00F95F9F">
        <w:t>,</w:t>
      </w:r>
      <w:r w:rsidRPr="00F95F9F">
        <w:rPr>
          <w:i/>
        </w:rPr>
        <w:t xml:space="preserve"> 52</w:t>
      </w:r>
      <w:r w:rsidRPr="00F95F9F">
        <w:t xml:space="preserve">(5), 363-382. </w:t>
      </w:r>
      <w:hyperlink r:id="rId230" w:history="1">
        <w:r w:rsidRPr="00F95F9F">
          <w:rPr>
            <w:rStyle w:val="Hyperlink"/>
          </w:rPr>
          <w:t>https://doi.org/10.1016/j.pcad.2009.12.006</w:t>
        </w:r>
      </w:hyperlink>
      <w:r w:rsidRPr="00F95F9F">
        <w:t xml:space="preserve"> </w:t>
      </w:r>
    </w:p>
    <w:p w14:paraId="5290EEEF" w14:textId="1B9829C2" w:rsidR="002A7D19" w:rsidRPr="00F95F9F" w:rsidRDefault="002A7D19" w:rsidP="002A7D19">
      <w:pPr>
        <w:pStyle w:val="EndNoteBibliography"/>
        <w:spacing w:after="0"/>
        <w:ind w:left="720" w:hanging="720"/>
      </w:pPr>
      <w:r w:rsidRPr="00F95F9F">
        <w:t xml:space="preserve">McLean, R. M., Farmer, V. L., Nettleton, A., Cameron, C. M., Cook, N. R., Woodward, M., &amp; Campbell, N. R. C. (2018). Twenty-Four-Hour Diet recall and Diet records compared with 24-hour urinary excretion to predict an individual's sodium consumption: A Systematic Review. </w:t>
      </w:r>
      <w:r w:rsidRPr="00F95F9F">
        <w:rPr>
          <w:i/>
        </w:rPr>
        <w:t>J Clin Hypertens (Greenwich)</w:t>
      </w:r>
      <w:r w:rsidRPr="00F95F9F">
        <w:t>,</w:t>
      </w:r>
      <w:r w:rsidRPr="00F95F9F">
        <w:rPr>
          <w:i/>
        </w:rPr>
        <w:t xml:space="preserve"> 20</w:t>
      </w:r>
      <w:r w:rsidRPr="00F95F9F">
        <w:t xml:space="preserve">(10), 1360-1376. </w:t>
      </w:r>
      <w:hyperlink r:id="rId231" w:history="1">
        <w:r w:rsidRPr="00F95F9F">
          <w:rPr>
            <w:rStyle w:val="Hyperlink"/>
          </w:rPr>
          <w:t>https://doi.org/10.1111/jch.13391</w:t>
        </w:r>
      </w:hyperlink>
      <w:r w:rsidRPr="00F95F9F">
        <w:t xml:space="preserve"> </w:t>
      </w:r>
    </w:p>
    <w:p w14:paraId="1D2B289C" w14:textId="45FCD16E" w:rsidR="002A7D19" w:rsidRPr="00F95F9F" w:rsidRDefault="002A7D19" w:rsidP="002A7D19">
      <w:pPr>
        <w:pStyle w:val="EndNoteBibliography"/>
        <w:spacing w:after="0"/>
        <w:ind w:left="720" w:hanging="720"/>
      </w:pPr>
      <w:r w:rsidRPr="00F95F9F">
        <w:t xml:space="preserve">National Academies of Sciences, E., and Medicine. (2019). </w:t>
      </w:r>
      <w:r w:rsidRPr="00F95F9F">
        <w:rPr>
          <w:i/>
        </w:rPr>
        <w:t>Dietary Reference Intakes for Sodium and Potassium</w:t>
      </w:r>
      <w:r w:rsidRPr="00F95F9F">
        <w:t xml:space="preserve"> (H. M. Oria M, Stallings VA,, Ed.). National Academies Press (US). </w:t>
      </w:r>
      <w:hyperlink r:id="rId232" w:history="1">
        <w:r w:rsidRPr="00F95F9F">
          <w:rPr>
            <w:rStyle w:val="Hyperlink"/>
          </w:rPr>
          <w:t>https://www.ncbi.nlm.nih.gov/sites/books/NBK545445/</w:t>
        </w:r>
      </w:hyperlink>
      <w:r w:rsidRPr="00F95F9F">
        <w:t xml:space="preserve"> </w:t>
      </w:r>
    </w:p>
    <w:p w14:paraId="1BC1B4BA" w14:textId="59FEEFF8" w:rsidR="002A7D19" w:rsidRPr="00F95F9F" w:rsidRDefault="002A7D19" w:rsidP="002A7D19">
      <w:pPr>
        <w:pStyle w:val="EndNoteBibliography"/>
        <w:spacing w:after="0"/>
        <w:ind w:left="720" w:hanging="720"/>
      </w:pPr>
      <w:r w:rsidRPr="00F95F9F">
        <w:t xml:space="preserve">National Health and Medical Research Council, N. (2006). </w:t>
      </w:r>
      <w:r w:rsidRPr="00F95F9F">
        <w:rPr>
          <w:i/>
        </w:rPr>
        <w:t>Nutrient Reference Values for Australia and New Zealand</w:t>
      </w:r>
      <w:r w:rsidRPr="00F95F9F">
        <w:t xml:space="preserve">. Canberra: NHMRC Retrieved from </w:t>
      </w:r>
      <w:hyperlink r:id="rId233" w:history="1">
        <w:r w:rsidRPr="00F95F9F">
          <w:rPr>
            <w:rStyle w:val="Hyperlink"/>
          </w:rPr>
          <w:t>https://www.nhmrc.gov.au/about-us/publications/nutrient-reference-values-australia-and-new-zealand-including-recommended-dietary-intakes</w:t>
        </w:r>
      </w:hyperlink>
    </w:p>
    <w:p w14:paraId="713F050E" w14:textId="1ABD913D" w:rsidR="002A7D19" w:rsidRPr="00F95F9F" w:rsidRDefault="002A7D19" w:rsidP="002A7D19">
      <w:pPr>
        <w:pStyle w:val="EndNoteBibliography"/>
        <w:spacing w:after="0"/>
        <w:ind w:left="720" w:hanging="720"/>
      </w:pPr>
      <w:r w:rsidRPr="00F95F9F">
        <w:t xml:space="preserve">Palacios, C., Wigertz, K., Martin, B. R., Jackman, L., Pratt, J. H., Peacock, M., McCabe, G., &amp; Weaver, C. M. (2004). Sodium retention in black and white female adolescents in response to salt intake. </w:t>
      </w:r>
      <w:r w:rsidRPr="00F95F9F">
        <w:rPr>
          <w:i/>
        </w:rPr>
        <w:t>J Clin Endocrinol Metab</w:t>
      </w:r>
      <w:r w:rsidRPr="00F95F9F">
        <w:t>,</w:t>
      </w:r>
      <w:r w:rsidRPr="00F95F9F">
        <w:rPr>
          <w:i/>
        </w:rPr>
        <w:t xml:space="preserve"> 89</w:t>
      </w:r>
      <w:r w:rsidRPr="00F95F9F">
        <w:t xml:space="preserve">(4), 1858-1863. </w:t>
      </w:r>
      <w:hyperlink r:id="rId234" w:history="1">
        <w:r w:rsidRPr="00F95F9F">
          <w:rPr>
            <w:rStyle w:val="Hyperlink"/>
          </w:rPr>
          <w:t>https://doi.org/10.1210/jc.2003-031446</w:t>
        </w:r>
      </w:hyperlink>
      <w:r w:rsidRPr="00F95F9F">
        <w:t xml:space="preserve"> </w:t>
      </w:r>
    </w:p>
    <w:p w14:paraId="19B1E0DA" w14:textId="53AE1E32" w:rsidR="002A7D19" w:rsidRPr="00F95F9F" w:rsidRDefault="002A7D19" w:rsidP="002A7D19">
      <w:pPr>
        <w:pStyle w:val="EndNoteBibliography"/>
        <w:spacing w:after="0"/>
        <w:ind w:left="720" w:hanging="720"/>
      </w:pPr>
      <w:r w:rsidRPr="00F95F9F">
        <w:t xml:space="preserve">Parker, M., Puddey, I. B., Beilin, L. J., &amp; Vandongen, R. (1990). Two-way factorial study of alcohol and salt restriction in treated hypertensive men. </w:t>
      </w:r>
      <w:r w:rsidRPr="00F95F9F">
        <w:rPr>
          <w:i/>
        </w:rPr>
        <w:t>Hypertension</w:t>
      </w:r>
      <w:r w:rsidRPr="00F95F9F">
        <w:t>,</w:t>
      </w:r>
      <w:r w:rsidRPr="00F95F9F">
        <w:rPr>
          <w:i/>
        </w:rPr>
        <w:t xml:space="preserve"> 16</w:t>
      </w:r>
      <w:r w:rsidRPr="00F95F9F">
        <w:t xml:space="preserve">(4), 398-406. </w:t>
      </w:r>
      <w:hyperlink r:id="rId235" w:history="1">
        <w:r w:rsidRPr="00F95F9F">
          <w:rPr>
            <w:rStyle w:val="Hyperlink"/>
          </w:rPr>
          <w:t>https://doi.org/10.1161/01.hyp.16.4.398</w:t>
        </w:r>
      </w:hyperlink>
      <w:r w:rsidRPr="00F95F9F">
        <w:t xml:space="preserve"> </w:t>
      </w:r>
    </w:p>
    <w:p w14:paraId="580BBAEC" w14:textId="173D0AF8" w:rsidR="002A7D19" w:rsidRPr="00F95F9F" w:rsidRDefault="002A7D19" w:rsidP="002A7D19">
      <w:pPr>
        <w:pStyle w:val="EndNoteBibliography"/>
        <w:spacing w:after="0"/>
        <w:ind w:left="720" w:hanging="720"/>
      </w:pPr>
      <w:r w:rsidRPr="00F95F9F">
        <w:t xml:space="preserve">Sacks, F. M., Svetkey, L. P., Vollmer, W. M., Appel, L. J., Bray, G. A., Harsha, D., Obarzanek, E., Conlin, P. R., Miller, E. R., 3rd, Simons-Morton, D. G., Karanja, N., &amp; Lin, P. H. (2001). Effects on blood pressure of reduced dietary sodium and the Dietary Approaches to Stop Hypertension (DASH) diet. DASH-Sodium Collaborative Research Group. </w:t>
      </w:r>
      <w:r w:rsidRPr="00F95F9F">
        <w:rPr>
          <w:i/>
        </w:rPr>
        <w:t>N Engl J Med</w:t>
      </w:r>
      <w:r w:rsidRPr="00F95F9F">
        <w:t>,</w:t>
      </w:r>
      <w:r w:rsidRPr="00F95F9F">
        <w:rPr>
          <w:i/>
        </w:rPr>
        <w:t xml:space="preserve"> 344</w:t>
      </w:r>
      <w:r w:rsidRPr="00F95F9F">
        <w:t xml:space="preserve">(1), 3-10. </w:t>
      </w:r>
      <w:hyperlink r:id="rId236" w:history="1">
        <w:r w:rsidRPr="00F95F9F">
          <w:rPr>
            <w:rStyle w:val="Hyperlink"/>
          </w:rPr>
          <w:t>https://doi.org/10.1056/nejm200101043440101</w:t>
        </w:r>
      </w:hyperlink>
      <w:r w:rsidRPr="00F95F9F">
        <w:t xml:space="preserve"> </w:t>
      </w:r>
    </w:p>
    <w:p w14:paraId="550EE49F" w14:textId="2C8FE558" w:rsidR="002A7D19" w:rsidRPr="00F95F9F" w:rsidRDefault="002A7D19" w:rsidP="002A7D19">
      <w:pPr>
        <w:pStyle w:val="EndNoteBibliography"/>
        <w:spacing w:after="0"/>
        <w:ind w:left="720" w:hanging="720"/>
      </w:pPr>
      <w:r w:rsidRPr="00F95F9F">
        <w:t xml:space="preserve">Sciarrone, S. E., Beilin, L. J., Rouse, I. L., &amp; Rogers, P. B. (1992). A factorial study of salt restriction and a low-fat/high-fibre diet in hypertensive subjects. </w:t>
      </w:r>
      <w:r w:rsidRPr="00F95F9F">
        <w:rPr>
          <w:i/>
        </w:rPr>
        <w:t>J Hypertens</w:t>
      </w:r>
      <w:r w:rsidRPr="00F95F9F">
        <w:t>,</w:t>
      </w:r>
      <w:r w:rsidRPr="00F95F9F">
        <w:rPr>
          <w:i/>
        </w:rPr>
        <w:t xml:space="preserve"> 10</w:t>
      </w:r>
      <w:r w:rsidRPr="00F95F9F">
        <w:t xml:space="preserve">(3), 287-298. </w:t>
      </w:r>
      <w:hyperlink r:id="rId237" w:history="1">
        <w:r w:rsidRPr="00F95F9F">
          <w:rPr>
            <w:rStyle w:val="Hyperlink"/>
          </w:rPr>
          <w:t>https://doi.org/10.1097/00004872-199203000-00013</w:t>
        </w:r>
      </w:hyperlink>
      <w:r w:rsidRPr="00F95F9F">
        <w:t xml:space="preserve"> </w:t>
      </w:r>
    </w:p>
    <w:p w14:paraId="37658F63" w14:textId="63EEF549" w:rsidR="002A7D19" w:rsidRPr="00F95F9F" w:rsidRDefault="002A7D19" w:rsidP="002A7D19">
      <w:pPr>
        <w:pStyle w:val="EndNoteBibliography"/>
        <w:spacing w:after="0"/>
        <w:ind w:left="720" w:hanging="720"/>
      </w:pPr>
      <w:r w:rsidRPr="00F95F9F">
        <w:lastRenderedPageBreak/>
        <w:t xml:space="preserve">Shim, J. S., Oh, K., &amp; Kim, H. C. (2014). Dietary assessment methods in epidemiologic studies. </w:t>
      </w:r>
      <w:r w:rsidRPr="00F95F9F">
        <w:rPr>
          <w:i/>
        </w:rPr>
        <w:t>Epidemiol Health</w:t>
      </w:r>
      <w:r w:rsidRPr="00F95F9F">
        <w:t>,</w:t>
      </w:r>
      <w:r w:rsidRPr="00F95F9F">
        <w:rPr>
          <w:i/>
        </w:rPr>
        <w:t xml:space="preserve"> 36</w:t>
      </w:r>
      <w:r w:rsidRPr="00F95F9F">
        <w:t xml:space="preserve">, e2014009. </w:t>
      </w:r>
      <w:hyperlink r:id="rId238" w:history="1">
        <w:r w:rsidRPr="00F95F9F">
          <w:rPr>
            <w:rStyle w:val="Hyperlink"/>
          </w:rPr>
          <w:t>https://doi.org/10.4178/epih/e2014009</w:t>
        </w:r>
      </w:hyperlink>
      <w:r w:rsidRPr="00F95F9F">
        <w:t xml:space="preserve"> </w:t>
      </w:r>
    </w:p>
    <w:p w14:paraId="4E3AAAD2" w14:textId="28F5062E" w:rsidR="002A7D19" w:rsidRPr="00F95F9F" w:rsidRDefault="002A7D19" w:rsidP="002A7D19">
      <w:pPr>
        <w:pStyle w:val="EndNoteBibliography"/>
        <w:spacing w:after="0"/>
        <w:ind w:left="720" w:hanging="720"/>
      </w:pPr>
      <w:r w:rsidRPr="00F95F9F">
        <w:t xml:space="preserve">Strohm, D., Bechthold, A., Ellinger, S., Leschik-Bonnet, E., Stehle, P., &amp; Heseker, H. (2018). Revised Reference Values for the Intake of Sodium and Chloride. </w:t>
      </w:r>
      <w:r w:rsidRPr="00F95F9F">
        <w:rPr>
          <w:i/>
        </w:rPr>
        <w:t>Ann Nutr Metab</w:t>
      </w:r>
      <w:r w:rsidRPr="00F95F9F">
        <w:t>,</w:t>
      </w:r>
      <w:r w:rsidRPr="00F95F9F">
        <w:rPr>
          <w:i/>
        </w:rPr>
        <w:t xml:space="preserve"> 72</w:t>
      </w:r>
      <w:r w:rsidRPr="00F95F9F">
        <w:t xml:space="preserve">(1), 12-17. </w:t>
      </w:r>
      <w:hyperlink r:id="rId239" w:history="1">
        <w:r w:rsidRPr="00F95F9F">
          <w:rPr>
            <w:rStyle w:val="Hyperlink"/>
          </w:rPr>
          <w:t>https://doi.org/10.1159/000484355</w:t>
        </w:r>
      </w:hyperlink>
      <w:r w:rsidRPr="00F95F9F">
        <w:t xml:space="preserve"> </w:t>
      </w:r>
    </w:p>
    <w:p w14:paraId="3BB81CAC" w14:textId="6421539F" w:rsidR="002A7D19" w:rsidRPr="00F95F9F" w:rsidRDefault="002A7D19" w:rsidP="002A7D19">
      <w:pPr>
        <w:pStyle w:val="EndNoteBibliography"/>
        <w:spacing w:after="0"/>
        <w:ind w:left="720" w:hanging="720"/>
      </w:pPr>
      <w:r w:rsidRPr="00F95F9F">
        <w:t xml:space="preserve">Subar, A. F., Freedman, L. S., Tooze, J. A., Kirkpatrick, S. I., Boushey, C., Neuhouser, M. L., Thompson, F. E., Potischman, N., Guenther, P. M., Tarasuk, V., Reedy, J., &amp; Krebs-Smith, S. M. (2015). Addressing Current Criticism Regarding the Value of Self-Report Dietary Data. </w:t>
      </w:r>
      <w:r w:rsidRPr="00F95F9F">
        <w:rPr>
          <w:i/>
        </w:rPr>
        <w:t>J Nutr</w:t>
      </w:r>
      <w:r w:rsidRPr="00F95F9F">
        <w:t>,</w:t>
      </w:r>
      <w:r w:rsidRPr="00F95F9F">
        <w:rPr>
          <w:i/>
        </w:rPr>
        <w:t xml:space="preserve"> 145</w:t>
      </w:r>
      <w:r w:rsidRPr="00F95F9F">
        <w:t xml:space="preserve">(12), 2639-2645. </w:t>
      </w:r>
      <w:hyperlink r:id="rId240" w:history="1">
        <w:r w:rsidRPr="00F95F9F">
          <w:rPr>
            <w:rStyle w:val="Hyperlink"/>
          </w:rPr>
          <w:t>https://doi.org/10.3945/jn.115.219634</w:t>
        </w:r>
      </w:hyperlink>
      <w:r w:rsidRPr="00F95F9F">
        <w:t xml:space="preserve"> </w:t>
      </w:r>
    </w:p>
    <w:p w14:paraId="2130B8EB" w14:textId="117008C6" w:rsidR="002A7D19" w:rsidRPr="00F95F9F" w:rsidRDefault="002A7D19" w:rsidP="002A7D19">
      <w:pPr>
        <w:pStyle w:val="EndNoteBibliography"/>
        <w:ind w:left="720" w:hanging="720"/>
      </w:pPr>
      <w:r w:rsidRPr="00F95F9F">
        <w:t xml:space="preserve">Todd, A. S., Macginley, R. J., Schollum, J. B., Williams, S. M., Sutherland, W. H., Mann, J. I., &amp; Walker, R. J. (2012). Dietary sodium loading in normotensive healthy volunteers does not increase arterial vascular reactivity or blood pressure. </w:t>
      </w:r>
      <w:r w:rsidRPr="00F95F9F">
        <w:rPr>
          <w:i/>
        </w:rPr>
        <w:t>Nephrology (Carlton)</w:t>
      </w:r>
      <w:r w:rsidRPr="00F95F9F">
        <w:t>,</w:t>
      </w:r>
      <w:r w:rsidRPr="00F95F9F">
        <w:rPr>
          <w:i/>
        </w:rPr>
        <w:t xml:space="preserve"> 17</w:t>
      </w:r>
      <w:r w:rsidRPr="00F95F9F">
        <w:t xml:space="preserve">(3), 249-256. </w:t>
      </w:r>
      <w:hyperlink r:id="rId241" w:history="1">
        <w:r w:rsidRPr="00F95F9F">
          <w:rPr>
            <w:rStyle w:val="Hyperlink"/>
          </w:rPr>
          <w:t>https://doi.org/10.1111/j.1440-1797.2011.01550.x</w:t>
        </w:r>
      </w:hyperlink>
      <w:r w:rsidRPr="00F95F9F">
        <w:t xml:space="preserve"> </w:t>
      </w:r>
    </w:p>
    <w:p w14:paraId="6532DF51" w14:textId="77777777" w:rsidR="002A7D19" w:rsidRDefault="002A7D19" w:rsidP="002A7D19">
      <w:r>
        <w:fldChar w:fldCharType="end"/>
      </w:r>
      <w:bookmarkEnd w:id="148"/>
    </w:p>
    <w:p w14:paraId="6E101AC2" w14:textId="2D0B8447" w:rsidR="00895665" w:rsidRDefault="00895665">
      <w:r>
        <w:br w:type="page"/>
      </w:r>
    </w:p>
    <w:p w14:paraId="4005BD56" w14:textId="63DBD80C" w:rsidR="00F61D64" w:rsidRPr="00BB3C9A" w:rsidRDefault="00F61D64" w:rsidP="00F61D64">
      <w:pPr>
        <w:pStyle w:val="Heading1"/>
      </w:pPr>
      <w:bookmarkStart w:id="166" w:name="_Toc228804627"/>
      <w:bookmarkStart w:id="167" w:name="_Toc234960916"/>
      <w:r>
        <w:lastRenderedPageBreak/>
        <w:t xml:space="preserve">Evidence-to-Decision Framework – Chronic </w:t>
      </w:r>
      <w:r w:rsidR="0001039C">
        <w:t>D</w:t>
      </w:r>
      <w:r>
        <w:t xml:space="preserve">isease </w:t>
      </w:r>
      <w:r w:rsidR="0001039C">
        <w:t>R</w:t>
      </w:r>
      <w:r>
        <w:t xml:space="preserve">isk </w:t>
      </w:r>
      <w:r w:rsidR="0001039C">
        <w:t>R</w:t>
      </w:r>
      <w:r>
        <w:t>eduction target for sodium</w:t>
      </w:r>
      <w:bookmarkEnd w:id="166"/>
      <w:bookmarkEnd w:id="167"/>
    </w:p>
    <w:p w14:paraId="373D663B" w14:textId="77777777" w:rsidR="00F61D64" w:rsidRPr="00BB3C9A" w:rsidRDefault="00F61D64" w:rsidP="00F61D64">
      <w:pPr>
        <w:pStyle w:val="Heading2"/>
      </w:pPr>
      <w:bookmarkStart w:id="168" w:name="_Toc228804628"/>
      <w:bookmarkStart w:id="169" w:name="_Toc234960917"/>
      <w:r w:rsidRPr="00BB3C9A">
        <w:t>Background</w:t>
      </w:r>
      <w:bookmarkEnd w:id="168"/>
      <w:bookmarkEnd w:id="169"/>
    </w:p>
    <w:p w14:paraId="4987C50B" w14:textId="77777777" w:rsidR="00F61D64" w:rsidRPr="00BB3C9A" w:rsidRDefault="00F61D64" w:rsidP="00F61D64">
      <w:pPr>
        <w:pStyle w:val="Heading3"/>
      </w:pPr>
      <w:bookmarkStart w:id="170" w:name="_Toc228804629"/>
      <w:bookmarkStart w:id="171" w:name="_Toc234960918"/>
      <w:r>
        <w:t>Sodium</w:t>
      </w:r>
      <w:r w:rsidRPr="00BB3C9A">
        <w:t xml:space="preserve"> </w:t>
      </w:r>
      <w:r>
        <w:t>-</w:t>
      </w:r>
      <w:r w:rsidRPr="00BB3C9A">
        <w:t xml:space="preserve"> function and dietary sources</w:t>
      </w:r>
      <w:bookmarkEnd w:id="170"/>
      <w:bookmarkEnd w:id="171"/>
    </w:p>
    <w:p w14:paraId="789F0824" w14:textId="77777777" w:rsidR="00F61D64" w:rsidRDefault="00F61D64" w:rsidP="00F61D64">
      <w:r w:rsidRPr="003737CB">
        <w:t>Sodium</w:t>
      </w:r>
      <w:r>
        <w:t xml:space="preserve"> is an essential mineral</w:t>
      </w:r>
      <w:r w:rsidRPr="003737CB">
        <w:t xml:space="preserve"> </w:t>
      </w:r>
      <w:r>
        <w:t xml:space="preserve">that plays a central role in maintaining the body’s fluid balance and supporting normal cellular function. </w:t>
      </w:r>
      <w:r w:rsidRPr="00637BB0">
        <w:t>Sodium balance is maintained through closely integrated hormonal and neural control systems</w:t>
      </w:r>
      <w:r>
        <w:t>, with the kidneys playing a central role in homeostasis, adjusting s</w:t>
      </w:r>
      <w:r w:rsidRPr="00637BB0">
        <w:t xml:space="preserve">odium excretion to </w:t>
      </w:r>
      <w:r>
        <w:t>maintain stable plasma sodium concentration despite large day-to-day variation in intake</w:t>
      </w:r>
      <w:r w:rsidRPr="00637BB0">
        <w:t>. Hormones such as aldosterone and angiotensin regulate how much sodium is conserved or lost in urine, while thirst and water retention respond to changes in blood concentration and volume. In healthy individuals, these systems are highly effective</w:t>
      </w:r>
      <w:r>
        <w:t xml:space="preserve">; these homeostatic mechanisms mean that acute effects of sodium excess from dietary intake are uncommon, typically arising from high sodium chloride ingestion (e.g. self-poisoning) or from clinical parenteral nutrition. Indeed, hypernatremia (high serum sodium concentration) typically results from dehydration rather than high sodium intake. </w:t>
      </w:r>
    </w:p>
    <w:p w14:paraId="0808426B" w14:textId="61169C10" w:rsidR="00F61D64" w:rsidRPr="00AD4C49" w:rsidRDefault="00F61D64" w:rsidP="00F61D64">
      <w:pPr>
        <w:rPr>
          <w:lang w:val="en-NZ"/>
        </w:rPr>
      </w:pPr>
      <w:r w:rsidRPr="00776D7C">
        <w:t>Sodium is present in small amounts in all unprocessed foods, including meat and fish (between 30 and 150mg per 100g) and fruits and vegetables (less than 50mg per 100g)</w:t>
      </w:r>
      <w:r w:rsidRPr="00863A6C">
        <w:t xml:space="preserve"> </w:t>
      </w:r>
      <w:r>
        <w:fldChar w:fldCharType="begin"/>
      </w:r>
      <w:r>
        <w:instrText xml:space="preserve"> ADDIN EN.CITE &lt;EndNote&gt;&lt;Cite ExcludeAuth="1"&gt;&lt;Author&gt;European Food Safety Authority&lt;/Author&gt;&lt;Year&gt;2019&lt;/Year&gt;&lt;RecNum&gt;1&lt;/RecNum&gt;&lt;Prefix&gt;EFSA`,&lt;/Prefix&gt;&lt;DisplayText&gt;(EFSA,2019)&lt;/DisplayText&gt;&lt;record&gt;&lt;rec-number&gt;1&lt;/rec-number&gt;&lt;foreign-keys&gt;&lt;key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fldChar w:fldCharType="separate"/>
      </w:r>
      <w:r>
        <w:rPr>
          <w:noProof/>
        </w:rPr>
        <w:t>(EFSA,2019)</w:t>
      </w:r>
      <w:r>
        <w:fldChar w:fldCharType="end"/>
      </w:r>
      <w:r w:rsidRPr="00776D7C">
        <w:t>.</w:t>
      </w:r>
      <w:r w:rsidRPr="00CF5142">
        <w:t xml:space="preserve"> </w:t>
      </w:r>
      <w:r w:rsidRPr="00776D7C">
        <w:t>However, the predominant source of dietary sodium is through the addition of sodium chloride or ‘salt’ to foods during manufacturing or processing, cooking or at the table</w:t>
      </w:r>
      <w:r>
        <w:t xml:space="preserve">. It has previously been estimated that 80% of Australians’ dietary sodium comes from processed foods, with 20% coming from salt used in cooking or added at the table </w:t>
      </w:r>
      <w:r>
        <w:fldChar w:fldCharType="begin"/>
      </w:r>
      <w:r>
        <w:instrText xml:space="preserve"> ADDIN EN.CITE &lt;EndNote&gt;&lt;Cite&gt;&lt;Author&gt;Boorman&lt;/Author&gt;&lt;Year&gt;2008&lt;/Year&gt;&lt;RecNum&gt;4624&lt;/RecNum&gt;&lt;DisplayText&gt;(Boorman, 2008; FSANZ, 2015)&lt;/DisplayText&gt;&lt;record&gt;&lt;rec-number&gt;4624&lt;/rec-number&gt;&lt;foreign-keys&gt;&lt;key app="EN" db-id="wwsdv2wwp29fenerv0kx5tw9zxtx2fdrprx2" timestamp="1774922789"&gt;4624&lt;/key&gt;&lt;/foreign-keys&gt;&lt;ref-type name="Government Document"&gt;46&lt;/ref-type&gt;&lt;contributors&gt;&lt;authors&gt;&lt;author&gt;Boorman, J., Cunningham, J., Mackerras, D.&lt;/author&gt;&lt;/authors&gt;&lt;secondary-authors&gt;&lt;author&gt;Food Standards Australia New Zealand, FSANZ&lt;/author&gt;&lt;/secondary-authors&gt;&lt;/contributors&gt;&lt;titles&gt;&lt;title&gt;Salt Intake from Processed Food and Discretionary Use in Australia&lt;/title&gt;&lt;/titles&gt;&lt;dates&gt;&lt;year&gt;2008&lt;/year&gt;&lt;/dates&gt;&lt;pub-location&gt;ACT, Australia&lt;/pub-location&gt;&lt;publisher&gt;FSANZ&lt;/publisher&gt;&lt;urls&gt;&lt;related-urls&gt;&lt;url&gt;https://www.foodstandards.gov.au/sites/default/files/consumer/nutrition/salthowmuch/Documents/Salt_Intake_5.pdf&lt;/url&gt;&lt;/related-urls&gt;&lt;/urls&gt;&lt;access-date&gt;31/03/2026&lt;/access-date&gt;&lt;/record&gt;&lt;/Cite&gt;&lt;Cite ExcludeAuth="1"&gt;&lt;Author&gt;Food Standards Australia New Zealand&lt;/Author&gt;&lt;Year&gt;2015&lt;/Year&gt;&lt;RecNum&gt;4623&lt;/RecNum&gt;&lt;Prefix&gt;FSANZ`, &lt;/Prefix&gt;&lt;record&gt;&lt;rec-number&gt;4623&lt;/rec-number&gt;&lt;foreign-keys&gt;&lt;key app="EN" db-id="wwsdv2wwp29fenerv0kx5tw9zxtx2fdrprx2" timestamp="1774922688"&gt;4623&lt;/key&gt;&lt;/foreign-keys&gt;&lt;ref-type name="Web Page"&gt;12&lt;/ref-type&gt;&lt;contributors&gt;&lt;authors&gt;&lt;author&gt;Food Standards Australia New Zealand, FSANZ&lt;/author&gt;&lt;/authors&gt;&lt;/contributors&gt;&lt;titles&gt;&lt;title&gt;How much sodium do Australians eat?&lt;/title&gt;&lt;/titles&gt;&lt;volume&gt;2026&lt;/volume&gt;&lt;number&gt;31/03/2026&lt;/number&gt;&lt;dates&gt;&lt;year&gt;2015&lt;/year&gt;&lt;pub-dates&gt;&lt;date&gt;26/11/2025&lt;/date&gt;&lt;/pub-dates&gt;&lt;/dates&gt;&lt;publisher&gt;FSANZ&lt;/publisher&gt;&lt;urls&gt;&lt;related-urls&gt;&lt;url&gt;https://www.foodstandards.gov.au/consumer/nutrition/sodium-salt/salthowmuch&lt;/url&gt;&lt;/related-urls&gt;&lt;/urls&gt;&lt;/record&gt;&lt;/Cite&gt;&lt;/EndNote&gt;</w:instrText>
      </w:r>
      <w:r>
        <w:fldChar w:fldCharType="separate"/>
      </w:r>
      <w:r>
        <w:rPr>
          <w:noProof/>
        </w:rPr>
        <w:t>(Boorman, 2008; FSANZ, 2015)</w:t>
      </w:r>
      <w:r>
        <w:fldChar w:fldCharType="end"/>
      </w:r>
      <w:r w:rsidRPr="00776D7C">
        <w:t>.</w:t>
      </w:r>
      <w:r>
        <w:t xml:space="preserve"> </w:t>
      </w:r>
      <w:r>
        <w:rPr>
          <w:lang w:val="en-NZ"/>
        </w:rPr>
        <w:t xml:space="preserve">Data from the 2023-24 National Nutrition and Physical Activity Survey </w:t>
      </w:r>
      <w:r>
        <w:t xml:space="preserve">suggests that </w:t>
      </w:r>
      <w:r w:rsidRPr="00766ADB">
        <w:t xml:space="preserve">almost four in five (78.1%) </w:t>
      </w:r>
      <w:r>
        <w:t xml:space="preserve">Australians </w:t>
      </w:r>
      <w:r w:rsidRPr="00766ADB">
        <w:t xml:space="preserve">aged 2 years and over added salt </w:t>
      </w:r>
      <w:r>
        <w:t xml:space="preserve">during food preparation or </w:t>
      </w:r>
      <w:r w:rsidRPr="00766ADB">
        <w:t>cooking, and</w:t>
      </w:r>
      <w:r>
        <w:t xml:space="preserve"> almost half (</w:t>
      </w:r>
      <w:r w:rsidRPr="00766ADB">
        <w:t>45.5%</w:t>
      </w:r>
      <w:r>
        <w:t>)</w:t>
      </w:r>
      <w:r w:rsidRPr="00766ADB">
        <w:t xml:space="preserve"> added salt at the table</w:t>
      </w:r>
      <w:r>
        <w:t xml:space="preserve"> </w:t>
      </w:r>
      <w:r>
        <w:fldChar w:fldCharType="begin"/>
      </w:r>
      <w:r>
        <w:instrText xml:space="preserve"> ADDIN EN.CITE &lt;EndNote&gt;&lt;Cite ExcludeAuth="1"&gt;&lt;Author&gt;Australian Bureau of Statistics&lt;/Author&gt;&lt;Year&gt;2023&lt;/Year&gt;&lt;RecNum&gt;4625&lt;/RecNum&gt;&lt;Prefix&gt;ABS`, &lt;/Prefix&gt;&lt;DisplayText&gt;(ABS, 2023b)&lt;/DisplayText&gt;&lt;record&gt;&lt;rec-number&gt;4625&lt;/rec-number&gt;&lt;foreign-keys&gt;&lt;key app="EN" db-id="wwsdv2wwp29fenerv0kx5tw9zxtx2fdrprx2" timestamp="1774922973"&gt;4625&lt;/key&gt;&lt;/foreign-keys&gt;&lt;ref-type name="Dataset"&gt;59&lt;/ref-type&gt;&lt;contributors&gt;&lt;authors&gt;&lt;author&gt;Australian Bureau of Statistics,&lt;/author&gt;&lt;/authors&gt;&lt;secondary-authors&gt;&lt;author&gt;Australian Bureau of Statistics,&lt;/author&gt;&lt;/secondary-authors&gt;&lt;/contributors&gt;&lt;titles&gt;&lt;title&gt; National Nutrition and Physical Activity Survey: Food and nutrients&lt;/title&gt;&lt;/titles&gt;&lt;section&gt;05/09/2025&lt;/section&gt;&lt;dates&gt;&lt;year&gt;2023&lt;/year&gt;&lt;/dates&gt;&lt;urls&gt;&lt;related-urls&gt;&lt;url&gt;https://www.abs.gov.au/statistics/health/food-and-nutrition/food-and-nutrients/2023&lt;/url&gt;&lt;/related-urls&gt;&lt;/urls&gt;&lt;access-date&gt;31/03/2026&lt;/access-date&gt;&lt;/record&gt;&lt;/Cite&gt;&lt;/EndNote&gt;</w:instrText>
      </w:r>
      <w:r>
        <w:fldChar w:fldCharType="separate"/>
      </w:r>
      <w:r>
        <w:rPr>
          <w:noProof/>
        </w:rPr>
        <w:t>(ABS, 2023b)</w:t>
      </w:r>
      <w:r>
        <w:fldChar w:fldCharType="end"/>
      </w:r>
      <w:r>
        <w:t>.</w:t>
      </w:r>
      <w:r w:rsidRPr="00766ADB">
        <w:t xml:space="preserve"> </w:t>
      </w:r>
      <w:r>
        <w:t>Leading food groups contributing to sodium intake were cereal-based mixed dishes (24.6%), bread and bread rolls (7.0%), processed meat (5.2%), poultry-based mixed dishes (5.2%) and pastries (4.4%)</w:t>
      </w:r>
      <w:r>
        <w:fldChar w:fldCharType="begin"/>
      </w:r>
      <w:r>
        <w:instrText xml:space="preserve"> ADDIN EN.CITE &lt;EndNote&gt;&lt;Cite ExcludeAuth="1"&gt;&lt;Author&gt;Australian Bureau of Statistics&lt;/Author&gt;&lt;Year&gt;2023&lt;/Year&gt;&lt;RecNum&gt;4625&lt;/RecNum&gt;&lt;Prefix&gt;ABS`, &lt;/Prefix&gt;&lt;DisplayText&gt;(ABS, 2023b)&lt;/DisplayText&gt;&lt;record&gt;&lt;rec-number&gt;4625&lt;/rec-number&gt;&lt;foreign-keys&gt;&lt;key app="EN" db-id="wwsdv2wwp29fenerv0kx5tw9zxtx2fdrprx2" timestamp="1774922973"&gt;4625&lt;/key&gt;&lt;/foreign-keys&gt;&lt;ref-type name="Dataset"&gt;59&lt;/ref-type&gt;&lt;contributors&gt;&lt;authors&gt;&lt;author&gt;Australian Bureau of Statistics,&lt;/author&gt;&lt;/authors&gt;&lt;secondary-authors&gt;&lt;author&gt;Australian Bureau of Statistics,&lt;/author&gt;&lt;/secondary-authors&gt;&lt;/contributors&gt;&lt;titles&gt;&lt;title&gt; National Nutrition and Physical Activity Survey: Food and nutrients&lt;/title&gt;&lt;/titles&gt;&lt;section&gt;05/09/2025&lt;/section&gt;&lt;dates&gt;&lt;year&gt;2023&lt;/year&gt;&lt;/dates&gt;&lt;urls&gt;&lt;related-urls&gt;&lt;url&gt;https://www.abs.gov.au/statistics/health/food-and-nutrition/food-and-nutrients/2023&lt;/url&gt;&lt;/related-urls&gt;&lt;/urls&gt;&lt;access-date&gt;31/03/2026&lt;/access-date&gt;&lt;/record&gt;&lt;/Cite&gt;&lt;/EndNote&gt;</w:instrText>
      </w:r>
      <w:r>
        <w:fldChar w:fldCharType="separate"/>
      </w:r>
      <w:r>
        <w:rPr>
          <w:noProof/>
        </w:rPr>
        <w:t>(ABS, 2023b)</w:t>
      </w:r>
      <w:r>
        <w:fldChar w:fldCharType="end"/>
      </w:r>
      <w:r>
        <w:t>.</w:t>
      </w:r>
    </w:p>
    <w:p w14:paraId="3FE8C7BB" w14:textId="77777777" w:rsidR="00F61D64" w:rsidRDefault="00F61D64" w:rsidP="00F61D64">
      <w:pPr>
        <w:pStyle w:val="Heading3"/>
      </w:pPr>
      <w:bookmarkStart w:id="172" w:name="_Toc228804630"/>
      <w:bookmarkStart w:id="173" w:name="_Toc234960919"/>
      <w:r>
        <w:t>Health effects of excess</w:t>
      </w:r>
      <w:bookmarkEnd w:id="172"/>
      <w:bookmarkEnd w:id="173"/>
    </w:p>
    <w:p w14:paraId="60432800" w14:textId="77777777" w:rsidR="00F61D64" w:rsidRDefault="00F61D64" w:rsidP="00F61D64">
      <w:r w:rsidRPr="00750AC6">
        <w:t xml:space="preserve">Acute </w:t>
      </w:r>
      <w:r>
        <w:t xml:space="preserve">sodium </w:t>
      </w:r>
      <w:r w:rsidRPr="00750AC6">
        <w:t xml:space="preserve">toxicity is rare but may occur in situations of very high sodium exposure, most often involving ingestion (such as deliberate self-poisoning) or </w:t>
      </w:r>
      <w:r>
        <w:t xml:space="preserve">parenteral </w:t>
      </w:r>
      <w:r w:rsidRPr="00750AC6">
        <w:t>administration in clinical settings. Hypernatraemia - a high serum sodium concentration above 145 mmol/L - is generally associated with inadequate fluid balance (e.g. dehydration) rather than excessive sodium intake.</w:t>
      </w:r>
    </w:p>
    <w:p w14:paraId="0B626464" w14:textId="77777777" w:rsidR="00F61D64" w:rsidRDefault="00F61D64" w:rsidP="00F61D64">
      <w:pPr>
        <w:spacing w:line="276" w:lineRule="auto"/>
      </w:pPr>
      <w:bookmarkStart w:id="174" w:name="_Toc228804631"/>
      <w:r>
        <w:t xml:space="preserve">However, </w:t>
      </w:r>
      <w:r w:rsidRPr="00750AC6">
        <w:t xml:space="preserve">sustained </w:t>
      </w:r>
      <w:r>
        <w:t xml:space="preserve">high sodium </w:t>
      </w:r>
      <w:r w:rsidRPr="00750AC6">
        <w:t xml:space="preserve">intake </w:t>
      </w:r>
      <w:r>
        <w:t xml:space="preserve">increases the risk of </w:t>
      </w:r>
      <w:r w:rsidRPr="00750AC6">
        <w:t>chronic disease</w:t>
      </w:r>
      <w:r>
        <w:t xml:space="preserve">, and is strongly </w:t>
      </w:r>
      <w:r w:rsidRPr="00750AC6">
        <w:t xml:space="preserve">associated with </w:t>
      </w:r>
      <w:r>
        <w:t xml:space="preserve">elevated </w:t>
      </w:r>
      <w:r w:rsidRPr="00750AC6">
        <w:t xml:space="preserve">blood </w:t>
      </w:r>
      <w:r>
        <w:t xml:space="preserve">pressure - </w:t>
      </w:r>
      <w:r w:rsidRPr="00750AC6">
        <w:t xml:space="preserve">a major risk factor for cardiovascular </w:t>
      </w:r>
      <w:r>
        <w:t xml:space="preserve">and kidney </w:t>
      </w:r>
      <w:r w:rsidRPr="00750AC6">
        <w:t>disease</w:t>
      </w:r>
      <w:r>
        <w:t xml:space="preserve"> - along with other outcomes including gastric cancer, obesity, osteoporosis and Meniere’s disease </w:t>
      </w:r>
      <w:r>
        <w:fldChar w:fldCharType="begin">
          <w:fldData xml:space="preserve">PEVuZE5vdGU+PENpdGUgRXhjbHVkZUF1dGg9IjEiPjxBdXRob3I+RXVyb3BlYW4gRm9vZCBTYWZl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</w:fldData>
        </w:fldChar>
      </w:r>
      <w:r>
        <w:instrText xml:space="preserve"> ADDIN EN.CITE </w:instrText>
      </w:r>
      <w:r>
        <w:fldChar w:fldCharType="begin">
          <w:fldData xml:space="preserve">PEVuZE5vdGU+PENpdGUgRXhjbHVkZUF1dGg9IjEiPjxBdXRob3I+RXVyb3BlYW4gRm9vZCBTYWZl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</w:fldData>
        </w:fldChar>
      </w:r>
      <w:r>
        <w:instrText xml:space="preserve"> ADDIN EN.CITE.DATA </w:instrText>
      </w:r>
      <w:r>
        <w:fldChar w:fldCharType="end"/>
      </w:r>
      <w:r>
        <w:fldChar w:fldCharType="separate"/>
      </w:r>
      <w:r>
        <w:rPr>
          <w:noProof/>
        </w:rPr>
        <w:t>(EFSA, 2019; NASEM, 2019; Newberry et al., 2018; WHO, 2026)</w:t>
      </w:r>
      <w:r>
        <w:fldChar w:fldCharType="end"/>
      </w:r>
      <w:r w:rsidRPr="00750AC6">
        <w:t>.</w:t>
      </w:r>
    </w:p>
    <w:p w14:paraId="58B20261" w14:textId="77777777" w:rsidR="00F61D64" w:rsidRDefault="00F61D64" w:rsidP="00F61D64">
      <w:pPr>
        <w:rPr>
          <w:rFonts w:cstheme="minorHAnsi"/>
          <w:lang w:val="en-NZ"/>
        </w:rPr>
      </w:pPr>
      <w:r>
        <w:t xml:space="preserve">The primary end point for establishing a sodium chronic disease risk reduction (CDRR) target </w:t>
      </w:r>
      <w:r>
        <w:rPr>
          <w:rFonts w:cstheme="minorHAnsi"/>
          <w:lang w:val="en-NZ"/>
        </w:rPr>
        <w:t xml:space="preserve">is </w:t>
      </w:r>
      <w:r w:rsidRPr="00B070B6">
        <w:rPr>
          <w:rFonts w:cstheme="minorHAnsi"/>
          <w:lang w:val="en-NZ"/>
        </w:rPr>
        <w:t>blood pressure</w:t>
      </w:r>
      <w:r>
        <w:rPr>
          <w:rFonts w:cstheme="minorHAnsi"/>
          <w:lang w:val="en-NZ"/>
        </w:rPr>
        <w:t xml:space="preserve">, with strong evidence of a relationship between increasing sodium intake and elevated blood pressure which is in turn a key risk factor for a range of cardiovascular disease outcomes. Other relevant end points include other cardiovascular outcomes including </w:t>
      </w:r>
      <w:r w:rsidRPr="00B070B6">
        <w:rPr>
          <w:rFonts w:cstheme="minorHAnsi"/>
          <w:lang w:val="en-NZ"/>
        </w:rPr>
        <w:t>arterial stiffness, blood lipids</w:t>
      </w:r>
      <w:r>
        <w:rPr>
          <w:rFonts w:cstheme="minorHAnsi"/>
          <w:lang w:val="en-NZ"/>
        </w:rPr>
        <w:t xml:space="preserve"> and cardiovascular disease, as well as kidney </w:t>
      </w:r>
      <w:r w:rsidRPr="00B070B6">
        <w:rPr>
          <w:rFonts w:cstheme="minorHAnsi"/>
          <w:lang w:val="en-NZ"/>
        </w:rPr>
        <w:t xml:space="preserve">function </w:t>
      </w:r>
      <w:r>
        <w:rPr>
          <w:rFonts w:cstheme="minorHAnsi"/>
          <w:lang w:val="en-NZ"/>
        </w:rPr>
        <w:t xml:space="preserve">or kidney </w:t>
      </w:r>
      <w:r w:rsidRPr="00B070B6">
        <w:rPr>
          <w:rFonts w:cstheme="minorHAnsi"/>
          <w:lang w:val="en-NZ"/>
        </w:rPr>
        <w:t>disease</w:t>
      </w:r>
      <w:r>
        <w:rPr>
          <w:rFonts w:cstheme="minorHAnsi"/>
          <w:lang w:val="en-NZ"/>
        </w:rPr>
        <w:t>.</w:t>
      </w:r>
    </w:p>
    <w:p w14:paraId="401229F7" w14:textId="77777777" w:rsidR="00F61D64" w:rsidRPr="00BB3C9A" w:rsidRDefault="00F61D64" w:rsidP="00F61D64">
      <w:pPr>
        <w:pStyle w:val="Heading3"/>
      </w:pPr>
      <w:bookmarkStart w:id="175" w:name="_Toc234960920"/>
      <w:r w:rsidRPr="00BB3C9A">
        <w:lastRenderedPageBreak/>
        <w:t xml:space="preserve">Criteria for measuring </w:t>
      </w:r>
      <w:r>
        <w:t xml:space="preserve">sodium </w:t>
      </w:r>
      <w:r w:rsidRPr="00BB3C9A">
        <w:t>intake</w:t>
      </w:r>
      <w:bookmarkEnd w:id="174"/>
      <w:bookmarkEnd w:id="175"/>
    </w:p>
    <w:p w14:paraId="13E0C3B2" w14:textId="58F6D9FA" w:rsidR="00F61D64" w:rsidRPr="007E13FC" w:rsidRDefault="00F61D64" w:rsidP="00F61D64">
      <w:r w:rsidRPr="00A84E25">
        <w:rPr>
          <w:lang w:val="en-NZ"/>
        </w:rPr>
        <w:t>In healthy people</w:t>
      </w:r>
      <w:r>
        <w:rPr>
          <w:lang w:val="en-NZ"/>
        </w:rPr>
        <w:t>,</w:t>
      </w:r>
      <w:r w:rsidRPr="00A84E25">
        <w:rPr>
          <w:lang w:val="en-NZ"/>
        </w:rPr>
        <w:t xml:space="preserve"> most dietary sodium is excreted via urine (around 90%), with some sodium lost in sweat and faeces </w:t>
      </w:r>
      <w:r w:rsidRPr="00A84E25">
        <w:rPr>
          <w:lang w:val="en-NZ"/>
        </w:rPr>
        <w:fldChar w:fldCharType="begin"/>
      </w:r>
      <w:r>
        <w:rPr>
          <w:lang w:val="en-NZ"/>
        </w:rPr>
        <w:instrText xml:space="preserve"> ADDIN EN.CITE &lt;EndNote&gt;&lt;Cite&gt;&lt;Author&gt;He&lt;/Author&gt;&lt;Year&gt;2010&lt;/Year&gt;&lt;RecNum&gt;2&lt;/RecNum&gt;&lt;DisplayText&gt;(He &amp;amp; MacGregor, 2010)&lt;/DisplayText&gt;&lt;record&gt;&lt;rec-number&gt;2&lt;/rec-number&gt;&lt;foreign-keys&gt;&lt;key app="EN" db-id="s590v22vexrwt2e9f9pxtw9mrep5aa2dr2s0" timestamp="1774919572"&gt;2&lt;/key&gt;&lt;/foreign-keys&gt;&lt;ref-type name="Journal Article"&gt;17&lt;/ref-type&gt;&lt;contributors&gt;&lt;authors&gt;&lt;author&gt;He, F. J.&lt;/author&gt;&lt;author&gt;MacGregor, G. A.&lt;/author&gt;&lt;/authors&gt;&lt;/contributors&gt;&lt;auth-address&gt;Wolfson Institute of Preventive Medicine, Barts and The London School of Medicine and Dentistry, Queen Mary University of London, London, UK. f.he@qmul.ac.uk&lt;/auth-address&gt;&lt;titles&gt;&lt;title&gt;Reducing population salt intake worldwide: from evidence to implementation&lt;/title&gt;&lt;secondary-title&gt;Prog Cardiovasc Dis&lt;/secondary-title&gt;&lt;/titles&gt;&lt;periodical&gt;&lt;full-title&gt;Prog Cardiovasc Dis&lt;/full-title&gt;&lt;/periodical&gt;&lt;pages&gt;363-82&lt;/pages&gt;&lt;volume&gt;52&lt;/volume&gt;&lt;number&gt;5&lt;/number&gt;&lt;keywords&gt;&lt;keyword&gt;Animals&lt;/keyword&gt;&lt;keyword&gt;Blood Pressure&lt;/keyword&gt;&lt;keyword&gt;Cardiovascular Diseases/economics/etiology/physiopathology/*prevention &amp;amp; control&lt;/keyword&gt;&lt;keyword&gt;Cost-Benefit Analysis&lt;/keyword&gt;&lt;keyword&gt;*Diet, Sodium-Restricted/economics&lt;/keyword&gt;&lt;keyword&gt;Evidence-Based Medicine&lt;/keyword&gt;&lt;keyword&gt;Food Industry&lt;/keyword&gt;&lt;keyword&gt;*Global Health&lt;/keyword&gt;&lt;keyword&gt;Health Care Costs&lt;/keyword&gt;&lt;keyword&gt;Health Promotion&lt;/keyword&gt;&lt;keyword&gt;Humans&lt;/keyword&gt;&lt;keyword&gt;Hypertension/economics/etiology/physiopathology/*prevention &amp;amp; control&lt;/keyword&gt;&lt;keyword&gt;*Nutrition Policy&lt;/keyword&gt;&lt;keyword&gt;Public Health&lt;/keyword&gt;&lt;keyword&gt;Risk Assessment&lt;/keyword&gt;&lt;keyword&gt;Risk Factors&lt;/keyword&gt;&lt;keyword&gt;Risk Reduction Behavior&lt;/keyword&gt;&lt;keyword&gt;Sodium Chloride, Dietary/*adverse effects&lt;/keyword&gt;&lt;/keywords&gt;&lt;dates&gt;&lt;year&gt;2010&lt;/year&gt;&lt;pub-dates&gt;&lt;date&gt;Mar-Apr&lt;/date&gt;&lt;/pub-dates&gt;&lt;/dates&gt;&lt;isbn&gt;0033-0620&lt;/isbn&gt;&lt;accession-num&gt;20226955&lt;/accession-num&gt;&lt;urls&gt;&lt;/urls&gt;&lt;electronic-resource-num&gt;10.1016/j.pcad.2009.12.006&lt;/electronic-resource-num&gt;&lt;remote-database-provider&gt;NLM&lt;/remote-database-provider&gt;&lt;language&gt;eng&lt;/language&gt;&lt;/record&gt;&lt;/Cite&gt;&lt;/EndNote&gt;</w:instrText>
      </w:r>
      <w:r w:rsidRPr="00A84E25">
        <w:rPr>
          <w:lang w:val="en-NZ"/>
        </w:rPr>
        <w:fldChar w:fldCharType="separate"/>
      </w:r>
      <w:r w:rsidRPr="00A84E25">
        <w:rPr>
          <w:noProof/>
          <w:lang w:val="en-NZ"/>
        </w:rPr>
        <w:t>(He &amp; MacGregor, 2010)</w:t>
      </w:r>
      <w:r w:rsidRPr="00A84E25">
        <w:rPr>
          <w:lang w:val="en-NZ"/>
        </w:rPr>
        <w:fldChar w:fldCharType="end"/>
      </w:r>
      <w:r w:rsidRPr="00A84E25">
        <w:rPr>
          <w:lang w:val="en-NZ"/>
        </w:rPr>
        <w:t xml:space="preserve">. Estimating sodium </w:t>
      </w:r>
      <w:r>
        <w:rPr>
          <w:lang w:val="en-NZ"/>
        </w:rPr>
        <w:t xml:space="preserve">intake based on sodium excretion </w:t>
      </w:r>
      <w:r w:rsidRPr="00A84E25">
        <w:rPr>
          <w:lang w:val="en-NZ"/>
        </w:rPr>
        <w:t xml:space="preserve">from a 24-hour urine sample is generally considered to be the </w:t>
      </w:r>
      <w:r>
        <w:rPr>
          <w:lang w:val="en-NZ"/>
        </w:rPr>
        <w:t xml:space="preserve">most robust </w:t>
      </w:r>
      <w:r w:rsidRPr="00A84E25">
        <w:rPr>
          <w:lang w:val="en-NZ"/>
        </w:rPr>
        <w:t xml:space="preserve">method </w:t>
      </w:r>
      <w:r w:rsidRPr="00A84E25">
        <w:rPr>
          <w:lang w:val="en-NZ"/>
        </w:rPr>
        <w:fldChar w:fldCharType="begin">
          <w:fldData xml:space="preserve">PEVuZE5vdGU+PENpdGU+PEF1dGhvcj5NY0xlYW48L0F1dGhvcj48WWVhcj4yMDE4PC9ZZWFyPjxS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</w:fldData>
        </w:fldChar>
      </w:r>
      <w:r>
        <w:rPr>
          <w:lang w:val="en-NZ"/>
        </w:rPr>
        <w:instrText xml:space="preserve"> ADDIN EN.CITE </w:instrText>
      </w:r>
      <w:r>
        <w:rPr>
          <w:lang w:val="en-NZ"/>
        </w:rPr>
        <w:fldChar w:fldCharType="begin">
          <w:fldData xml:space="preserve">PEVuZE5vdGU+PENpdGU+PEF1dGhvcj5NY0xlYW48L0F1dGhvcj48WWVhcj4yMDE4PC9ZZWFyPjxS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</w:fldData>
        </w:fldChar>
      </w:r>
      <w:r>
        <w:rPr>
          <w:lang w:val="en-NZ"/>
        </w:rPr>
        <w:instrText xml:space="preserve"> ADDIN EN.CITE.DATA </w:instrText>
      </w:r>
      <w:r>
        <w:rPr>
          <w:lang w:val="en-NZ"/>
        </w:rPr>
      </w:r>
      <w:r>
        <w:rPr>
          <w:lang w:val="en-NZ"/>
        </w:rPr>
        <w:fldChar w:fldCharType="end"/>
      </w:r>
      <w:r w:rsidRPr="00A84E25">
        <w:rPr>
          <w:lang w:val="en-NZ"/>
        </w:rPr>
      </w:r>
      <w:r w:rsidRPr="00A84E25">
        <w:rPr>
          <w:lang w:val="en-NZ"/>
        </w:rPr>
        <w:fldChar w:fldCharType="separate"/>
      </w:r>
      <w:r>
        <w:rPr>
          <w:noProof/>
          <w:lang w:val="en-NZ"/>
        </w:rPr>
        <w:t>(McLean, Farmer, et al., 2018)</w:t>
      </w:r>
      <w:r w:rsidRPr="00A84E25">
        <w:rPr>
          <w:lang w:val="en-NZ"/>
        </w:rPr>
        <w:fldChar w:fldCharType="end"/>
      </w:r>
      <w:r w:rsidRPr="00A84E25">
        <w:rPr>
          <w:lang w:val="en-NZ"/>
        </w:rPr>
        <w:t xml:space="preserve">. Methods such as spot </w:t>
      </w:r>
      <w:r>
        <w:rPr>
          <w:lang w:val="en-NZ"/>
        </w:rPr>
        <w:t xml:space="preserve">urine </w:t>
      </w:r>
      <w:r w:rsidRPr="00A84E25">
        <w:rPr>
          <w:lang w:val="en-NZ"/>
        </w:rPr>
        <w:t>collection or timed collection (for example, overnight) are subject to greater intra-person variability than 24-h</w:t>
      </w:r>
      <w:r>
        <w:rPr>
          <w:lang w:val="en-NZ"/>
        </w:rPr>
        <w:t>our</w:t>
      </w:r>
      <w:r w:rsidRPr="00A84E25">
        <w:rPr>
          <w:lang w:val="en-NZ"/>
        </w:rPr>
        <w:t xml:space="preserve"> </w:t>
      </w:r>
      <w:r>
        <w:rPr>
          <w:lang w:val="en-NZ"/>
        </w:rPr>
        <w:t xml:space="preserve">urine </w:t>
      </w:r>
      <w:r w:rsidRPr="00A84E25">
        <w:rPr>
          <w:lang w:val="en-NZ"/>
        </w:rPr>
        <w:t>collections</w:t>
      </w:r>
      <w:r>
        <w:rPr>
          <w:lang w:val="en-NZ"/>
        </w:rPr>
        <w:t xml:space="preserve"> and are </w:t>
      </w:r>
      <w:r w:rsidRPr="00A84E25">
        <w:rPr>
          <w:lang w:val="en-NZ"/>
        </w:rPr>
        <w:t xml:space="preserve">not considered to be reliable </w:t>
      </w:r>
      <w:r w:rsidRPr="007E13FC">
        <w:rPr>
          <w:lang w:val="en-NZ"/>
        </w:rPr>
        <w:t xml:space="preserve">biomarkers of individual sodium intake </w:t>
      </w:r>
      <w:r w:rsidRPr="007E13FC">
        <w:rPr>
          <w:lang w:val="en-NZ"/>
        </w:rPr>
        <w:fldChar w:fldCharType="begin">
          <w:fldData xml:space="preserve">PEVuZE5vdGU+PENpdGU+PEF1dGhvcj5DYW1wYmVsbDwvQXV0aG9yPjxZZWFyPjIwMTk8L1llYXI+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==
</w:fldData>
        </w:fldChar>
      </w:r>
      <w:r>
        <w:rPr>
          <w:lang w:val="en-NZ"/>
        </w:rPr>
        <w:instrText xml:space="preserve"> ADDIN EN.CITE </w:instrText>
      </w:r>
      <w:r>
        <w:rPr>
          <w:lang w:val="en-NZ"/>
        </w:rPr>
        <w:fldChar w:fldCharType="begin">
          <w:fldData xml:space="preserve">PEVuZE5vdGU+PENpdGU+PEF1dGhvcj5DYW1wYmVsbDwvQXV0aG9yPjxZZWFyPjIwMTk8L1llYXI+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==
</w:fldData>
        </w:fldChar>
      </w:r>
      <w:r>
        <w:rPr>
          <w:lang w:val="en-NZ"/>
        </w:rPr>
        <w:instrText xml:space="preserve"> ADDIN EN.CITE.DATA </w:instrText>
      </w:r>
      <w:r>
        <w:rPr>
          <w:lang w:val="en-NZ"/>
        </w:rPr>
      </w:r>
      <w:r>
        <w:rPr>
          <w:lang w:val="en-NZ"/>
        </w:rPr>
        <w:fldChar w:fldCharType="end"/>
      </w:r>
      <w:r w:rsidRPr="007E13FC">
        <w:rPr>
          <w:lang w:val="en-NZ"/>
        </w:rPr>
      </w:r>
      <w:r w:rsidRPr="007E13FC">
        <w:rPr>
          <w:lang w:val="en-NZ"/>
        </w:rPr>
        <w:fldChar w:fldCharType="separate"/>
      </w:r>
      <w:r w:rsidRPr="007E13FC">
        <w:rPr>
          <w:noProof/>
          <w:lang w:val="en-NZ"/>
        </w:rPr>
        <w:t>(Campbell et al., 2019)</w:t>
      </w:r>
      <w:r w:rsidRPr="007E13FC">
        <w:rPr>
          <w:lang w:val="en-NZ"/>
        </w:rPr>
        <w:fldChar w:fldCharType="end"/>
      </w:r>
      <w:r w:rsidRPr="007E13FC">
        <w:rPr>
          <w:lang w:val="en-NZ"/>
        </w:rPr>
        <w:t>.  </w:t>
      </w:r>
    </w:p>
    <w:p w14:paraId="30C04AC6" w14:textId="7D6FFF5A" w:rsidR="00F61D64" w:rsidRDefault="00F61D64" w:rsidP="00F61D64">
      <w:pPr>
        <w:spacing w:line="240" w:lineRule="auto"/>
        <w:rPr>
          <w:rFonts w:asciiTheme="majorHAnsi" w:eastAsiaTheme="majorEastAsia" w:hAnsiTheme="majorHAnsi" w:cstheme="majorBidi"/>
          <w:color w:val="0F4761" w:themeColor="accent1" w:themeShade="BF"/>
          <w:sz w:val="32"/>
          <w:szCs w:val="32"/>
        </w:rPr>
      </w:pPr>
      <w:r>
        <w:rPr>
          <w:lang w:val="en-NZ"/>
        </w:rPr>
        <w:t xml:space="preserve">Dietary assessment methods have known limitations for estimating nutrient intake, including potential for recall or social desirability bias </w:t>
      </w:r>
      <w:r w:rsidRPr="004166F7">
        <w:rPr>
          <w:lang w:val="en-NZ"/>
        </w:rPr>
        <w:fldChar w:fldCharType="begin">
          <w:fldData xml:space="preserve">PEVuZE5vdGU+PENpdGU+PEF1dGhvcj5TaGltPC9BdXRob3I+PFllYXI+MjAxNDwvWWVhcj48UmVj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</w:fldData>
        </w:fldChar>
      </w:r>
      <w:r>
        <w:rPr>
          <w:lang w:val="en-NZ"/>
        </w:rPr>
        <w:instrText xml:space="preserve"> ADDIN EN.CITE </w:instrText>
      </w:r>
      <w:r>
        <w:rPr>
          <w:lang w:val="en-NZ"/>
        </w:rPr>
        <w:fldChar w:fldCharType="begin">
          <w:fldData xml:space="preserve">PEVuZE5vdGU+PENpdGU+PEF1dGhvcj5TaGltPC9BdXRob3I+PFllYXI+MjAxNDwvWWVhcj48UmVj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</w:fldData>
        </w:fldChar>
      </w:r>
      <w:r>
        <w:rPr>
          <w:lang w:val="en-NZ"/>
        </w:rPr>
        <w:instrText xml:space="preserve"> ADDIN EN.CITE.DATA </w:instrText>
      </w:r>
      <w:r>
        <w:rPr>
          <w:lang w:val="en-NZ"/>
        </w:rPr>
      </w:r>
      <w:r>
        <w:rPr>
          <w:lang w:val="en-NZ"/>
        </w:rPr>
        <w:fldChar w:fldCharType="end"/>
      </w:r>
      <w:r w:rsidRPr="004166F7">
        <w:rPr>
          <w:lang w:val="en-NZ"/>
        </w:rPr>
      </w:r>
      <w:r w:rsidRPr="004166F7">
        <w:rPr>
          <w:lang w:val="en-NZ"/>
        </w:rPr>
        <w:fldChar w:fldCharType="separate"/>
      </w:r>
      <w:r w:rsidRPr="004166F7">
        <w:rPr>
          <w:noProof/>
          <w:lang w:val="en-NZ"/>
        </w:rPr>
        <w:t>(Shim et al., 2014; Subar et al., 2015)</w:t>
      </w:r>
      <w:r w:rsidRPr="004166F7">
        <w:rPr>
          <w:lang w:val="en-NZ"/>
        </w:rPr>
        <w:fldChar w:fldCharType="end"/>
      </w:r>
      <w:r>
        <w:rPr>
          <w:lang w:val="en-NZ"/>
        </w:rPr>
        <w:t>. In addition to these known limitations, t</w:t>
      </w:r>
      <w:r w:rsidRPr="004166F7">
        <w:rPr>
          <w:lang w:val="en-NZ"/>
        </w:rPr>
        <w:t>here are specific challenges with dietary assessment of sodium. Dietary surveys often fail to include or accurately quantify sodium chloride added to foods during cooking and at the table. Food composition tables may not reflect the sodium content of all foods available in the food supply, including new products and product reformulation</w:t>
      </w:r>
      <w:r>
        <w:rPr>
          <w:lang w:val="en-NZ"/>
        </w:rPr>
        <w:t>.</w:t>
      </w:r>
      <w:bookmarkStart w:id="176" w:name="_Toc228804632"/>
    </w:p>
    <w:p w14:paraId="4C2F9158" w14:textId="77777777" w:rsidR="00F22E60" w:rsidRDefault="00F22E60">
      <w:pPr>
        <w:rPr>
          <w:rFonts w:asciiTheme="majorHAnsi" w:eastAsiaTheme="majorEastAsia" w:hAnsiTheme="majorHAnsi" w:cstheme="majorBidi"/>
          <w:color w:val="0F4761" w:themeColor="accent1" w:themeShade="BF"/>
          <w:sz w:val="32"/>
          <w:szCs w:val="32"/>
        </w:rPr>
      </w:pPr>
      <w:r>
        <w:br w:type="page"/>
      </w:r>
    </w:p>
    <w:p w14:paraId="5C014FDD" w14:textId="4CA40A65" w:rsidR="00F61D64" w:rsidRDefault="00F61D64" w:rsidP="00F61D64">
      <w:pPr>
        <w:pStyle w:val="Heading2"/>
      </w:pPr>
      <w:bookmarkStart w:id="177" w:name="_Toc234960921"/>
      <w:r w:rsidRPr="00626B35">
        <w:lastRenderedPageBreak/>
        <w:t>Evidence to decision tables</w:t>
      </w:r>
      <w:r>
        <w:t xml:space="preserve">: </w:t>
      </w:r>
      <w:bookmarkEnd w:id="176"/>
      <w:r>
        <w:t>Chronic Disease Risk Reduction</w:t>
      </w:r>
      <w:bookmarkEnd w:id="177"/>
    </w:p>
    <w:p w14:paraId="3961CB7E" w14:textId="77777777" w:rsidR="00F61D64" w:rsidRPr="003435D4" w:rsidRDefault="00F61D64" w:rsidP="00F61D64">
      <w:pPr>
        <w:pStyle w:val="Heading4"/>
        <w:pBdr>
          <w:top w:val="single" w:sz="4" w:space="1" w:color="auto"/>
          <w:left w:val="single" w:sz="4" w:space="4" w:color="auto"/>
          <w:bottom w:val="single" w:sz="4" w:space="1" w:color="auto"/>
          <w:right w:val="single" w:sz="4" w:space="4" w:color="auto"/>
        </w:pBdr>
        <w:spacing w:after="0"/>
        <w:rPr>
          <w:i w:val="0"/>
          <w:iCs w:val="0"/>
          <w:sz w:val="28"/>
          <w:szCs w:val="28"/>
        </w:rPr>
      </w:pPr>
      <w:bookmarkStart w:id="178" w:name="_Toc228804633"/>
      <w:r w:rsidRPr="003435D4">
        <w:rPr>
          <w:i w:val="0"/>
          <w:iCs w:val="0"/>
          <w:sz w:val="28"/>
          <w:szCs w:val="28"/>
        </w:rPr>
        <w:t>ADULTS</w:t>
      </w:r>
    </w:p>
    <w:p w14:paraId="77C8846D" w14:textId="77777777" w:rsidR="00F61D64" w:rsidRPr="00C33341" w:rsidRDefault="00F61D64" w:rsidP="00F61D64">
      <w:pPr>
        <w:spacing w:after="0" w:line="280" w:lineRule="atLeast"/>
        <w:ind w:left="1151" w:right="1151"/>
        <w:rPr>
          <w:rFonts w:ascii="Arial" w:eastAsia="SimHei" w:hAnsi="Arial" w:cs="Arial"/>
          <w:iCs/>
          <w:color w:val="77BCD9"/>
          <w:kern w:val="0"/>
          <w:sz w:val="20"/>
          <w:szCs w:val="18"/>
          <w:lang w:eastAsia="en-AU"/>
          <w14:ligatures w14:val="none"/>
        </w:rPr>
      </w:pPr>
    </w:p>
    <w:p w14:paraId="628D39C3" w14:textId="77777777" w:rsidR="00F61D64" w:rsidRPr="00C33341" w:rsidRDefault="00F61D64" w:rsidP="00F61D64">
      <w:pPr>
        <w:keepNext/>
        <w:keepLines/>
        <w:shd w:val="clear" w:color="auto" w:fill="005F85"/>
        <w:spacing w:after="120" w:line="280" w:lineRule="atLeast"/>
        <w:outlineLvl w:val="4"/>
        <w:rPr>
          <w:rFonts w:ascii="Gotham Medium" w:eastAsia="SimHei" w:hAnsi="Gotham Medium" w:cs="Arial"/>
          <w:i/>
          <w:iCs/>
          <w:color w:val="FFFFFF"/>
          <w:kern w:val="0"/>
          <w:lang w:eastAsia="en-AU"/>
          <w14:ligatures w14:val="none"/>
        </w:rPr>
      </w:pPr>
      <w:r>
        <w:rPr>
          <w:rFonts w:ascii="Gotham Medium" w:eastAsia="SimHei" w:hAnsi="Gotham Medium" w:cs="Arial"/>
          <w:i/>
          <w:iCs/>
          <w:color w:val="FFFFFF"/>
          <w:kern w:val="0"/>
          <w:lang w:eastAsia="en-AU"/>
          <w14:ligatures w14:val="none"/>
        </w:rPr>
        <w:t>Options for recommendations under consideration</w:t>
      </w:r>
    </w:p>
    <w:tbl>
      <w:tblPr>
        <w:tblStyle w:val="DefaultTable12"/>
        <w:tblW w:w="5000" w:type="pc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3"/>
        <w:gridCol w:w="2447"/>
        <w:gridCol w:w="2367"/>
        <w:gridCol w:w="2523"/>
        <w:gridCol w:w="2444"/>
        <w:gridCol w:w="2444"/>
      </w:tblGrid>
      <w:tr w:rsidR="00F61D64" w:rsidRPr="00C12A6C" w14:paraId="13D6BD2F" w14:textId="77777777" w:rsidTr="003A3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pct"/>
            <w:gridSpan w:val="3"/>
            <w:tcBorders>
              <w:top w:val="single" w:sz="4" w:space="0" w:color="156082" w:themeColor="accent1"/>
              <w:left w:val="single" w:sz="4" w:space="0" w:color="156082" w:themeColor="accent1"/>
              <w:bottom w:val="single" w:sz="4" w:space="0" w:color="156082" w:themeColor="accent1"/>
              <w:right w:val="single" w:sz="4" w:space="0" w:color="A6A6A6"/>
            </w:tcBorders>
            <w:shd w:val="clear" w:color="auto" w:fill="C8E4EF"/>
          </w:tcPr>
          <w:p w14:paraId="5EEDEAE5" w14:textId="77777777" w:rsidR="00F61D64" w:rsidRPr="00FC5053" w:rsidRDefault="00F61D64" w:rsidP="003A31ED">
            <w:pPr>
              <w:spacing w:line="276" w:lineRule="auto"/>
              <w:ind w:left="142"/>
              <w:rPr>
                <w:rFonts w:ascii="Gotham Book" w:eastAsia="Times New Roman" w:hAnsi="Gotham Book" w:cs="Times New Roman"/>
                <w:color w:val="004663"/>
                <w:sz w:val="20"/>
                <w:szCs w:val="20"/>
              </w:rPr>
            </w:pPr>
            <w:r w:rsidRPr="00FC5053">
              <w:rPr>
                <w:rFonts w:ascii="Gotham Book" w:eastAsia="Times New Roman" w:hAnsi="Gotham Book" w:cs="Arial"/>
                <w:color w:val="004663"/>
                <w:sz w:val="20"/>
                <w:szCs w:val="20"/>
                <w:u w:val="single"/>
              </w:rPr>
              <w:t>OPTION 1</w:t>
            </w:r>
            <w:r w:rsidRPr="00FC5053">
              <w:rPr>
                <w:rFonts w:ascii="Gotham Book" w:eastAsia="Times New Roman" w:hAnsi="Gotham Book" w:cs="Arial"/>
                <w:color w:val="004663"/>
                <w:sz w:val="20"/>
                <w:szCs w:val="20"/>
              </w:rPr>
              <w:t>:</w:t>
            </w:r>
            <w:r w:rsidRPr="00FC5053">
              <w:rPr>
                <w:rFonts w:ascii="Gotham Book" w:eastAsia="Times New Roman" w:hAnsi="Gotham Book" w:cs="Times New Roman"/>
                <w:color w:val="004663"/>
                <w:sz w:val="20"/>
                <w:szCs w:val="20"/>
              </w:rPr>
              <w:t xml:space="preserve"> </w:t>
            </w:r>
          </w:p>
          <w:p w14:paraId="68593319" w14:textId="77777777" w:rsidR="00F61D64" w:rsidRPr="00FC5053" w:rsidRDefault="00F61D64" w:rsidP="003A31ED">
            <w:pPr>
              <w:spacing w:line="276" w:lineRule="auto"/>
              <w:ind w:left="142"/>
              <w:rPr>
                <w:rFonts w:ascii="Gotham Book" w:eastAsia="Arial" w:hAnsi="Gotham Book" w:cs="Arial"/>
                <w:color w:val="004663"/>
                <w:sz w:val="20"/>
                <w:szCs w:val="20"/>
              </w:rPr>
            </w:pPr>
            <w:r w:rsidRPr="00FC5053">
              <w:rPr>
                <w:rFonts w:ascii="Gotham Book" w:eastAsia="Times New Roman" w:hAnsi="Gotham Book" w:cs="Arial"/>
                <w:color w:val="004663"/>
                <w:sz w:val="20"/>
                <w:szCs w:val="20"/>
              </w:rPr>
              <w:t>Maintain current CDRR (formerly SDT) recommendations, updating adult age groupings to align with new reference groups</w:t>
            </w:r>
          </w:p>
        </w:tc>
        <w:tc>
          <w:tcPr>
            <w:tcW w:w="2526" w:type="pct"/>
            <w:gridSpan w:val="3"/>
            <w:tcBorders>
              <w:top w:val="single" w:sz="4" w:space="0" w:color="156082" w:themeColor="accent1"/>
              <w:bottom w:val="single" w:sz="4" w:space="0" w:color="156082" w:themeColor="accent1"/>
              <w:right w:val="single" w:sz="4" w:space="0" w:color="156082" w:themeColor="accent1"/>
            </w:tcBorders>
            <w:shd w:val="clear" w:color="auto" w:fill="C8E4EF"/>
          </w:tcPr>
          <w:p w14:paraId="410A331A" w14:textId="77777777" w:rsidR="00F61D64" w:rsidRPr="00FC5053" w:rsidRDefault="00F61D64" w:rsidP="003A31ED">
            <w:pPr>
              <w:spacing w:line="276" w:lineRule="auto"/>
              <w:ind w:left="136"/>
              <w:cnfStyle w:val="100000000000" w:firstRow="1" w:lastRow="0" w:firstColumn="0" w:lastColumn="0" w:oddVBand="0" w:evenVBand="0" w:oddHBand="0" w:evenHBand="0" w:firstRowFirstColumn="0" w:firstRowLastColumn="0" w:lastRowFirstColumn="0" w:lastRowLastColumn="0"/>
              <w:rPr>
                <w:rFonts w:ascii="Gotham Book" w:eastAsia="Times New Roman" w:hAnsi="Gotham Book" w:cs="Arial"/>
                <w:color w:val="004663"/>
                <w:sz w:val="20"/>
                <w:szCs w:val="20"/>
              </w:rPr>
            </w:pPr>
            <w:r w:rsidRPr="00FC5053">
              <w:rPr>
                <w:rFonts w:ascii="Gotham Book" w:eastAsia="Times New Roman" w:hAnsi="Gotham Book" w:cs="Arial"/>
                <w:color w:val="004663"/>
                <w:sz w:val="20"/>
                <w:szCs w:val="20"/>
                <w:u w:val="single"/>
              </w:rPr>
              <w:t>OPTION 2</w:t>
            </w:r>
            <w:r w:rsidRPr="00FC5053">
              <w:rPr>
                <w:rFonts w:ascii="Gotham Book" w:eastAsia="Times New Roman" w:hAnsi="Gotham Book" w:cs="Arial"/>
                <w:color w:val="004663"/>
                <w:sz w:val="20"/>
                <w:szCs w:val="20"/>
              </w:rPr>
              <w:t>:</w:t>
            </w:r>
          </w:p>
          <w:p w14:paraId="3F57514D" w14:textId="77777777" w:rsidR="00F61D64" w:rsidRPr="00FC5053" w:rsidRDefault="00F61D64" w:rsidP="003A31ED">
            <w:pPr>
              <w:spacing w:line="276" w:lineRule="auto"/>
              <w:ind w:left="136"/>
              <w:cnfStyle w:val="100000000000" w:firstRow="1" w:lastRow="0" w:firstColumn="0" w:lastColumn="0" w:oddVBand="0" w:evenVBand="0" w:oddHBand="0" w:evenHBand="0" w:firstRowFirstColumn="0" w:firstRowLastColumn="0" w:lastRowFirstColumn="0" w:lastRowLastColumn="0"/>
              <w:rPr>
                <w:rFonts w:ascii="Gotham Book" w:eastAsia="Arial" w:hAnsi="Gotham Book" w:cs="Arial"/>
                <w:color w:val="004663"/>
                <w:sz w:val="20"/>
                <w:szCs w:val="20"/>
              </w:rPr>
            </w:pPr>
            <w:r w:rsidRPr="00FC5053">
              <w:rPr>
                <w:rFonts w:ascii="Gotham Book" w:eastAsia="Times New Roman" w:hAnsi="Gotham Book" w:cs="Arial"/>
                <w:color w:val="004663"/>
                <w:sz w:val="20"/>
                <w:szCs w:val="20"/>
              </w:rPr>
              <w:t xml:space="preserve">Increase CDRR (formerly SDT) recommendations, updating adult age groupings to align with new reference groups, </w:t>
            </w:r>
            <w:proofErr w:type="gramStart"/>
            <w:r w:rsidRPr="00FC5053">
              <w:rPr>
                <w:rFonts w:ascii="Gotham Book" w:eastAsia="Times New Roman" w:hAnsi="Gotham Book" w:cs="Arial"/>
                <w:color w:val="004663"/>
                <w:sz w:val="20"/>
                <w:szCs w:val="20"/>
              </w:rPr>
              <w:t>E.g.</w:t>
            </w:r>
            <w:proofErr w:type="gramEnd"/>
          </w:p>
        </w:tc>
      </w:tr>
      <w:tr w:rsidR="00F61D64" w:rsidRPr="00C12A6C" w14:paraId="4A2E72C4"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30246F1E" w14:textId="77777777" w:rsidR="00F61D64" w:rsidRPr="00FC5053" w:rsidRDefault="00F61D64" w:rsidP="00F22E60">
            <w:pPr>
              <w:spacing w:before="0" w:after="0" w:line="280" w:lineRule="atLeast"/>
              <w:ind w:left="142"/>
              <w:rPr>
                <w:rFonts w:ascii="Gotham Book" w:eastAsia="Arial" w:hAnsi="Gotham Book" w:cs="Arial"/>
                <w:color w:val="000000" w:themeColor="text1"/>
                <w:sz w:val="20"/>
                <w:szCs w:val="20"/>
              </w:rPr>
            </w:pPr>
            <w:r w:rsidRPr="00FC5053">
              <w:rPr>
                <w:rFonts w:ascii="Gotham Book" w:eastAsia="Arial" w:hAnsi="Gotham Book" w:cs="Arial"/>
                <w:color w:val="000000" w:themeColor="text1"/>
                <w:sz w:val="20"/>
                <w:szCs w:val="20"/>
              </w:rPr>
              <w:t>Males</w:t>
            </w:r>
          </w:p>
        </w:tc>
        <w:tc>
          <w:tcPr>
            <w:tcW w:w="83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0C7B0D6" w14:textId="77777777" w:rsidR="00F61D64" w:rsidRPr="00FC5053" w:rsidRDefault="00F61D64" w:rsidP="00F22E60">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szCs w:val="20"/>
              </w:rPr>
            </w:pPr>
            <w:r>
              <w:rPr>
                <w:rFonts w:ascii="Gotham Book" w:eastAsia="Arial" w:hAnsi="Gotham Book" w:cs="Arial"/>
                <w:b/>
                <w:sz w:val="20"/>
                <w:szCs w:val="20"/>
              </w:rPr>
              <w:t>CDRR</w:t>
            </w:r>
            <w:r w:rsidRPr="00FC5053">
              <w:rPr>
                <w:rFonts w:ascii="Gotham Book" w:eastAsia="Arial" w:hAnsi="Gotham Book" w:cs="Arial"/>
                <w:b/>
                <w:sz w:val="20"/>
                <w:szCs w:val="20"/>
              </w:rPr>
              <w:t xml:space="preserve"> (mg/day)</w:t>
            </w:r>
          </w:p>
        </w:tc>
        <w:tc>
          <w:tcPr>
            <w:tcW w:w="807"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7D7BA8B" w14:textId="77777777" w:rsidR="00F61D64" w:rsidRPr="00FC5053" w:rsidRDefault="00F61D64" w:rsidP="00F22E60">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szCs w:val="20"/>
              </w:rPr>
            </w:pPr>
            <w:r>
              <w:rPr>
                <w:rFonts w:ascii="Gotham Book" w:eastAsia="Arial" w:hAnsi="Gotham Book" w:cs="Arial"/>
                <w:b/>
                <w:sz w:val="20"/>
                <w:szCs w:val="20"/>
              </w:rPr>
              <w:t>CDRR</w:t>
            </w:r>
            <w:r w:rsidRPr="00FC5053">
              <w:rPr>
                <w:rFonts w:ascii="Gotham Book" w:eastAsia="Arial" w:hAnsi="Gotham Book" w:cs="Arial"/>
                <w:b/>
                <w:sz w:val="20"/>
                <w:szCs w:val="20"/>
              </w:rPr>
              <w:t xml:space="preserve"> (mmol/day)</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A1C0DD5" w14:textId="77777777" w:rsidR="00F61D64" w:rsidRPr="00FC5053" w:rsidRDefault="00F61D64" w:rsidP="00F22E60">
            <w:pPr>
              <w:spacing w:before="0" w:after="0"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b/>
                <w:sz w:val="20"/>
                <w:szCs w:val="20"/>
              </w:rPr>
            </w:pPr>
            <w:r w:rsidRPr="00FC5053">
              <w:rPr>
                <w:rFonts w:ascii="Gotham Book" w:eastAsia="Arial" w:hAnsi="Gotham Book" w:cs="Arial"/>
                <w:b/>
                <w:sz w:val="20"/>
                <w:szCs w:val="20"/>
              </w:rPr>
              <w:t>Males</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214B9795" w14:textId="77777777" w:rsidR="00F61D64" w:rsidRPr="00FC5053" w:rsidRDefault="00F61D64" w:rsidP="00F22E60">
            <w:pPr>
              <w:spacing w:before="0" w:after="0"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b/>
                <w:sz w:val="20"/>
                <w:szCs w:val="20"/>
              </w:rPr>
            </w:pPr>
            <w:r>
              <w:rPr>
                <w:rFonts w:ascii="Gotham Book" w:eastAsia="Arial" w:hAnsi="Gotham Book" w:cs="Arial"/>
                <w:b/>
                <w:sz w:val="20"/>
                <w:szCs w:val="20"/>
              </w:rPr>
              <w:t>CDRR</w:t>
            </w:r>
            <w:r w:rsidRPr="00FC5053">
              <w:rPr>
                <w:rFonts w:ascii="Gotham Book" w:eastAsia="Arial" w:hAnsi="Gotham Book" w:cs="Arial"/>
                <w:b/>
                <w:sz w:val="20"/>
                <w:szCs w:val="20"/>
              </w:rPr>
              <w:t xml:space="preserve"> (mg/day)</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C030046" w14:textId="77777777" w:rsidR="00F61D64" w:rsidRPr="00FC5053" w:rsidRDefault="00F61D64" w:rsidP="00F22E60">
            <w:pPr>
              <w:spacing w:before="0" w:after="0"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szCs w:val="20"/>
              </w:rPr>
            </w:pPr>
            <w:r>
              <w:rPr>
                <w:rFonts w:ascii="Gotham Book" w:eastAsia="Arial" w:hAnsi="Gotham Book" w:cs="Arial"/>
                <w:b/>
                <w:sz w:val="20"/>
                <w:szCs w:val="20"/>
              </w:rPr>
              <w:t>CDRR</w:t>
            </w:r>
            <w:r w:rsidRPr="00FC5053">
              <w:rPr>
                <w:rFonts w:ascii="Gotham Book" w:eastAsia="Arial" w:hAnsi="Gotham Book" w:cs="Arial"/>
                <w:b/>
                <w:sz w:val="20"/>
                <w:szCs w:val="20"/>
              </w:rPr>
              <w:t xml:space="preserve"> (mmol/day)</w:t>
            </w:r>
          </w:p>
        </w:tc>
      </w:tr>
      <w:tr w:rsidR="00F61D64" w:rsidRPr="00C12A6C" w14:paraId="0B0FB6E5"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72F5B46C" w14:textId="77777777" w:rsidR="00F61D64" w:rsidRPr="00FC5053" w:rsidRDefault="00F61D64" w:rsidP="00F22E60">
            <w:pPr>
              <w:spacing w:before="0" w:after="0" w:line="280" w:lineRule="atLeast"/>
              <w:ind w:left="142"/>
              <w:rPr>
                <w:rFonts w:ascii="Gotham Book" w:eastAsia="Arial" w:hAnsi="Gotham Book" w:cs="Arial"/>
                <w:b w:val="0"/>
                <w:bCs w:val="0"/>
                <w:color w:val="000000" w:themeColor="text1"/>
                <w:sz w:val="20"/>
                <w:szCs w:val="20"/>
              </w:rPr>
            </w:pPr>
            <w:r w:rsidRPr="00FC5053">
              <w:rPr>
                <w:rFonts w:ascii="Gotham Book" w:eastAsia="Times New Roman" w:hAnsi="Gotham Book" w:cs="Arial"/>
                <w:b w:val="0"/>
                <w:bCs w:val="0"/>
                <w:color w:val="000000" w:themeColor="text1"/>
                <w:sz w:val="20"/>
                <w:szCs w:val="20"/>
              </w:rPr>
              <w:t>18 to under 30 years</w:t>
            </w:r>
          </w:p>
        </w:tc>
        <w:tc>
          <w:tcPr>
            <w:tcW w:w="834" w:type="pct"/>
            <w:tcBorders>
              <w:top w:val="single" w:sz="4" w:space="0" w:color="156082" w:themeColor="accent1"/>
              <w:left w:val="single" w:sz="4" w:space="0" w:color="156082" w:themeColor="accent1"/>
              <w:right w:val="single" w:sz="4" w:space="0" w:color="156082" w:themeColor="accent1"/>
            </w:tcBorders>
            <w:shd w:val="clear" w:color="auto" w:fill="FFFFFF"/>
          </w:tcPr>
          <w:p w14:paraId="571790AA"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2000</w:t>
            </w:r>
          </w:p>
        </w:tc>
        <w:tc>
          <w:tcPr>
            <w:tcW w:w="807" w:type="pct"/>
            <w:tcBorders>
              <w:top w:val="single" w:sz="4" w:space="0" w:color="156082" w:themeColor="accent1"/>
              <w:left w:val="single" w:sz="4" w:space="0" w:color="156082" w:themeColor="accent1"/>
              <w:right w:val="single" w:sz="4" w:space="0" w:color="156082" w:themeColor="accent1"/>
            </w:tcBorders>
            <w:shd w:val="clear" w:color="auto" w:fill="FFFFFF"/>
          </w:tcPr>
          <w:p w14:paraId="3E15A64B"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86</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5F997199" w14:textId="77777777" w:rsidR="00F61D64" w:rsidRPr="00FC5053" w:rsidRDefault="00F61D64" w:rsidP="00F22E60">
            <w:pPr>
              <w:spacing w:before="0" w:after="0" w:line="280" w:lineRule="atLeast"/>
              <w:ind w:left="136"/>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szCs w:val="20"/>
              </w:rPr>
            </w:pPr>
            <w:r w:rsidRPr="00FC5053">
              <w:rPr>
                <w:rFonts w:ascii="Gotham Book" w:eastAsia="Times New Roman" w:hAnsi="Gotham Book" w:cs="Arial"/>
                <w:sz w:val="20"/>
                <w:szCs w:val="20"/>
              </w:rPr>
              <w:t>18 to under 30 years</w:t>
            </w:r>
          </w:p>
        </w:tc>
        <w:tc>
          <w:tcPr>
            <w:tcW w:w="833" w:type="pct"/>
            <w:tcBorders>
              <w:top w:val="single" w:sz="4" w:space="0" w:color="156082" w:themeColor="accent1"/>
              <w:left w:val="single" w:sz="4" w:space="0" w:color="156082" w:themeColor="accent1"/>
              <w:right w:val="single" w:sz="4" w:space="0" w:color="156082" w:themeColor="accent1"/>
            </w:tcBorders>
            <w:shd w:val="clear" w:color="auto" w:fill="FFFFFF"/>
          </w:tcPr>
          <w:p w14:paraId="1CA7D912"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2,300</w:t>
            </w:r>
          </w:p>
        </w:tc>
        <w:tc>
          <w:tcPr>
            <w:tcW w:w="833" w:type="pct"/>
            <w:tcBorders>
              <w:top w:val="single" w:sz="4" w:space="0" w:color="156082" w:themeColor="accent1"/>
              <w:left w:val="single" w:sz="4" w:space="0" w:color="156082" w:themeColor="accent1"/>
              <w:right w:val="single" w:sz="4" w:space="0" w:color="156082" w:themeColor="accent1"/>
            </w:tcBorders>
            <w:shd w:val="clear" w:color="auto" w:fill="FFFFFF"/>
          </w:tcPr>
          <w:p w14:paraId="6E3F3CE3"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100</w:t>
            </w:r>
          </w:p>
        </w:tc>
      </w:tr>
      <w:tr w:rsidR="00F61D64" w:rsidRPr="00C12A6C" w14:paraId="076721C8"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74E82E5A" w14:textId="77777777" w:rsidR="00F61D64" w:rsidRPr="00FC5053" w:rsidRDefault="00F61D64" w:rsidP="00F22E60">
            <w:pPr>
              <w:spacing w:before="0" w:after="0" w:line="280" w:lineRule="atLeast"/>
              <w:ind w:left="142"/>
              <w:rPr>
                <w:rFonts w:ascii="Gotham Book" w:eastAsia="Arial" w:hAnsi="Gotham Book" w:cs="Arial"/>
                <w:b w:val="0"/>
                <w:bCs w:val="0"/>
                <w:color w:val="000000" w:themeColor="text1"/>
                <w:sz w:val="20"/>
                <w:szCs w:val="20"/>
              </w:rPr>
            </w:pPr>
            <w:r w:rsidRPr="00FC5053">
              <w:rPr>
                <w:rFonts w:ascii="Gotham Book" w:eastAsia="Times New Roman" w:hAnsi="Gotham Book" w:cs="Arial"/>
                <w:b w:val="0"/>
                <w:bCs w:val="0"/>
                <w:color w:val="000000" w:themeColor="text1"/>
                <w:sz w:val="20"/>
                <w:szCs w:val="20"/>
              </w:rPr>
              <w:t>30 to under 50 years</w:t>
            </w:r>
          </w:p>
        </w:tc>
        <w:tc>
          <w:tcPr>
            <w:tcW w:w="834" w:type="pct"/>
            <w:tcBorders>
              <w:left w:val="single" w:sz="4" w:space="0" w:color="156082" w:themeColor="accent1"/>
              <w:right w:val="single" w:sz="4" w:space="0" w:color="156082" w:themeColor="accent1"/>
            </w:tcBorders>
            <w:shd w:val="clear" w:color="auto" w:fill="FFFFFF"/>
          </w:tcPr>
          <w:p w14:paraId="0A47379F" w14:textId="77777777" w:rsidR="00F61D64" w:rsidRPr="00FC5053" w:rsidRDefault="00F61D64" w:rsidP="00F22E60">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2000</w:t>
            </w:r>
          </w:p>
        </w:tc>
        <w:tc>
          <w:tcPr>
            <w:tcW w:w="807" w:type="pct"/>
            <w:tcBorders>
              <w:left w:val="single" w:sz="4" w:space="0" w:color="156082" w:themeColor="accent1"/>
              <w:right w:val="single" w:sz="4" w:space="0" w:color="156082" w:themeColor="accent1"/>
            </w:tcBorders>
            <w:shd w:val="clear" w:color="auto" w:fill="FFFFFF"/>
          </w:tcPr>
          <w:p w14:paraId="692D8B3A" w14:textId="77777777" w:rsidR="00F61D64" w:rsidRPr="00FC5053" w:rsidRDefault="00F61D64" w:rsidP="00F22E60">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86</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3432051" w14:textId="77777777" w:rsidR="00F61D64" w:rsidRPr="00FC5053" w:rsidRDefault="00F61D64" w:rsidP="00F22E60">
            <w:pPr>
              <w:spacing w:before="0" w:after="0"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szCs w:val="20"/>
              </w:rPr>
            </w:pPr>
            <w:r w:rsidRPr="00FC5053">
              <w:rPr>
                <w:rFonts w:ascii="Gotham Book" w:eastAsia="Times New Roman" w:hAnsi="Gotham Book" w:cs="Arial"/>
                <w:sz w:val="20"/>
                <w:szCs w:val="20"/>
              </w:rPr>
              <w:t>30 to under 50 years</w:t>
            </w:r>
          </w:p>
        </w:tc>
        <w:tc>
          <w:tcPr>
            <w:tcW w:w="833" w:type="pct"/>
            <w:tcBorders>
              <w:left w:val="single" w:sz="4" w:space="0" w:color="156082" w:themeColor="accent1"/>
              <w:right w:val="single" w:sz="4" w:space="0" w:color="156082" w:themeColor="accent1"/>
            </w:tcBorders>
            <w:shd w:val="clear" w:color="auto" w:fill="auto"/>
          </w:tcPr>
          <w:p w14:paraId="113B7AA7" w14:textId="77777777" w:rsidR="00F61D64" w:rsidRPr="00FC5053" w:rsidRDefault="00F61D64" w:rsidP="00F22E60">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2,300</w:t>
            </w:r>
          </w:p>
        </w:tc>
        <w:tc>
          <w:tcPr>
            <w:tcW w:w="833" w:type="pct"/>
            <w:tcBorders>
              <w:left w:val="single" w:sz="4" w:space="0" w:color="156082" w:themeColor="accent1"/>
              <w:right w:val="single" w:sz="4" w:space="0" w:color="156082" w:themeColor="accent1"/>
            </w:tcBorders>
            <w:shd w:val="clear" w:color="auto" w:fill="FFFFFF"/>
          </w:tcPr>
          <w:p w14:paraId="31DD0720" w14:textId="77777777" w:rsidR="00F61D64" w:rsidRPr="00FC5053" w:rsidRDefault="00F61D64" w:rsidP="00F22E60">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100</w:t>
            </w:r>
          </w:p>
        </w:tc>
      </w:tr>
      <w:tr w:rsidR="00F61D64" w:rsidRPr="00C12A6C" w14:paraId="1FDB7B3E"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1A87B041" w14:textId="77777777" w:rsidR="00F61D64" w:rsidRPr="00FC5053" w:rsidRDefault="00F61D64" w:rsidP="00F22E60">
            <w:pPr>
              <w:spacing w:before="0" w:after="0" w:line="280" w:lineRule="atLeast"/>
              <w:ind w:left="142"/>
              <w:rPr>
                <w:rFonts w:ascii="Gotham Book" w:eastAsia="Arial" w:hAnsi="Gotham Book" w:cs="Arial"/>
                <w:b w:val="0"/>
                <w:bCs w:val="0"/>
                <w:color w:val="000000" w:themeColor="text1"/>
                <w:sz w:val="20"/>
                <w:szCs w:val="20"/>
              </w:rPr>
            </w:pPr>
            <w:r w:rsidRPr="00FC5053">
              <w:rPr>
                <w:rFonts w:ascii="Gotham Book" w:eastAsia="Times New Roman" w:hAnsi="Gotham Book" w:cs="Arial"/>
                <w:b w:val="0"/>
                <w:bCs w:val="0"/>
                <w:color w:val="000000" w:themeColor="text1"/>
                <w:sz w:val="20"/>
                <w:szCs w:val="20"/>
              </w:rPr>
              <w:t>50 to under 65 years</w:t>
            </w:r>
          </w:p>
        </w:tc>
        <w:tc>
          <w:tcPr>
            <w:tcW w:w="834" w:type="pct"/>
            <w:tcBorders>
              <w:left w:val="single" w:sz="4" w:space="0" w:color="156082" w:themeColor="accent1"/>
              <w:right w:val="single" w:sz="4" w:space="0" w:color="156082" w:themeColor="accent1"/>
            </w:tcBorders>
            <w:shd w:val="clear" w:color="auto" w:fill="FFFFFF"/>
          </w:tcPr>
          <w:p w14:paraId="628162BC"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2000</w:t>
            </w:r>
          </w:p>
        </w:tc>
        <w:tc>
          <w:tcPr>
            <w:tcW w:w="807" w:type="pct"/>
            <w:tcBorders>
              <w:left w:val="single" w:sz="4" w:space="0" w:color="156082" w:themeColor="accent1"/>
              <w:right w:val="single" w:sz="4" w:space="0" w:color="156082" w:themeColor="accent1"/>
            </w:tcBorders>
            <w:shd w:val="clear" w:color="auto" w:fill="FFFFFF"/>
          </w:tcPr>
          <w:p w14:paraId="18B5BE2F"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86</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0F4DDC88" w14:textId="77777777" w:rsidR="00F61D64" w:rsidRPr="00FC5053" w:rsidRDefault="00F61D64" w:rsidP="00F22E60">
            <w:pPr>
              <w:spacing w:before="0" w:after="0" w:line="280" w:lineRule="atLeast"/>
              <w:ind w:left="136"/>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szCs w:val="20"/>
              </w:rPr>
            </w:pPr>
            <w:r w:rsidRPr="00FC5053">
              <w:rPr>
                <w:rFonts w:ascii="Gotham Book" w:eastAsia="Times New Roman" w:hAnsi="Gotham Book" w:cs="Arial"/>
                <w:sz w:val="20"/>
                <w:szCs w:val="20"/>
              </w:rPr>
              <w:t>50 to under 65 years</w:t>
            </w:r>
          </w:p>
        </w:tc>
        <w:tc>
          <w:tcPr>
            <w:tcW w:w="833" w:type="pct"/>
            <w:tcBorders>
              <w:left w:val="single" w:sz="4" w:space="0" w:color="156082" w:themeColor="accent1"/>
              <w:right w:val="single" w:sz="4" w:space="0" w:color="156082" w:themeColor="accent1"/>
            </w:tcBorders>
            <w:shd w:val="clear" w:color="auto" w:fill="auto"/>
          </w:tcPr>
          <w:p w14:paraId="3911FD83"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2,300</w:t>
            </w:r>
          </w:p>
        </w:tc>
        <w:tc>
          <w:tcPr>
            <w:tcW w:w="833" w:type="pct"/>
            <w:tcBorders>
              <w:left w:val="single" w:sz="4" w:space="0" w:color="156082" w:themeColor="accent1"/>
              <w:right w:val="single" w:sz="4" w:space="0" w:color="156082" w:themeColor="accent1"/>
            </w:tcBorders>
            <w:shd w:val="clear" w:color="auto" w:fill="FFFFFF"/>
          </w:tcPr>
          <w:p w14:paraId="02375599"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100</w:t>
            </w:r>
          </w:p>
        </w:tc>
      </w:tr>
      <w:tr w:rsidR="00F61D64" w:rsidRPr="00C12A6C" w14:paraId="46A43DFC"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4213B6E4" w14:textId="77777777" w:rsidR="00F61D64" w:rsidRPr="00FC5053" w:rsidRDefault="00F61D64" w:rsidP="00F22E60">
            <w:pPr>
              <w:spacing w:before="0" w:after="0" w:line="280" w:lineRule="atLeast"/>
              <w:ind w:left="142"/>
              <w:rPr>
                <w:rFonts w:ascii="Gotham Book" w:eastAsia="Times New Roman" w:hAnsi="Gotham Book" w:cs="Arial"/>
                <w:b w:val="0"/>
                <w:bCs w:val="0"/>
                <w:color w:val="000000" w:themeColor="text1"/>
                <w:sz w:val="20"/>
                <w:szCs w:val="20"/>
              </w:rPr>
            </w:pPr>
            <w:r w:rsidRPr="00FC5053">
              <w:rPr>
                <w:rFonts w:ascii="Gotham Book" w:eastAsia="Times New Roman" w:hAnsi="Gotham Book" w:cs="Arial"/>
                <w:b w:val="0"/>
                <w:bCs w:val="0"/>
                <w:color w:val="000000" w:themeColor="text1"/>
                <w:sz w:val="20"/>
                <w:szCs w:val="20"/>
              </w:rPr>
              <w:t>65 to under 75 years</w:t>
            </w:r>
          </w:p>
        </w:tc>
        <w:tc>
          <w:tcPr>
            <w:tcW w:w="834" w:type="pct"/>
            <w:tcBorders>
              <w:left w:val="single" w:sz="4" w:space="0" w:color="156082" w:themeColor="accent1"/>
              <w:right w:val="single" w:sz="4" w:space="0" w:color="156082" w:themeColor="accent1"/>
            </w:tcBorders>
            <w:shd w:val="clear" w:color="auto" w:fill="FFFFFF"/>
          </w:tcPr>
          <w:p w14:paraId="095C309C" w14:textId="77777777" w:rsidR="00F61D64" w:rsidRPr="00FC5053" w:rsidRDefault="00F61D64" w:rsidP="00F22E60">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2000</w:t>
            </w:r>
          </w:p>
        </w:tc>
        <w:tc>
          <w:tcPr>
            <w:tcW w:w="807" w:type="pct"/>
            <w:tcBorders>
              <w:left w:val="single" w:sz="4" w:space="0" w:color="156082" w:themeColor="accent1"/>
              <w:right w:val="single" w:sz="4" w:space="0" w:color="156082" w:themeColor="accent1"/>
            </w:tcBorders>
            <w:shd w:val="clear" w:color="auto" w:fill="FFFFFF"/>
          </w:tcPr>
          <w:p w14:paraId="30C173BD" w14:textId="77777777" w:rsidR="00F61D64" w:rsidRPr="00FC5053" w:rsidRDefault="00F61D64" w:rsidP="00F22E60">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86</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881F3CD" w14:textId="77777777" w:rsidR="00F61D64" w:rsidRPr="00FC5053" w:rsidRDefault="00F61D64" w:rsidP="00F22E60">
            <w:pPr>
              <w:spacing w:before="0" w:after="0"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szCs w:val="20"/>
              </w:rPr>
            </w:pPr>
            <w:r w:rsidRPr="00FC5053">
              <w:rPr>
                <w:rFonts w:ascii="Gotham Book" w:eastAsia="Times New Roman" w:hAnsi="Gotham Book" w:cs="Arial"/>
                <w:sz w:val="20"/>
                <w:szCs w:val="20"/>
              </w:rPr>
              <w:t>65 to under 75 years</w:t>
            </w:r>
          </w:p>
        </w:tc>
        <w:tc>
          <w:tcPr>
            <w:tcW w:w="833" w:type="pct"/>
            <w:tcBorders>
              <w:left w:val="single" w:sz="4" w:space="0" w:color="156082" w:themeColor="accent1"/>
              <w:right w:val="single" w:sz="4" w:space="0" w:color="156082" w:themeColor="accent1"/>
            </w:tcBorders>
            <w:shd w:val="clear" w:color="auto" w:fill="auto"/>
          </w:tcPr>
          <w:p w14:paraId="7C72C6A7" w14:textId="77777777" w:rsidR="00F61D64" w:rsidRPr="00FC5053" w:rsidRDefault="00F61D64" w:rsidP="00F22E60">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2,300</w:t>
            </w:r>
          </w:p>
        </w:tc>
        <w:tc>
          <w:tcPr>
            <w:tcW w:w="833" w:type="pct"/>
            <w:tcBorders>
              <w:left w:val="single" w:sz="4" w:space="0" w:color="156082" w:themeColor="accent1"/>
              <w:right w:val="single" w:sz="4" w:space="0" w:color="156082" w:themeColor="accent1"/>
            </w:tcBorders>
            <w:shd w:val="clear" w:color="auto" w:fill="FFFFFF"/>
          </w:tcPr>
          <w:p w14:paraId="5A3BE3EF" w14:textId="77777777" w:rsidR="00F61D64" w:rsidRPr="00FC5053" w:rsidRDefault="00F61D64" w:rsidP="00F22E60">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100</w:t>
            </w:r>
          </w:p>
        </w:tc>
      </w:tr>
      <w:tr w:rsidR="00F61D64" w:rsidRPr="00C12A6C" w14:paraId="2FEFBB49"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25EAD78C" w14:textId="77777777" w:rsidR="00F61D64" w:rsidRPr="00FC5053" w:rsidRDefault="00F61D64" w:rsidP="00F22E60">
            <w:pPr>
              <w:spacing w:before="0" w:after="0" w:line="280" w:lineRule="atLeast"/>
              <w:ind w:left="142"/>
              <w:rPr>
                <w:rFonts w:ascii="Gotham Book" w:eastAsia="Arial" w:hAnsi="Gotham Book" w:cs="Arial"/>
                <w:b w:val="0"/>
                <w:bCs w:val="0"/>
                <w:color w:val="000000" w:themeColor="text1"/>
                <w:sz w:val="20"/>
                <w:szCs w:val="20"/>
              </w:rPr>
            </w:pPr>
            <w:r w:rsidRPr="00FC5053">
              <w:rPr>
                <w:rFonts w:ascii="Gotham Book" w:eastAsia="Times New Roman" w:hAnsi="Gotham Book" w:cs="Arial"/>
                <w:b w:val="0"/>
                <w:bCs w:val="0"/>
                <w:color w:val="000000" w:themeColor="text1"/>
                <w:sz w:val="20"/>
                <w:szCs w:val="20"/>
              </w:rPr>
              <w:t>75 years and older</w:t>
            </w:r>
          </w:p>
        </w:tc>
        <w:tc>
          <w:tcPr>
            <w:tcW w:w="834" w:type="pct"/>
            <w:tcBorders>
              <w:left w:val="single" w:sz="4" w:space="0" w:color="156082" w:themeColor="accent1"/>
              <w:bottom w:val="single" w:sz="4" w:space="0" w:color="156082" w:themeColor="accent1"/>
              <w:right w:val="single" w:sz="4" w:space="0" w:color="156082" w:themeColor="accent1"/>
            </w:tcBorders>
            <w:shd w:val="clear" w:color="auto" w:fill="FFFFFF"/>
          </w:tcPr>
          <w:p w14:paraId="3D5BD806"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2000</w:t>
            </w:r>
          </w:p>
        </w:tc>
        <w:tc>
          <w:tcPr>
            <w:tcW w:w="807" w:type="pct"/>
            <w:tcBorders>
              <w:left w:val="single" w:sz="4" w:space="0" w:color="156082" w:themeColor="accent1"/>
              <w:bottom w:val="single" w:sz="4" w:space="0" w:color="156082" w:themeColor="accent1"/>
              <w:right w:val="single" w:sz="4" w:space="0" w:color="156082" w:themeColor="accent1"/>
            </w:tcBorders>
            <w:shd w:val="clear" w:color="auto" w:fill="FFFFFF"/>
          </w:tcPr>
          <w:p w14:paraId="077B2092"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86</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199D31F8" w14:textId="77777777" w:rsidR="00F61D64" w:rsidRPr="00FC5053" w:rsidRDefault="00F61D64" w:rsidP="00F22E60">
            <w:pPr>
              <w:spacing w:before="0" w:after="0" w:line="280" w:lineRule="atLeast"/>
              <w:ind w:left="136"/>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szCs w:val="20"/>
              </w:rPr>
            </w:pPr>
            <w:r w:rsidRPr="00FC5053">
              <w:rPr>
                <w:rFonts w:ascii="Gotham Book" w:eastAsia="Times New Roman" w:hAnsi="Gotham Book" w:cs="Arial"/>
                <w:sz w:val="20"/>
                <w:szCs w:val="20"/>
              </w:rPr>
              <w:t>75 years and older</w:t>
            </w:r>
          </w:p>
        </w:tc>
        <w:tc>
          <w:tcPr>
            <w:tcW w:w="833" w:type="pct"/>
            <w:tcBorders>
              <w:left w:val="single" w:sz="4" w:space="0" w:color="156082" w:themeColor="accent1"/>
              <w:bottom w:val="single" w:sz="4" w:space="0" w:color="156082" w:themeColor="accent1"/>
              <w:right w:val="single" w:sz="4" w:space="0" w:color="156082" w:themeColor="accent1"/>
            </w:tcBorders>
            <w:shd w:val="clear" w:color="auto" w:fill="FFFFFF"/>
          </w:tcPr>
          <w:p w14:paraId="3E92C206"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2,300</w:t>
            </w:r>
          </w:p>
        </w:tc>
        <w:tc>
          <w:tcPr>
            <w:tcW w:w="833" w:type="pct"/>
            <w:tcBorders>
              <w:left w:val="single" w:sz="4" w:space="0" w:color="156082" w:themeColor="accent1"/>
              <w:bottom w:val="single" w:sz="4" w:space="0" w:color="156082" w:themeColor="accent1"/>
              <w:right w:val="single" w:sz="4" w:space="0" w:color="156082" w:themeColor="accent1"/>
            </w:tcBorders>
            <w:shd w:val="clear" w:color="auto" w:fill="FFFFFF"/>
          </w:tcPr>
          <w:p w14:paraId="1F2A2C3C"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100</w:t>
            </w:r>
          </w:p>
        </w:tc>
      </w:tr>
      <w:tr w:rsidR="00F61D64" w:rsidRPr="00C12A6C" w14:paraId="6C854EC4"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1AF0AFEC" w14:textId="77777777" w:rsidR="00F61D64" w:rsidRPr="00FC5053" w:rsidRDefault="00F61D64" w:rsidP="00F22E60">
            <w:pPr>
              <w:spacing w:before="0" w:after="0" w:line="280" w:lineRule="atLeast"/>
              <w:ind w:left="142"/>
              <w:rPr>
                <w:rFonts w:ascii="Gotham Book" w:eastAsia="Times New Roman" w:hAnsi="Gotham Book" w:cs="Arial"/>
                <w:color w:val="000000" w:themeColor="text1"/>
                <w:sz w:val="20"/>
                <w:szCs w:val="20"/>
              </w:rPr>
            </w:pPr>
            <w:r w:rsidRPr="00FC5053">
              <w:rPr>
                <w:rFonts w:ascii="Gotham Book" w:eastAsia="Times New Roman" w:hAnsi="Gotham Book" w:cs="Arial"/>
                <w:color w:val="000000" w:themeColor="text1"/>
                <w:sz w:val="20"/>
                <w:szCs w:val="20"/>
              </w:rPr>
              <w:t>Females</w:t>
            </w:r>
          </w:p>
        </w:tc>
        <w:tc>
          <w:tcPr>
            <w:tcW w:w="83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E99A064" w14:textId="77777777" w:rsidR="00F61D64" w:rsidRPr="00FC5053" w:rsidRDefault="00F61D64" w:rsidP="00F22E60">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szCs w:val="20"/>
              </w:rPr>
            </w:pPr>
            <w:r>
              <w:rPr>
                <w:rFonts w:ascii="Gotham Book" w:eastAsia="Arial" w:hAnsi="Gotham Book" w:cs="Arial"/>
                <w:b/>
                <w:sz w:val="20"/>
                <w:szCs w:val="20"/>
              </w:rPr>
              <w:t>CDRR</w:t>
            </w:r>
            <w:r w:rsidRPr="00FC5053">
              <w:rPr>
                <w:rFonts w:ascii="Gotham Book" w:eastAsia="Arial" w:hAnsi="Gotham Book" w:cs="Arial"/>
                <w:b/>
                <w:sz w:val="20"/>
                <w:szCs w:val="20"/>
              </w:rPr>
              <w:t xml:space="preserve"> (mg/day)</w:t>
            </w:r>
          </w:p>
        </w:tc>
        <w:tc>
          <w:tcPr>
            <w:tcW w:w="807"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06AAE3E3" w14:textId="77777777" w:rsidR="00F61D64" w:rsidRPr="00FC5053" w:rsidRDefault="00F61D64" w:rsidP="00F22E60">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szCs w:val="20"/>
              </w:rPr>
            </w:pPr>
            <w:r>
              <w:rPr>
                <w:rFonts w:ascii="Gotham Book" w:eastAsia="Arial" w:hAnsi="Gotham Book" w:cs="Arial"/>
                <w:b/>
                <w:sz w:val="20"/>
                <w:szCs w:val="20"/>
              </w:rPr>
              <w:t>CDRR</w:t>
            </w:r>
            <w:r w:rsidRPr="00FC5053">
              <w:rPr>
                <w:rFonts w:ascii="Gotham Book" w:eastAsia="Arial" w:hAnsi="Gotham Book" w:cs="Arial"/>
                <w:b/>
                <w:sz w:val="20"/>
                <w:szCs w:val="20"/>
              </w:rPr>
              <w:t xml:space="preserve"> (mmol/day)</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4F540D9" w14:textId="77777777" w:rsidR="00F61D64" w:rsidRPr="00FC5053" w:rsidRDefault="00F61D64" w:rsidP="00F22E60">
            <w:pPr>
              <w:spacing w:before="0" w:after="0"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Times New Roman" w:hAnsi="Gotham Book" w:cs="Arial"/>
                <w:b/>
                <w:sz w:val="20"/>
                <w:szCs w:val="20"/>
              </w:rPr>
            </w:pPr>
            <w:r w:rsidRPr="00FC5053">
              <w:rPr>
                <w:rFonts w:ascii="Gotham Book" w:eastAsia="Times New Roman" w:hAnsi="Gotham Book" w:cs="Arial"/>
                <w:b/>
                <w:sz w:val="20"/>
                <w:szCs w:val="20"/>
              </w:rPr>
              <w:t>Females</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2FC5A651" w14:textId="77777777" w:rsidR="00F61D64" w:rsidRPr="00FC5053" w:rsidRDefault="00F61D64" w:rsidP="00F22E60">
            <w:pPr>
              <w:spacing w:before="0" w:after="0"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b/>
                <w:sz w:val="20"/>
                <w:szCs w:val="20"/>
              </w:rPr>
            </w:pPr>
            <w:r>
              <w:rPr>
                <w:rFonts w:ascii="Gotham Book" w:eastAsia="Arial" w:hAnsi="Gotham Book" w:cs="Arial"/>
                <w:b/>
                <w:sz w:val="20"/>
                <w:szCs w:val="20"/>
              </w:rPr>
              <w:t>CDRR</w:t>
            </w:r>
            <w:r w:rsidRPr="00FC5053">
              <w:rPr>
                <w:rFonts w:ascii="Gotham Book" w:eastAsia="Arial" w:hAnsi="Gotham Book" w:cs="Arial"/>
                <w:b/>
                <w:sz w:val="20"/>
                <w:szCs w:val="20"/>
              </w:rPr>
              <w:t xml:space="preserve"> (mg/day)</w:t>
            </w:r>
          </w:p>
        </w:tc>
        <w:tc>
          <w:tcPr>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4C8A30F7" w14:textId="77777777" w:rsidR="00F61D64" w:rsidRPr="00FC5053" w:rsidRDefault="00F61D64" w:rsidP="00F22E60">
            <w:pPr>
              <w:spacing w:before="0" w:after="0"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szCs w:val="20"/>
              </w:rPr>
            </w:pPr>
            <w:r>
              <w:rPr>
                <w:rFonts w:ascii="Gotham Book" w:eastAsia="Arial" w:hAnsi="Gotham Book" w:cs="Arial"/>
                <w:b/>
                <w:sz w:val="20"/>
                <w:szCs w:val="20"/>
              </w:rPr>
              <w:t>CDRR</w:t>
            </w:r>
            <w:r w:rsidRPr="00FC5053">
              <w:rPr>
                <w:rFonts w:ascii="Gotham Book" w:eastAsia="Arial" w:hAnsi="Gotham Book" w:cs="Arial"/>
                <w:b/>
                <w:sz w:val="20"/>
                <w:szCs w:val="20"/>
              </w:rPr>
              <w:t xml:space="preserve"> (mg/day)</w:t>
            </w:r>
          </w:p>
        </w:tc>
      </w:tr>
      <w:tr w:rsidR="00F61D64" w:rsidRPr="00C12A6C" w14:paraId="5096ECF7"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512BA9A4" w14:textId="77777777" w:rsidR="00F61D64" w:rsidRPr="00FC5053" w:rsidRDefault="00F61D64" w:rsidP="00F22E60">
            <w:pPr>
              <w:spacing w:before="0" w:after="0" w:line="280" w:lineRule="atLeast"/>
              <w:ind w:left="142"/>
              <w:rPr>
                <w:rFonts w:ascii="Gotham Book" w:eastAsia="Times New Roman" w:hAnsi="Gotham Book" w:cs="Arial"/>
                <w:b w:val="0"/>
                <w:bCs w:val="0"/>
                <w:color w:val="000000" w:themeColor="text1"/>
                <w:sz w:val="20"/>
                <w:szCs w:val="20"/>
              </w:rPr>
            </w:pPr>
            <w:r w:rsidRPr="00FC5053">
              <w:rPr>
                <w:rFonts w:ascii="Gotham Book" w:eastAsia="Times New Roman" w:hAnsi="Gotham Book" w:cs="Arial"/>
                <w:b w:val="0"/>
                <w:bCs w:val="0"/>
                <w:color w:val="000000" w:themeColor="text1"/>
                <w:sz w:val="20"/>
                <w:szCs w:val="20"/>
              </w:rPr>
              <w:t>18 to under 30 years</w:t>
            </w:r>
          </w:p>
        </w:tc>
        <w:tc>
          <w:tcPr>
            <w:tcW w:w="834" w:type="pct"/>
            <w:tcBorders>
              <w:top w:val="single" w:sz="4" w:space="0" w:color="156082" w:themeColor="accent1"/>
              <w:left w:val="single" w:sz="4" w:space="0" w:color="156082" w:themeColor="accent1"/>
              <w:right w:val="single" w:sz="4" w:space="0" w:color="156082" w:themeColor="accent1"/>
            </w:tcBorders>
            <w:shd w:val="clear" w:color="auto" w:fill="FFFFFF"/>
            <w:vAlign w:val="center"/>
          </w:tcPr>
          <w:p w14:paraId="1317DCE9"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2000</w:t>
            </w:r>
          </w:p>
        </w:tc>
        <w:tc>
          <w:tcPr>
            <w:tcW w:w="807" w:type="pct"/>
            <w:tcBorders>
              <w:top w:val="single" w:sz="4" w:space="0" w:color="156082" w:themeColor="accent1"/>
              <w:left w:val="single" w:sz="4" w:space="0" w:color="156082" w:themeColor="accent1"/>
              <w:right w:val="single" w:sz="4" w:space="0" w:color="156082" w:themeColor="accent1"/>
            </w:tcBorders>
            <w:shd w:val="clear" w:color="auto" w:fill="FFFFFF"/>
            <w:vAlign w:val="center"/>
          </w:tcPr>
          <w:p w14:paraId="15829271"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86</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4D38AA94" w14:textId="77777777" w:rsidR="00F61D64" w:rsidRPr="00FC5053" w:rsidRDefault="00F61D64" w:rsidP="00F22E60">
            <w:pPr>
              <w:spacing w:before="0" w:after="0" w:line="280" w:lineRule="atLeast"/>
              <w:ind w:left="136"/>
              <w:cnfStyle w:val="000000010000" w:firstRow="0" w:lastRow="0" w:firstColumn="0" w:lastColumn="0" w:oddVBand="0" w:evenVBand="0" w:oddHBand="0" w:evenHBand="1" w:firstRowFirstColumn="0" w:firstRowLastColumn="0" w:lastRowFirstColumn="0" w:lastRowLastColumn="0"/>
              <w:rPr>
                <w:rFonts w:ascii="Gotham Book" w:eastAsia="Times New Roman" w:hAnsi="Gotham Book" w:cs="Arial"/>
                <w:sz w:val="20"/>
                <w:szCs w:val="20"/>
              </w:rPr>
            </w:pPr>
            <w:r w:rsidRPr="00FC5053">
              <w:rPr>
                <w:rFonts w:ascii="Gotham Book" w:eastAsia="Times New Roman" w:hAnsi="Gotham Book" w:cs="Arial"/>
                <w:sz w:val="20"/>
                <w:szCs w:val="20"/>
              </w:rPr>
              <w:t>18 to under 30 years</w:t>
            </w:r>
          </w:p>
        </w:tc>
        <w:tc>
          <w:tcPr>
            <w:tcW w:w="833" w:type="pct"/>
            <w:tcBorders>
              <w:top w:val="single" w:sz="4" w:space="0" w:color="156082" w:themeColor="accent1"/>
              <w:left w:val="single" w:sz="4" w:space="0" w:color="156082" w:themeColor="accent1"/>
              <w:right w:val="single" w:sz="4" w:space="0" w:color="156082" w:themeColor="accent1"/>
            </w:tcBorders>
            <w:shd w:val="clear" w:color="auto" w:fill="FFFFFF"/>
          </w:tcPr>
          <w:p w14:paraId="11F4CC15" w14:textId="77777777" w:rsidR="00F61D64" w:rsidRPr="00FC5053" w:rsidRDefault="00F61D64" w:rsidP="00F22E60">
            <w:pPr>
              <w:spacing w:before="0" w:after="0"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iCs/>
                <w:sz w:val="20"/>
                <w:szCs w:val="20"/>
              </w:rPr>
            </w:pPr>
            <w:r w:rsidRPr="00FC5053">
              <w:rPr>
                <w:rFonts w:ascii="Gotham Book" w:eastAsia="Arial" w:hAnsi="Gotham Book" w:cs="Arial"/>
                <w:i/>
                <w:sz w:val="20"/>
                <w:szCs w:val="20"/>
              </w:rPr>
              <w:t>2,300</w:t>
            </w:r>
          </w:p>
        </w:tc>
        <w:tc>
          <w:tcPr>
            <w:tcW w:w="833" w:type="pct"/>
            <w:tcBorders>
              <w:top w:val="single" w:sz="4" w:space="0" w:color="156082" w:themeColor="accent1"/>
              <w:left w:val="single" w:sz="4" w:space="0" w:color="156082" w:themeColor="accent1"/>
              <w:right w:val="single" w:sz="4" w:space="0" w:color="156082" w:themeColor="accent1"/>
            </w:tcBorders>
            <w:shd w:val="clear" w:color="auto" w:fill="FFFFFF"/>
          </w:tcPr>
          <w:p w14:paraId="7745ECB6" w14:textId="77777777" w:rsidR="00F61D64" w:rsidRPr="00FC5053" w:rsidRDefault="00F61D64" w:rsidP="00F22E60">
            <w:pPr>
              <w:spacing w:before="0" w:after="0"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szCs w:val="20"/>
              </w:rPr>
            </w:pPr>
            <w:r w:rsidRPr="00FC5053">
              <w:rPr>
                <w:rFonts w:ascii="Gotham Book" w:eastAsia="Arial" w:hAnsi="Gotham Book" w:cs="Arial"/>
                <w:i/>
                <w:sz w:val="20"/>
                <w:szCs w:val="20"/>
              </w:rPr>
              <w:t>100</w:t>
            </w:r>
          </w:p>
        </w:tc>
      </w:tr>
      <w:tr w:rsidR="00F61D64" w:rsidRPr="00C12A6C" w14:paraId="40C3893A"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490D9A78" w14:textId="77777777" w:rsidR="00F61D64" w:rsidRPr="00FC5053" w:rsidRDefault="00F61D64" w:rsidP="00F22E60">
            <w:pPr>
              <w:spacing w:before="0" w:after="0" w:line="280" w:lineRule="atLeast"/>
              <w:ind w:left="142"/>
              <w:rPr>
                <w:rFonts w:ascii="Gotham Book" w:eastAsia="Times New Roman" w:hAnsi="Gotham Book" w:cs="Arial"/>
                <w:b w:val="0"/>
                <w:bCs w:val="0"/>
                <w:color w:val="000000" w:themeColor="text1"/>
                <w:sz w:val="20"/>
                <w:szCs w:val="20"/>
              </w:rPr>
            </w:pPr>
            <w:r w:rsidRPr="00FC5053">
              <w:rPr>
                <w:rFonts w:ascii="Gotham Book" w:eastAsia="Times New Roman" w:hAnsi="Gotham Book" w:cs="Arial"/>
                <w:b w:val="0"/>
                <w:bCs w:val="0"/>
                <w:color w:val="000000" w:themeColor="text1"/>
                <w:sz w:val="20"/>
                <w:szCs w:val="20"/>
              </w:rPr>
              <w:t>30 to under 50 years</w:t>
            </w:r>
          </w:p>
        </w:tc>
        <w:tc>
          <w:tcPr>
            <w:tcW w:w="834" w:type="pct"/>
            <w:tcBorders>
              <w:left w:val="single" w:sz="4" w:space="0" w:color="156082" w:themeColor="accent1"/>
              <w:right w:val="single" w:sz="4" w:space="0" w:color="156082" w:themeColor="accent1"/>
            </w:tcBorders>
            <w:shd w:val="clear" w:color="auto" w:fill="FFFFFF"/>
            <w:vAlign w:val="center"/>
          </w:tcPr>
          <w:p w14:paraId="29EBC629" w14:textId="77777777" w:rsidR="00F61D64" w:rsidRPr="00FC5053" w:rsidRDefault="00F61D64" w:rsidP="00F22E60">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2000</w:t>
            </w:r>
          </w:p>
        </w:tc>
        <w:tc>
          <w:tcPr>
            <w:tcW w:w="807" w:type="pct"/>
            <w:tcBorders>
              <w:left w:val="single" w:sz="4" w:space="0" w:color="156082" w:themeColor="accent1"/>
              <w:right w:val="single" w:sz="4" w:space="0" w:color="156082" w:themeColor="accent1"/>
            </w:tcBorders>
            <w:shd w:val="clear" w:color="auto" w:fill="FFFFFF"/>
            <w:vAlign w:val="center"/>
          </w:tcPr>
          <w:p w14:paraId="551DE132" w14:textId="77777777" w:rsidR="00F61D64" w:rsidRPr="00FC5053" w:rsidRDefault="00F61D64" w:rsidP="00F22E60">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86</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6550DE2" w14:textId="77777777" w:rsidR="00F61D64" w:rsidRPr="00FC5053" w:rsidRDefault="00F61D64" w:rsidP="00F22E60">
            <w:pPr>
              <w:spacing w:before="0" w:after="0"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Times New Roman" w:hAnsi="Gotham Book" w:cs="Arial"/>
                <w:sz w:val="20"/>
                <w:szCs w:val="20"/>
              </w:rPr>
            </w:pPr>
            <w:r w:rsidRPr="00FC5053">
              <w:rPr>
                <w:rFonts w:ascii="Gotham Book" w:eastAsia="Times New Roman" w:hAnsi="Gotham Book" w:cs="Arial"/>
                <w:sz w:val="20"/>
                <w:szCs w:val="20"/>
              </w:rPr>
              <w:t>30 to under 50 years</w:t>
            </w:r>
          </w:p>
        </w:tc>
        <w:tc>
          <w:tcPr>
            <w:tcW w:w="833" w:type="pct"/>
            <w:tcBorders>
              <w:left w:val="single" w:sz="4" w:space="0" w:color="156082" w:themeColor="accent1"/>
              <w:right w:val="single" w:sz="4" w:space="0" w:color="156082" w:themeColor="accent1"/>
            </w:tcBorders>
            <w:shd w:val="clear" w:color="auto" w:fill="auto"/>
          </w:tcPr>
          <w:p w14:paraId="38028552" w14:textId="77777777" w:rsidR="00F61D64" w:rsidRPr="00FC5053" w:rsidRDefault="00F61D64" w:rsidP="00F22E60">
            <w:pPr>
              <w:spacing w:before="0" w:after="0"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iCs/>
                <w:sz w:val="20"/>
                <w:szCs w:val="20"/>
              </w:rPr>
            </w:pPr>
            <w:r w:rsidRPr="00FC5053">
              <w:rPr>
                <w:rFonts w:ascii="Gotham Book" w:eastAsia="Arial" w:hAnsi="Gotham Book" w:cs="Arial"/>
                <w:i/>
                <w:sz w:val="20"/>
                <w:szCs w:val="20"/>
              </w:rPr>
              <w:t>2,300</w:t>
            </w:r>
          </w:p>
        </w:tc>
        <w:tc>
          <w:tcPr>
            <w:tcW w:w="833" w:type="pct"/>
            <w:tcBorders>
              <w:left w:val="single" w:sz="4" w:space="0" w:color="156082" w:themeColor="accent1"/>
              <w:right w:val="single" w:sz="4" w:space="0" w:color="156082" w:themeColor="accent1"/>
            </w:tcBorders>
            <w:shd w:val="clear" w:color="auto" w:fill="FFFFFF"/>
          </w:tcPr>
          <w:p w14:paraId="53C17C1F" w14:textId="77777777" w:rsidR="00F61D64" w:rsidRPr="00FC5053" w:rsidRDefault="00F61D64" w:rsidP="00F22E60">
            <w:pPr>
              <w:spacing w:before="0" w:after="0"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szCs w:val="20"/>
              </w:rPr>
            </w:pPr>
            <w:r w:rsidRPr="00FC5053">
              <w:rPr>
                <w:rFonts w:ascii="Gotham Book" w:eastAsia="Arial" w:hAnsi="Gotham Book" w:cs="Arial"/>
                <w:i/>
                <w:sz w:val="20"/>
                <w:szCs w:val="20"/>
              </w:rPr>
              <w:t>100</w:t>
            </w:r>
          </w:p>
        </w:tc>
      </w:tr>
      <w:tr w:rsidR="00F61D64" w:rsidRPr="00C12A6C" w14:paraId="645FB976"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2874595A" w14:textId="77777777" w:rsidR="00F61D64" w:rsidRPr="00FC5053" w:rsidRDefault="00F61D64" w:rsidP="00F22E60">
            <w:pPr>
              <w:spacing w:before="0" w:after="0" w:line="280" w:lineRule="atLeast"/>
              <w:ind w:left="142"/>
              <w:rPr>
                <w:rFonts w:ascii="Gotham Book" w:eastAsia="Times New Roman" w:hAnsi="Gotham Book" w:cs="Arial"/>
                <w:b w:val="0"/>
                <w:bCs w:val="0"/>
                <w:color w:val="000000" w:themeColor="text1"/>
                <w:sz w:val="20"/>
                <w:szCs w:val="20"/>
              </w:rPr>
            </w:pPr>
            <w:r w:rsidRPr="00FC5053">
              <w:rPr>
                <w:rFonts w:ascii="Gotham Book" w:eastAsia="Times New Roman" w:hAnsi="Gotham Book" w:cs="Arial"/>
                <w:b w:val="0"/>
                <w:bCs w:val="0"/>
                <w:color w:val="000000" w:themeColor="text1"/>
                <w:sz w:val="20"/>
                <w:szCs w:val="20"/>
              </w:rPr>
              <w:t>50 to under 65 years</w:t>
            </w:r>
          </w:p>
        </w:tc>
        <w:tc>
          <w:tcPr>
            <w:tcW w:w="834" w:type="pct"/>
            <w:tcBorders>
              <w:left w:val="single" w:sz="4" w:space="0" w:color="156082" w:themeColor="accent1"/>
              <w:right w:val="single" w:sz="4" w:space="0" w:color="156082" w:themeColor="accent1"/>
            </w:tcBorders>
            <w:shd w:val="clear" w:color="auto" w:fill="FFFFFF"/>
            <w:vAlign w:val="center"/>
          </w:tcPr>
          <w:p w14:paraId="12949F06"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2000</w:t>
            </w:r>
          </w:p>
        </w:tc>
        <w:tc>
          <w:tcPr>
            <w:tcW w:w="807" w:type="pct"/>
            <w:tcBorders>
              <w:left w:val="single" w:sz="4" w:space="0" w:color="156082" w:themeColor="accent1"/>
              <w:right w:val="single" w:sz="4" w:space="0" w:color="156082" w:themeColor="accent1"/>
            </w:tcBorders>
            <w:shd w:val="clear" w:color="auto" w:fill="FFFFFF"/>
            <w:vAlign w:val="center"/>
          </w:tcPr>
          <w:p w14:paraId="6AA56E09"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86</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677B4CB3" w14:textId="77777777" w:rsidR="00F61D64" w:rsidRPr="00FC5053" w:rsidRDefault="00F61D64" w:rsidP="00F22E60">
            <w:pPr>
              <w:spacing w:before="0" w:after="0" w:line="280" w:lineRule="atLeast"/>
              <w:ind w:left="136"/>
              <w:cnfStyle w:val="000000010000" w:firstRow="0" w:lastRow="0" w:firstColumn="0" w:lastColumn="0" w:oddVBand="0" w:evenVBand="0" w:oddHBand="0" w:evenHBand="1" w:firstRowFirstColumn="0" w:firstRowLastColumn="0" w:lastRowFirstColumn="0" w:lastRowLastColumn="0"/>
              <w:rPr>
                <w:rFonts w:ascii="Gotham Book" w:eastAsia="Times New Roman" w:hAnsi="Gotham Book" w:cs="Arial"/>
                <w:sz w:val="20"/>
                <w:szCs w:val="20"/>
              </w:rPr>
            </w:pPr>
            <w:r w:rsidRPr="00FC5053">
              <w:rPr>
                <w:rFonts w:ascii="Gotham Book" w:eastAsia="Times New Roman" w:hAnsi="Gotham Book" w:cs="Arial"/>
                <w:sz w:val="20"/>
                <w:szCs w:val="20"/>
              </w:rPr>
              <w:t>50 to under 65 years</w:t>
            </w:r>
          </w:p>
        </w:tc>
        <w:tc>
          <w:tcPr>
            <w:tcW w:w="833" w:type="pct"/>
            <w:tcBorders>
              <w:left w:val="single" w:sz="4" w:space="0" w:color="156082" w:themeColor="accent1"/>
              <w:right w:val="single" w:sz="4" w:space="0" w:color="156082" w:themeColor="accent1"/>
            </w:tcBorders>
            <w:shd w:val="clear" w:color="auto" w:fill="auto"/>
          </w:tcPr>
          <w:p w14:paraId="003A4B6B" w14:textId="77777777" w:rsidR="00F61D64" w:rsidRPr="00FC5053" w:rsidRDefault="00F61D64" w:rsidP="00F22E60">
            <w:pPr>
              <w:spacing w:before="0" w:after="0"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iCs/>
                <w:sz w:val="20"/>
                <w:szCs w:val="20"/>
              </w:rPr>
            </w:pPr>
            <w:r w:rsidRPr="00FC5053">
              <w:rPr>
                <w:rFonts w:ascii="Gotham Book" w:eastAsia="Arial" w:hAnsi="Gotham Book" w:cs="Arial"/>
                <w:i/>
                <w:sz w:val="20"/>
                <w:szCs w:val="20"/>
              </w:rPr>
              <w:t>2,300</w:t>
            </w:r>
          </w:p>
        </w:tc>
        <w:tc>
          <w:tcPr>
            <w:tcW w:w="833" w:type="pct"/>
            <w:tcBorders>
              <w:left w:val="single" w:sz="4" w:space="0" w:color="156082" w:themeColor="accent1"/>
              <w:right w:val="single" w:sz="4" w:space="0" w:color="156082" w:themeColor="accent1"/>
            </w:tcBorders>
            <w:shd w:val="clear" w:color="auto" w:fill="FFFFFF"/>
          </w:tcPr>
          <w:p w14:paraId="576BF9EC" w14:textId="77777777" w:rsidR="00F61D64" w:rsidRPr="00FC5053" w:rsidRDefault="00F61D64" w:rsidP="00F22E60">
            <w:pPr>
              <w:spacing w:before="0" w:after="0"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szCs w:val="20"/>
              </w:rPr>
            </w:pPr>
            <w:r w:rsidRPr="00FC5053">
              <w:rPr>
                <w:rFonts w:ascii="Gotham Book" w:eastAsia="Arial" w:hAnsi="Gotham Book" w:cs="Arial"/>
                <w:i/>
                <w:sz w:val="20"/>
                <w:szCs w:val="20"/>
              </w:rPr>
              <w:t>100</w:t>
            </w:r>
          </w:p>
        </w:tc>
      </w:tr>
      <w:tr w:rsidR="00F61D64" w:rsidRPr="00C12A6C" w14:paraId="4DDB7D26"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475ACD37" w14:textId="77777777" w:rsidR="00F61D64" w:rsidRPr="00FC5053" w:rsidRDefault="00F61D64" w:rsidP="00F22E60">
            <w:pPr>
              <w:spacing w:before="0" w:after="0" w:line="280" w:lineRule="atLeast"/>
              <w:ind w:left="142"/>
              <w:rPr>
                <w:rFonts w:ascii="Gotham Book" w:eastAsia="Times New Roman" w:hAnsi="Gotham Book" w:cs="Arial"/>
                <w:b w:val="0"/>
                <w:bCs w:val="0"/>
                <w:color w:val="000000" w:themeColor="text1"/>
                <w:sz w:val="20"/>
                <w:szCs w:val="20"/>
              </w:rPr>
            </w:pPr>
            <w:r w:rsidRPr="00FC5053">
              <w:rPr>
                <w:rFonts w:ascii="Gotham Book" w:eastAsia="Times New Roman" w:hAnsi="Gotham Book" w:cs="Arial"/>
                <w:b w:val="0"/>
                <w:bCs w:val="0"/>
                <w:color w:val="000000" w:themeColor="text1"/>
                <w:sz w:val="20"/>
                <w:szCs w:val="20"/>
              </w:rPr>
              <w:t>65 to under 75 years</w:t>
            </w:r>
          </w:p>
        </w:tc>
        <w:tc>
          <w:tcPr>
            <w:tcW w:w="834" w:type="pct"/>
            <w:tcBorders>
              <w:left w:val="single" w:sz="4" w:space="0" w:color="156082" w:themeColor="accent1"/>
              <w:right w:val="single" w:sz="4" w:space="0" w:color="156082" w:themeColor="accent1"/>
            </w:tcBorders>
            <w:shd w:val="clear" w:color="auto" w:fill="FFFFFF"/>
            <w:vAlign w:val="center"/>
          </w:tcPr>
          <w:p w14:paraId="017F9FA9" w14:textId="77777777" w:rsidR="00F61D64" w:rsidRPr="00FC5053" w:rsidRDefault="00F61D64" w:rsidP="00F22E60">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2000</w:t>
            </w:r>
          </w:p>
        </w:tc>
        <w:tc>
          <w:tcPr>
            <w:tcW w:w="807" w:type="pct"/>
            <w:tcBorders>
              <w:left w:val="single" w:sz="4" w:space="0" w:color="156082" w:themeColor="accent1"/>
              <w:right w:val="single" w:sz="4" w:space="0" w:color="156082" w:themeColor="accent1"/>
            </w:tcBorders>
            <w:shd w:val="clear" w:color="auto" w:fill="FFFFFF"/>
            <w:vAlign w:val="center"/>
          </w:tcPr>
          <w:p w14:paraId="181CC05B" w14:textId="77777777" w:rsidR="00F61D64" w:rsidRPr="00FC5053" w:rsidRDefault="00F61D64" w:rsidP="00F22E60">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86</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220C321C" w14:textId="77777777" w:rsidR="00F61D64" w:rsidRPr="00FC5053" w:rsidRDefault="00F61D64" w:rsidP="00F22E60">
            <w:pPr>
              <w:spacing w:before="0" w:after="0"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Times New Roman" w:hAnsi="Gotham Book" w:cs="Arial"/>
                <w:sz w:val="20"/>
                <w:szCs w:val="20"/>
              </w:rPr>
            </w:pPr>
            <w:r w:rsidRPr="00FC5053">
              <w:rPr>
                <w:rFonts w:ascii="Gotham Book" w:eastAsia="Times New Roman" w:hAnsi="Gotham Book" w:cs="Arial"/>
                <w:sz w:val="20"/>
                <w:szCs w:val="20"/>
              </w:rPr>
              <w:t>65 to under 75 years</w:t>
            </w:r>
          </w:p>
        </w:tc>
        <w:tc>
          <w:tcPr>
            <w:tcW w:w="833" w:type="pct"/>
            <w:tcBorders>
              <w:left w:val="single" w:sz="4" w:space="0" w:color="156082" w:themeColor="accent1"/>
              <w:right w:val="single" w:sz="4" w:space="0" w:color="156082" w:themeColor="accent1"/>
            </w:tcBorders>
            <w:shd w:val="clear" w:color="auto" w:fill="auto"/>
          </w:tcPr>
          <w:p w14:paraId="48EB335A" w14:textId="77777777" w:rsidR="00F61D64" w:rsidRPr="00FC5053" w:rsidRDefault="00F61D64" w:rsidP="00F22E60">
            <w:pPr>
              <w:spacing w:before="0" w:after="0"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iCs/>
                <w:sz w:val="20"/>
                <w:szCs w:val="20"/>
              </w:rPr>
            </w:pPr>
            <w:r w:rsidRPr="00FC5053">
              <w:rPr>
                <w:rFonts w:ascii="Gotham Book" w:eastAsia="Arial" w:hAnsi="Gotham Book" w:cs="Arial"/>
                <w:i/>
                <w:sz w:val="20"/>
                <w:szCs w:val="20"/>
              </w:rPr>
              <w:t>2,300</w:t>
            </w:r>
          </w:p>
        </w:tc>
        <w:tc>
          <w:tcPr>
            <w:tcW w:w="833" w:type="pct"/>
            <w:tcBorders>
              <w:left w:val="single" w:sz="4" w:space="0" w:color="156082" w:themeColor="accent1"/>
              <w:right w:val="single" w:sz="4" w:space="0" w:color="156082" w:themeColor="accent1"/>
            </w:tcBorders>
            <w:shd w:val="clear" w:color="auto" w:fill="FFFFFF"/>
          </w:tcPr>
          <w:p w14:paraId="021DD75B" w14:textId="77777777" w:rsidR="00F61D64" w:rsidRPr="00FC5053" w:rsidRDefault="00F61D64" w:rsidP="00F22E60">
            <w:pPr>
              <w:spacing w:before="0" w:after="0"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szCs w:val="20"/>
              </w:rPr>
            </w:pPr>
            <w:r w:rsidRPr="00FC5053">
              <w:rPr>
                <w:rFonts w:ascii="Gotham Book" w:eastAsia="Arial" w:hAnsi="Gotham Book" w:cs="Arial"/>
                <w:i/>
                <w:sz w:val="20"/>
                <w:szCs w:val="20"/>
              </w:rPr>
              <w:t>100</w:t>
            </w:r>
          </w:p>
        </w:tc>
      </w:tr>
      <w:tr w:rsidR="00F61D64" w:rsidRPr="00C12A6C" w14:paraId="763A8B5E"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785CF265" w14:textId="77777777" w:rsidR="00F61D64" w:rsidRPr="00FC5053" w:rsidRDefault="00F61D64" w:rsidP="00F22E60">
            <w:pPr>
              <w:spacing w:before="0" w:after="0" w:line="280" w:lineRule="atLeast"/>
              <w:ind w:left="142"/>
              <w:rPr>
                <w:rFonts w:ascii="Gotham Book" w:eastAsia="Times New Roman" w:hAnsi="Gotham Book" w:cs="Arial"/>
                <w:b w:val="0"/>
                <w:bCs w:val="0"/>
                <w:color w:val="000000" w:themeColor="text1"/>
                <w:sz w:val="20"/>
                <w:szCs w:val="20"/>
              </w:rPr>
            </w:pPr>
            <w:r w:rsidRPr="00FC5053">
              <w:rPr>
                <w:rFonts w:ascii="Gotham Book" w:eastAsia="Times New Roman" w:hAnsi="Gotham Book" w:cs="Arial"/>
                <w:b w:val="0"/>
                <w:bCs w:val="0"/>
                <w:color w:val="000000" w:themeColor="text1"/>
                <w:sz w:val="20"/>
                <w:szCs w:val="20"/>
              </w:rPr>
              <w:t>75 years and older</w:t>
            </w:r>
          </w:p>
        </w:tc>
        <w:tc>
          <w:tcPr>
            <w:tcW w:w="834" w:type="pct"/>
            <w:tcBorders>
              <w:left w:val="single" w:sz="4" w:space="0" w:color="156082" w:themeColor="accent1"/>
              <w:bottom w:val="single" w:sz="4" w:space="0" w:color="156082" w:themeColor="accent1"/>
              <w:right w:val="single" w:sz="4" w:space="0" w:color="156082" w:themeColor="accent1"/>
            </w:tcBorders>
            <w:shd w:val="clear" w:color="auto" w:fill="FFFFFF"/>
            <w:vAlign w:val="center"/>
          </w:tcPr>
          <w:p w14:paraId="20CC0A80"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2000</w:t>
            </w:r>
          </w:p>
        </w:tc>
        <w:tc>
          <w:tcPr>
            <w:tcW w:w="807" w:type="pct"/>
            <w:tcBorders>
              <w:left w:val="single" w:sz="4" w:space="0" w:color="156082" w:themeColor="accent1"/>
              <w:bottom w:val="single" w:sz="4" w:space="0" w:color="156082" w:themeColor="accent1"/>
              <w:right w:val="single" w:sz="4" w:space="0" w:color="156082" w:themeColor="accent1"/>
            </w:tcBorders>
            <w:shd w:val="clear" w:color="auto" w:fill="FFFFFF"/>
            <w:vAlign w:val="center"/>
          </w:tcPr>
          <w:p w14:paraId="4EBB8313" w14:textId="77777777" w:rsidR="00F61D64" w:rsidRPr="00FC5053" w:rsidRDefault="00F61D64" w:rsidP="00F22E60">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szCs w:val="20"/>
              </w:rPr>
            </w:pPr>
            <w:r w:rsidRPr="00FC5053">
              <w:rPr>
                <w:rFonts w:ascii="Gotham Book" w:eastAsia="Arial" w:hAnsi="Gotham Book" w:cs="Arial"/>
                <w:i/>
                <w:sz w:val="20"/>
                <w:szCs w:val="20"/>
              </w:rPr>
              <w:t>86</w:t>
            </w:r>
          </w:p>
        </w:tc>
        <w:tc>
          <w:tcPr>
            <w:tcW w:w="860"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0AA0610C" w14:textId="77777777" w:rsidR="00F61D64" w:rsidRPr="00FC5053" w:rsidRDefault="00F61D64" w:rsidP="00F22E60">
            <w:pPr>
              <w:spacing w:before="0" w:after="0" w:line="280" w:lineRule="atLeast"/>
              <w:ind w:left="136"/>
              <w:cnfStyle w:val="000000010000" w:firstRow="0" w:lastRow="0" w:firstColumn="0" w:lastColumn="0" w:oddVBand="0" w:evenVBand="0" w:oddHBand="0" w:evenHBand="1" w:firstRowFirstColumn="0" w:firstRowLastColumn="0" w:lastRowFirstColumn="0" w:lastRowLastColumn="0"/>
              <w:rPr>
                <w:rFonts w:ascii="Gotham Book" w:eastAsia="Times New Roman" w:hAnsi="Gotham Book" w:cs="Arial"/>
                <w:sz w:val="20"/>
                <w:szCs w:val="20"/>
              </w:rPr>
            </w:pPr>
            <w:r w:rsidRPr="00FC5053">
              <w:rPr>
                <w:rFonts w:ascii="Gotham Book" w:eastAsia="Times New Roman" w:hAnsi="Gotham Book" w:cs="Arial"/>
                <w:sz w:val="20"/>
                <w:szCs w:val="20"/>
              </w:rPr>
              <w:t>75 years and older</w:t>
            </w:r>
          </w:p>
        </w:tc>
        <w:tc>
          <w:tcPr>
            <w:tcW w:w="833" w:type="pct"/>
            <w:tcBorders>
              <w:left w:val="single" w:sz="4" w:space="0" w:color="156082" w:themeColor="accent1"/>
              <w:bottom w:val="single" w:sz="4" w:space="0" w:color="156082" w:themeColor="accent1"/>
              <w:right w:val="single" w:sz="4" w:space="0" w:color="156082" w:themeColor="accent1"/>
            </w:tcBorders>
            <w:shd w:val="clear" w:color="auto" w:fill="FFFFFF"/>
          </w:tcPr>
          <w:p w14:paraId="45B7C77A" w14:textId="77777777" w:rsidR="00F61D64" w:rsidRPr="00FC5053" w:rsidRDefault="00F61D64" w:rsidP="00F22E60">
            <w:pPr>
              <w:spacing w:before="0" w:after="0"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iCs/>
                <w:sz w:val="20"/>
                <w:szCs w:val="20"/>
              </w:rPr>
            </w:pPr>
            <w:r w:rsidRPr="00FC5053">
              <w:rPr>
                <w:rFonts w:ascii="Gotham Book" w:eastAsia="Arial" w:hAnsi="Gotham Book" w:cs="Arial"/>
                <w:i/>
                <w:sz w:val="20"/>
                <w:szCs w:val="20"/>
              </w:rPr>
              <w:t>2,300</w:t>
            </w:r>
          </w:p>
        </w:tc>
        <w:tc>
          <w:tcPr>
            <w:tcW w:w="833" w:type="pct"/>
            <w:tcBorders>
              <w:left w:val="single" w:sz="4" w:space="0" w:color="156082" w:themeColor="accent1"/>
              <w:bottom w:val="single" w:sz="4" w:space="0" w:color="156082" w:themeColor="accent1"/>
              <w:right w:val="single" w:sz="4" w:space="0" w:color="156082" w:themeColor="accent1"/>
            </w:tcBorders>
            <w:shd w:val="clear" w:color="auto" w:fill="FFFFFF"/>
          </w:tcPr>
          <w:p w14:paraId="366C5D0D" w14:textId="77777777" w:rsidR="00F61D64" w:rsidRPr="00FC5053" w:rsidRDefault="00F61D64" w:rsidP="00F22E60">
            <w:pPr>
              <w:spacing w:before="0" w:after="0"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sz w:val="20"/>
                <w:szCs w:val="20"/>
              </w:rPr>
            </w:pPr>
            <w:r w:rsidRPr="00FC5053">
              <w:rPr>
                <w:rFonts w:ascii="Gotham Book" w:eastAsia="Arial" w:hAnsi="Gotham Book" w:cs="Arial"/>
                <w:i/>
                <w:sz w:val="20"/>
                <w:szCs w:val="20"/>
              </w:rPr>
              <w:t>100</w:t>
            </w:r>
          </w:p>
        </w:tc>
      </w:tr>
    </w:tbl>
    <w:p w14:paraId="3F019893" w14:textId="77777777" w:rsidR="00F61D64" w:rsidRPr="00C12A6C" w:rsidRDefault="00F61D64" w:rsidP="00F61D64"/>
    <w:p w14:paraId="3B4709F5" w14:textId="77777777"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Health evidence profile and supporting information</w:t>
      </w:r>
    </w:p>
    <w:p w14:paraId="60B9358F" w14:textId="36223202" w:rsidR="0087527E" w:rsidRDefault="0087527E" w:rsidP="00F61D64">
      <w:pPr>
        <w:rPr>
          <w:rFonts w:eastAsia="Times New Roman" w:cs="Arial"/>
          <w:iCs/>
          <w:lang w:eastAsia="en-AU"/>
        </w:rPr>
      </w:pPr>
      <w:r>
        <w:rPr>
          <w:rFonts w:eastAsia="Times New Roman" w:cs="Arial"/>
          <w:iCs/>
          <w:lang w:eastAsia="en-AU"/>
        </w:rPr>
        <w:t xml:space="preserve">The systematic literature review underpinning the 2017 sodium NRVs found </w:t>
      </w:r>
      <w:r w:rsidR="00A93322" w:rsidRPr="0056129E">
        <w:rPr>
          <w:rFonts w:eastAsia="Times New Roman" w:cs="Arial"/>
          <w:szCs w:val="20"/>
        </w:rPr>
        <w:t>a reduction of 2 mm Hg in systolic blood pressure when mean sodium excretion was lowered from about</w:t>
      </w:r>
      <w:r w:rsidR="00A93322" w:rsidRPr="0056129E">
        <w:rPr>
          <w:rFonts w:eastAsia="Times New Roman" w:cs="Arial"/>
        </w:rPr>
        <w:t xml:space="preserve"> 3,500 mg/day to 2,100 mg/day (when corrected to the Australia and New Zealand population)</w:t>
      </w:r>
      <w:r w:rsidR="00A93322">
        <w:rPr>
          <w:rFonts w:eastAsia="Times New Roman" w:cs="Arial"/>
        </w:rPr>
        <w:t xml:space="preserve"> </w:t>
      </w:r>
      <w:r w:rsidR="00B910BD">
        <w:rPr>
          <w:rFonts w:eastAsia="Times New Roman" w:cs="Arial"/>
        </w:rPr>
        <w:fldChar w:fldCharType="begin"/>
      </w:r>
      <w:r w:rsidR="00B910BD">
        <w:rPr>
          <w:rFonts w:eastAsia="Times New Roman" w:cs="Arial"/>
        </w:rPr>
        <w:instrText xml:space="preserve"> ADDIN EN.CITE &lt;EndNote&gt;&lt;Cite&gt;&lt;Author&gt;Department of Health&lt;/Author&gt;&lt;Year&gt;2017&lt;/Year&gt;&lt;RecNum&gt;4782&lt;/RecNum&gt;&lt;DisplayText&gt;(Department of Health, 2017)&lt;/DisplayText&gt;&lt;record&gt;&lt;rec-number&gt;4782&lt;/rec-number&gt;&lt;foreign-keys&gt;&lt;key app="EN" db-id="wwsdv2wwp29fenerv0kx5tw9zxtx2fdrprx2" timestamp="1784005684"&gt;4782&lt;/key&gt;&lt;/foreign-keys&gt;&lt;ref-type name="Government Document"&gt;46&lt;/ref-type&gt;&lt;contributors&gt;&lt;authors&gt;&lt;author&gt;Department of Health,&lt;/author&gt;&lt;/authors&gt;&lt;secondary-authors&gt;&lt;author&gt;Department of Health,&lt;/author&gt;&lt;/secondary-authors&gt;&lt;/contributors&gt;&lt;titles&gt;&lt;title&gt;Australian and New Zealand Nutrient Reference Values for Sodium: Supporting Document 2 - Statistical Analyses&lt;/title&gt;&lt;/titles&gt;&lt;dates&gt;&lt;year&gt;2017&lt;/year&gt;&lt;/dates&gt;&lt;urls&gt;&lt;related-urls&gt;&lt;url&gt;https://www.eatforhealth.gov.au/sites/default/files/2022-10/2017_Sodium_SD2_-_Statistical_Analyses.pdf&lt;/url&gt;&lt;/related-urls&gt;&lt;/urls&gt;&lt;/record&gt;&lt;/Cite&gt;&lt;/EndNote&gt;</w:instrText>
      </w:r>
      <w:r w:rsidR="00B910BD">
        <w:rPr>
          <w:rFonts w:eastAsia="Times New Roman" w:cs="Arial"/>
        </w:rPr>
        <w:fldChar w:fldCharType="separate"/>
      </w:r>
      <w:r w:rsidR="00B910BD">
        <w:rPr>
          <w:rFonts w:eastAsia="Times New Roman" w:cs="Arial"/>
          <w:noProof/>
        </w:rPr>
        <w:t>(Department of Health, 2017)</w:t>
      </w:r>
      <w:r w:rsidR="00B910BD">
        <w:rPr>
          <w:rFonts w:eastAsia="Times New Roman" w:cs="Arial"/>
        </w:rPr>
        <w:fldChar w:fldCharType="end"/>
      </w:r>
      <w:r>
        <w:rPr>
          <w:rFonts w:eastAsia="Times New Roman" w:cs="Arial"/>
          <w:iCs/>
          <w:lang w:eastAsia="en-AU"/>
        </w:rPr>
        <w:t xml:space="preserve">, and on this basis the </w:t>
      </w:r>
      <w:r w:rsidR="00B910BD">
        <w:rPr>
          <w:rFonts w:eastAsia="Times New Roman" w:cs="Arial"/>
          <w:iCs/>
          <w:lang w:eastAsia="en-AU"/>
        </w:rPr>
        <w:t xml:space="preserve">current </w:t>
      </w:r>
      <w:r>
        <w:rPr>
          <w:rFonts w:eastAsia="Times New Roman" w:cs="Arial"/>
          <w:iCs/>
          <w:lang w:eastAsia="en-AU"/>
        </w:rPr>
        <w:t xml:space="preserve">SDT was established at 2,000 mg/day. </w:t>
      </w:r>
    </w:p>
    <w:p w14:paraId="2F55CB94" w14:textId="0BD38728" w:rsidR="00F61D64" w:rsidRDefault="00F61D64" w:rsidP="00F61D64">
      <w:pPr>
        <w:rPr>
          <w:rFonts w:eastAsia="Times New Roman" w:cs="Arial"/>
          <w:iCs/>
          <w:lang w:eastAsia="en-AU"/>
        </w:rPr>
      </w:pPr>
      <w:r w:rsidRPr="00C60A18">
        <w:rPr>
          <w:rFonts w:eastAsia="Times New Roman" w:cs="Arial"/>
          <w:iCs/>
          <w:lang w:eastAsia="en-AU"/>
        </w:rPr>
        <w:lastRenderedPageBreak/>
        <w:t xml:space="preserve">Evidence from systematic reviews </w:t>
      </w:r>
      <w:r w:rsidR="0087527E">
        <w:rPr>
          <w:rFonts w:eastAsia="Times New Roman" w:cs="Arial"/>
          <w:iCs/>
          <w:lang w:eastAsia="en-AU"/>
        </w:rPr>
        <w:t xml:space="preserve">published since this time – and </w:t>
      </w:r>
      <w:r w:rsidRPr="00C60A18">
        <w:rPr>
          <w:rFonts w:eastAsia="Times New Roman" w:cs="Arial"/>
          <w:iCs/>
          <w:lang w:eastAsia="en-AU"/>
        </w:rPr>
        <w:t xml:space="preserve">including meta-analyses, dose-response analyses and meta-regressions </w:t>
      </w:r>
      <w:r w:rsidR="0087527E">
        <w:rPr>
          <w:rFonts w:eastAsia="Times New Roman" w:cs="Arial"/>
          <w:iCs/>
          <w:lang w:eastAsia="en-AU"/>
        </w:rPr>
        <w:t xml:space="preserve">- </w:t>
      </w:r>
      <w:r w:rsidRPr="002875EC">
        <w:t>suggest</w:t>
      </w:r>
      <w:r w:rsidR="0087527E">
        <w:t>s</w:t>
      </w:r>
      <w:r w:rsidRPr="002875EC">
        <w:t xml:space="preserve"> a consistent relationship between modest reductions in dietary sodium and reduced </w:t>
      </w:r>
      <w:r>
        <w:t xml:space="preserve">systolic </w:t>
      </w:r>
      <w:r w:rsidRPr="002875EC">
        <w:t xml:space="preserve">blood pressure </w:t>
      </w:r>
      <w:r>
        <w:t xml:space="preserve">(SBP) </w:t>
      </w:r>
      <w:r w:rsidRPr="002875EC">
        <w:t xml:space="preserve">over the long-term. </w:t>
      </w:r>
      <w:r>
        <w:rPr>
          <w:rFonts w:eastAsia="Times New Roman" w:cs="Arial"/>
          <w:iCs/>
          <w:lang w:eastAsia="en-AU"/>
        </w:rPr>
        <w:t xml:space="preserve">SBP is an independent risk factor for cardiovascular disease. </w:t>
      </w:r>
    </w:p>
    <w:p w14:paraId="096FC2DD" w14:textId="77777777" w:rsidR="00F61D64" w:rsidRDefault="00F61D64" w:rsidP="00F61D64">
      <w:pPr>
        <w:rPr>
          <w:rFonts w:eastAsia="Times New Roman" w:cs="Arial"/>
          <w:iCs/>
          <w:lang w:eastAsia="en-AU"/>
        </w:rPr>
      </w:pPr>
      <w:r>
        <w:rPr>
          <w:rFonts w:eastAsia="Times New Roman" w:cs="Arial"/>
          <w:iCs/>
          <w:lang w:eastAsia="en-AU"/>
        </w:rPr>
        <w:t>High sodium diet appears to have greater effects on SBP in hypertensive populations. The estimated effect varied across reviews, depending on the review inclusion criteria and analysis method adopted:</w:t>
      </w:r>
    </w:p>
    <w:p w14:paraId="1F934073" w14:textId="207C3809" w:rsidR="00F61D64" w:rsidRPr="007D2954" w:rsidRDefault="00F61D64" w:rsidP="00F61D64">
      <w:pPr>
        <w:pStyle w:val="ListParagraph"/>
        <w:numPr>
          <w:ilvl w:val="0"/>
          <w:numId w:val="39"/>
        </w:numPr>
        <w:rPr>
          <w:rFonts w:eastAsia="Times New Roman" w:cs="Arial"/>
          <w:iCs/>
          <w:lang w:eastAsia="en-AU"/>
        </w:rPr>
      </w:pPr>
      <w:r>
        <w:fldChar w:fldCharType="begin">
          <w:fldData xml:space="preserve">PEVuZE5vdGU+PENpdGUgQXV0aG9yWWVhcj0iMSI+PEF1dGhvcj5GaWxpcHBpbmk8L0F1dGhvcj48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</w:fldData>
        </w:fldChar>
      </w:r>
      <w:r>
        <w:instrText xml:space="preserve"> ADDIN EN.CITE </w:instrText>
      </w:r>
      <w:r>
        <w:fldChar w:fldCharType="begin">
          <w:fldData xml:space="preserve">PEVuZE5vdGU+PENpdGUgQXV0aG9yWWVhcj0iMSI+PEF1dGhvcj5GaWxpcHBpbmk8L0F1dGhvcj48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</w:fldData>
        </w:fldChar>
      </w:r>
      <w:r>
        <w:instrText xml:space="preserve"> ADDIN EN.CITE.DATA </w:instrText>
      </w:r>
      <w:r>
        <w:fldChar w:fldCharType="end"/>
      </w:r>
      <w:r>
        <w:fldChar w:fldCharType="separate"/>
      </w:r>
      <w:r>
        <w:rPr>
          <w:noProof/>
        </w:rPr>
        <w:t>Filippini et al. (2021a)</w:t>
      </w:r>
      <w:r>
        <w:fldChar w:fldCharType="end"/>
      </w:r>
      <w:r>
        <w:rPr>
          <w:rFonts w:eastAsia="Times New Roman" w:cs="Arial"/>
          <w:iCs/>
          <w:lang w:eastAsia="en-AU"/>
        </w:rPr>
        <w:t xml:space="preserve"> (high risk of bias) reported </w:t>
      </w:r>
      <w:r>
        <w:t>reductions in SBP of 5.56mmHg (95% CI -4.52 to -6.59) for every 100 mmol/day reduction in urinary sodium excretion (85 RCTs; N&gt;10,000)</w:t>
      </w:r>
      <w:r w:rsidRPr="007D2954">
        <w:rPr>
          <w:rFonts w:eastAsia="Times New Roman" w:cs="Arial"/>
          <w:iCs/>
          <w:lang w:eastAsia="en-AU"/>
        </w:rPr>
        <w:t xml:space="preserve"> </w:t>
      </w:r>
    </w:p>
    <w:p w14:paraId="6F1C3D0A" w14:textId="77777777" w:rsidR="00F61D64" w:rsidRPr="00F03B1F" w:rsidRDefault="00F61D64" w:rsidP="00F61D64">
      <w:pPr>
        <w:pStyle w:val="ListParagraph"/>
        <w:numPr>
          <w:ilvl w:val="0"/>
          <w:numId w:val="39"/>
        </w:numPr>
        <w:rPr>
          <w:rFonts w:eastAsia="Times New Roman" w:cs="Arial"/>
          <w:iCs/>
          <w:lang w:eastAsia="en-AU"/>
        </w:rPr>
      </w:pPr>
      <w:r>
        <w:fldChar w:fldCharType="begin">
          <w:fldData xml:space="preserve">PEVuZE5vdGU+PENpdGUgQXV0aG9yWWVhcj0iMSI+PEF1dGhvcj5IdWFuZzwvQXV0aG9yPjxZZWFy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</w:fldData>
        </w:fldChar>
      </w:r>
      <w:r>
        <w:instrText xml:space="preserve"> ADDIN EN.CITE </w:instrText>
      </w:r>
      <w:r>
        <w:fldChar w:fldCharType="begin">
          <w:fldData xml:space="preserve">PEVuZE5vdGU+PENpdGUgQXV0aG9yWWVhcj0iMSI+PEF1dGhvcj5IdWFuZzwvQXV0aG9yPjxZZWFy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</w:fldData>
        </w:fldChar>
      </w:r>
      <w:r>
        <w:instrText xml:space="preserve"> ADDIN EN.CITE.DATA </w:instrText>
      </w:r>
      <w:r>
        <w:fldChar w:fldCharType="end"/>
      </w:r>
      <w:r>
        <w:fldChar w:fldCharType="separate"/>
      </w:r>
      <w:r>
        <w:rPr>
          <w:noProof/>
        </w:rPr>
        <w:t>Huang et al. (2020)</w:t>
      </w:r>
      <w:r>
        <w:fldChar w:fldCharType="end"/>
      </w:r>
      <w:r>
        <w:t xml:space="preserve"> (low risk of bias) reported reductions in SBP of -</w:t>
      </w:r>
      <w:r w:rsidRPr="00F03B1F">
        <w:t>2.13</w:t>
      </w:r>
      <w:r>
        <w:t xml:space="preserve"> </w:t>
      </w:r>
      <w:r w:rsidRPr="00F03B1F">
        <w:t xml:space="preserve">mm Hg </w:t>
      </w:r>
      <w:r>
        <w:t>(95% CI -</w:t>
      </w:r>
      <w:r w:rsidRPr="00F03B1F">
        <w:t xml:space="preserve">0.85 to </w:t>
      </w:r>
      <w:r>
        <w:t>-</w:t>
      </w:r>
      <w:r w:rsidRPr="00F03B1F">
        <w:t>3.40)</w:t>
      </w:r>
      <w:r>
        <w:t xml:space="preserve"> for every 50 mmol/day reduction in urinary sodium excretion in studies greater than 2 weeks in duration (58 data points; N=9,196)</w:t>
      </w:r>
    </w:p>
    <w:p w14:paraId="295E8A7E" w14:textId="77777777" w:rsidR="00F61D64" w:rsidRDefault="00F61D64" w:rsidP="00F61D64">
      <w:pPr>
        <w:pStyle w:val="ListParagraph"/>
        <w:numPr>
          <w:ilvl w:val="0"/>
          <w:numId w:val="39"/>
        </w:numPr>
        <w:rPr>
          <w:rFonts w:eastAsia="Times New Roman" w:cs="Arial"/>
          <w:iCs/>
          <w:lang w:eastAsia="en-AU"/>
        </w:rPr>
      </w:pPr>
      <w:r w:rsidRPr="006A606E">
        <w:rPr>
          <w:rFonts w:eastAsia="Times New Roman" w:cs="Arial"/>
          <w:iCs/>
          <w:lang w:eastAsia="en-AU"/>
        </w:rPr>
        <w:t xml:space="preserve">EFSA </w:t>
      </w:r>
      <w:r w:rsidRPr="006A606E">
        <w:rPr>
          <w:rFonts w:eastAsia="Times New Roman" w:cs="Arial"/>
          <w:iCs/>
          <w:lang w:eastAsia="en-AU"/>
        </w:rPr>
        <w:fldChar w:fldCharType="begin"/>
      </w:r>
      <w:r w:rsidRPr="006A606E">
        <w:rPr>
          <w:rFonts w:eastAsia="Times New Roman" w:cs="Arial"/>
          <w:iCs/>
          <w:lang w:eastAsia="en-AU"/>
        </w:rPr>
        <w:instrText xml:space="preserve"> ADDIN EN.CITE &lt;EndNote&gt;&lt;Cite ExcludeAuth="1"&gt;&lt;Author&gt;European Food Safety Authority&lt;/Author&gt;&lt;Year&gt;2019&lt;/Year&gt;&lt;RecNum&gt;1&lt;/RecNum&gt;&lt;DisplayText&gt;(2019)&lt;/DisplayText&gt;&lt;record&gt;&lt;rec-number&gt;1&lt;/rec-number&gt;&lt;foreign-keys&gt;&lt;key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rsidRPr="006A606E">
        <w:rPr>
          <w:rFonts w:eastAsia="Times New Roman" w:cs="Arial"/>
          <w:iCs/>
          <w:lang w:eastAsia="en-AU"/>
        </w:rPr>
        <w:fldChar w:fldCharType="separate"/>
      </w:r>
      <w:r w:rsidRPr="006A606E">
        <w:rPr>
          <w:rFonts w:eastAsia="Times New Roman" w:cs="Arial"/>
          <w:iCs/>
          <w:noProof/>
          <w:lang w:eastAsia="en-AU"/>
        </w:rPr>
        <w:t>(2019)</w:t>
      </w:r>
      <w:r w:rsidRPr="006A606E">
        <w:rPr>
          <w:rFonts w:eastAsia="Times New Roman" w:cs="Arial"/>
          <w:iCs/>
          <w:lang w:eastAsia="en-AU"/>
        </w:rPr>
        <w:fldChar w:fldCharType="end"/>
      </w:r>
      <w:r w:rsidRPr="006A606E">
        <w:rPr>
          <w:rFonts w:eastAsia="Times New Roman" w:cs="Arial"/>
          <w:iCs/>
          <w:lang w:eastAsia="en-AU"/>
        </w:rPr>
        <w:t xml:space="preserve"> (risk of bias not assessed) reported that SBP increased by 5.3 mm Hg (</w:t>
      </w:r>
      <w:r w:rsidRPr="006A606E">
        <w:t xml:space="preserve">95% CI </w:t>
      </w:r>
      <w:r w:rsidRPr="006A606E">
        <w:rPr>
          <w:rFonts w:eastAsia="Times New Roman" w:cs="Arial"/>
          <w:iCs/>
          <w:lang w:eastAsia="en-AU"/>
        </w:rPr>
        <w:t>3.6 to 6.9) for every 100mmol/day increase in urinary sodium excretion (32 RCTs</w:t>
      </w:r>
      <w:r>
        <w:rPr>
          <w:rFonts w:eastAsia="Times New Roman" w:cs="Arial"/>
          <w:iCs/>
          <w:lang w:eastAsia="en-AU"/>
        </w:rPr>
        <w:t>, 68 data points</w:t>
      </w:r>
      <w:r w:rsidRPr="006A606E">
        <w:rPr>
          <w:rFonts w:eastAsia="Times New Roman" w:cs="Arial"/>
          <w:iCs/>
          <w:lang w:eastAsia="en-AU"/>
        </w:rPr>
        <w:t>; N =NR</w:t>
      </w:r>
      <w:r>
        <w:rPr>
          <w:rFonts w:eastAsia="Times New Roman" w:cs="Arial"/>
          <w:iCs/>
          <w:lang w:eastAsia="en-AU"/>
        </w:rPr>
        <w:t>)</w:t>
      </w:r>
    </w:p>
    <w:p w14:paraId="2AF3BFF1" w14:textId="77777777" w:rsidR="00F61D64" w:rsidRPr="006D525A" w:rsidRDefault="00F61D64" w:rsidP="00F61D64">
      <w:pPr>
        <w:pStyle w:val="ListParagraph"/>
        <w:numPr>
          <w:ilvl w:val="0"/>
          <w:numId w:val="39"/>
        </w:numPr>
        <w:rPr>
          <w:rFonts w:eastAsia="Times New Roman" w:cs="Arial"/>
          <w:iCs/>
          <w:lang w:eastAsia="en-AU"/>
        </w:rPr>
      </w:pPr>
      <w:r w:rsidRPr="005D6CEE">
        <w:t>A</w:t>
      </w:r>
      <w:r>
        <w:t xml:space="preserve">gency for Healthcare Research and Quality (AHRQ 2018) </w:t>
      </w:r>
      <w:r>
        <w:rPr>
          <w:rFonts w:eastAsia="Times New Roman" w:cs="Arial"/>
          <w:iCs/>
          <w:lang w:eastAsia="en-AU"/>
        </w:rPr>
        <w:t>(risk of bia</w:t>
      </w:r>
      <w:r w:rsidRPr="00DF5993">
        <w:rPr>
          <w:rFonts w:eastAsia="Times New Roman" w:cs="Arial"/>
          <w:iCs/>
          <w:lang w:eastAsia="en-AU"/>
        </w:rPr>
        <w:t xml:space="preserve">s not assessed) </w:t>
      </w:r>
      <w:r w:rsidRPr="00DF5993">
        <w:t xml:space="preserve">reported that reducing sodium intake significantly decreased SBP (MD –3.23 mm Hg, 95% CI –4.07 to –2.38; 47 RCTs, N=NR) </w:t>
      </w:r>
      <w:r w:rsidRPr="00DF5993">
        <w:fldChar w:fldCharType="begin"/>
      </w:r>
      <w:r w:rsidRPr="00DF5993">
        <w:instrText xml:space="preserve"> ADDIN EN.CITE &lt;EndNote&gt;&lt;Cite&gt;&lt;Author&gt;Newberry&lt;/Author&gt;&lt;Year&gt;2018&lt;/Year&gt;&lt;RecNum&gt;621&lt;/RecNum&gt;&lt;DisplayText&gt;(Newberry et al., 2018)&lt;/DisplayText&gt;&lt;record&gt;&lt;rec-number&gt;621&lt;/rec-number&gt;&lt;foreign-keys&gt;&lt;key app="EN" db-id="wwsdv2wwp29fenerv0kx5tw9zxtx2fdrprx2" timestamp="1762743452"&gt;621&lt;/key&gt;&lt;/foreign-keys&gt;&lt;ref-type name="Book Section"&gt;5&lt;/ref-type&gt;&lt;contributors&gt;&lt;authors&gt;&lt;author&gt;Newberry, S. J.&lt;/author&gt;&lt;author&gt;Chung, M.&lt;/author&gt;&lt;author&gt;Anderson, C. A. M.&lt;/author&gt;&lt;author&gt;Chen, C.&lt;/author&gt;&lt;author&gt;Fu, Z.&lt;/author&gt;&lt;author&gt;Tang, A.&lt;/author&gt;&lt;author&gt;Zhao, N.&lt;/author&gt;&lt;author&gt;Booth, M.&lt;/author&gt;&lt;author&gt;Marks, J.&lt;/author&gt;&lt;author&gt;Hollands, S.&lt;/author&gt;&lt;author&gt;Motala, A.&lt;/author&gt;&lt;author&gt;Larkin, J.&lt;/author&gt;&lt;author&gt;Shanman, R.&lt;/author&gt;&lt;author&gt;Hempel, S.&lt;/author&gt;&lt;/authors&gt;&lt;/contributors&gt;&lt;auth-address&gt;RAND Southern California Evidence-based Practice Center&lt;/auth-address&gt;&lt;titles&gt;&lt;title&gt;Sodium and Potassium Intake: Effects on Chronic Disease Outcomes and Risks&lt;/title&gt;&lt;tertiary-title&gt;AHRQ Comparative Effectiveness Reviews&lt;/tertiary-title&gt;&lt;/titles&gt;&lt;dates&gt;&lt;year&gt;2018&lt;/year&gt;&lt;/dates&gt;&lt;pub-location&gt;Rockville (MD)&lt;/pub-location&gt;&lt;publisher&gt;Agency for Healthcare Research and Quality (US)&lt;/publisher&gt;&lt;accession-num&gt;30125063&lt;/accession-num&gt;&lt;urls&gt;&lt;/urls&gt;&lt;language&gt;eng&lt;/language&gt;&lt;/record&gt;&lt;/Cite&gt;&lt;/EndNote&gt;</w:instrText>
      </w:r>
      <w:r w:rsidRPr="00DF5993">
        <w:fldChar w:fldCharType="separate"/>
      </w:r>
      <w:r w:rsidRPr="00DF5993">
        <w:rPr>
          <w:noProof/>
        </w:rPr>
        <w:t>(Newberry et al., 2018)</w:t>
      </w:r>
      <w:r w:rsidRPr="00DF5993">
        <w:fldChar w:fldCharType="end"/>
      </w:r>
    </w:p>
    <w:p w14:paraId="641754EB" w14:textId="77777777" w:rsidR="00F61D64" w:rsidRDefault="00F61D64" w:rsidP="00F61D64">
      <w:pPr>
        <w:pStyle w:val="ListParagraph"/>
        <w:numPr>
          <w:ilvl w:val="0"/>
          <w:numId w:val="39"/>
        </w:numPr>
        <w:rPr>
          <w:rFonts w:eastAsia="Times New Roman" w:cs="Times New Roman"/>
        </w:rPr>
      </w:pPr>
      <w:r>
        <w:rPr>
          <w:rFonts w:eastAsia="Times New Roman" w:cs="Times New Roman"/>
        </w:rPr>
        <w:fldChar w:fldCharType="begin">
          <w:fldData xml:space="preserve">PEVuZE5vdGU+PENpdGUgQXV0aG9yWWVhcj0iMSI+PEF1dGhvcj5HcmF1ZGFsPC9BdXRob3I+PFll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</w:fldData>
        </w:fldChar>
      </w:r>
      <w:r>
        <w:rPr>
          <w:rFonts w:eastAsia="Times New Roman" w:cs="Times New Roman"/>
        </w:rPr>
        <w:instrText xml:space="preserve"> ADDIN EN.CITE </w:instrText>
      </w:r>
      <w:r>
        <w:rPr>
          <w:rFonts w:eastAsia="Times New Roman" w:cs="Times New Roman"/>
        </w:rPr>
        <w:fldChar w:fldCharType="begin">
          <w:fldData xml:space="preserve">PEVuZE5vdGU+PENpdGUgQXV0aG9yWWVhcj0iMSI+PEF1dGhvcj5HcmF1ZGFsPC9BdXRob3I+PFll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</w:fldData>
        </w:fldChar>
      </w:r>
      <w:r>
        <w:rPr>
          <w:rFonts w:eastAsia="Times New Roman" w:cs="Times New Roman"/>
        </w:rPr>
        <w:instrText xml:space="preserve"> ADDIN EN.CITE.DATA </w:instrText>
      </w:r>
      <w:r>
        <w:rPr>
          <w:rFonts w:eastAsia="Times New Roman" w:cs="Times New Roman"/>
        </w:rPr>
      </w:r>
      <w:r>
        <w:rPr>
          <w:rFonts w:eastAsia="Times New Roman" w:cs="Times New Roman"/>
        </w:rPr>
        <w:fldChar w:fldCharType="end"/>
      </w:r>
      <w:r>
        <w:rPr>
          <w:rFonts w:eastAsia="Times New Roman" w:cs="Times New Roman"/>
        </w:rPr>
      </w:r>
      <w:r>
        <w:rPr>
          <w:rFonts w:eastAsia="Times New Roman" w:cs="Times New Roman"/>
        </w:rPr>
        <w:fldChar w:fldCharType="separate"/>
      </w:r>
      <w:r>
        <w:rPr>
          <w:rFonts w:eastAsia="Times New Roman" w:cs="Times New Roman"/>
          <w:noProof/>
        </w:rPr>
        <w:t>Graudal et al. (2020)</w:t>
      </w:r>
      <w:r>
        <w:rPr>
          <w:rFonts w:eastAsia="Times New Roman" w:cs="Times New Roman"/>
        </w:rPr>
        <w:fldChar w:fldCharType="end"/>
      </w:r>
      <w:r>
        <w:rPr>
          <w:rFonts w:eastAsia="Times New Roman" w:cs="Times New Roman"/>
        </w:rPr>
        <w:t xml:space="preserve"> </w:t>
      </w:r>
      <w:r>
        <w:rPr>
          <w:rFonts w:eastAsia="Times New Roman" w:cs="Arial"/>
          <w:iCs/>
          <w:lang w:eastAsia="en-AU"/>
        </w:rPr>
        <w:t xml:space="preserve">(low risk of bias) </w:t>
      </w:r>
      <w:r>
        <w:rPr>
          <w:rFonts w:eastAsia="Times New Roman" w:cs="Times New Roman"/>
        </w:rPr>
        <w:t>found that lower sodium intake resulted in reductions in SBP across ‘white’, ‘black’ and Asian populations with or without hypertension, although the reduction was not statistically significant for the normotensive Asian group.</w:t>
      </w:r>
    </w:p>
    <w:p w14:paraId="6E21A970" w14:textId="1781CD54" w:rsidR="00F61D64" w:rsidRPr="00330F0E" w:rsidRDefault="00F61D64" w:rsidP="00F61D64">
      <w:pPr>
        <w:rPr>
          <w:rFonts w:eastAsia="Times New Roman" w:cs="Arial"/>
          <w:iCs/>
          <w:lang w:eastAsia="en-AU"/>
        </w:rPr>
      </w:pPr>
      <w:r w:rsidRPr="00330F0E">
        <w:rPr>
          <w:rFonts w:eastAsia="Times New Roman" w:cs="Arial"/>
          <w:iCs/>
          <w:lang w:eastAsia="en-AU"/>
        </w:rPr>
        <w:t xml:space="preserve">There remains insufficient evidence to characterise a level of sodium intake at which there is not a corresponding increase in blood pressure. Consequently, the sodium NRV for chronic disease risk reduction should be established based on </w:t>
      </w:r>
      <w:r>
        <w:rPr>
          <w:rFonts w:eastAsia="Times New Roman" w:cs="Arial"/>
          <w:iCs/>
          <w:lang w:eastAsia="en-AU"/>
        </w:rPr>
        <w:t xml:space="preserve">a precautionary approach and </w:t>
      </w:r>
      <w:r w:rsidRPr="00330F0E">
        <w:rPr>
          <w:rFonts w:eastAsia="Times New Roman" w:cs="Arial"/>
          <w:iCs/>
          <w:lang w:eastAsia="en-AU"/>
        </w:rPr>
        <w:t xml:space="preserve">pragmatic factors, including consideration of the evidence for the relative benefits and harms, alongside factors relevant to the Australian and New Zealand context. </w:t>
      </w:r>
    </w:p>
    <w:p w14:paraId="1C6E2760" w14:textId="77777777"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Sodium intake in Australia and New Zealand</w:t>
      </w:r>
    </w:p>
    <w:p w14:paraId="48E940C0" w14:textId="77777777" w:rsidR="00F61D64" w:rsidRDefault="00F61D64" w:rsidP="00F61D64">
      <w:pPr>
        <w:rPr>
          <w:rFonts w:eastAsia="Times New Roman" w:cs="Arial"/>
          <w:iCs/>
        </w:rPr>
      </w:pPr>
      <w:r>
        <w:rPr>
          <w:rFonts w:eastAsia="Times New Roman" w:cs="Arial"/>
          <w:iCs/>
        </w:rPr>
        <w:t xml:space="preserve">National nutrition data from Australia – based on dietary recall – estimate mean daily intake at </w:t>
      </w:r>
      <w:r w:rsidRPr="00EB6295">
        <w:rPr>
          <w:rFonts w:eastAsia="Times New Roman" w:cs="Arial"/>
          <w:iCs/>
        </w:rPr>
        <w:t>2,384</w:t>
      </w:r>
      <w:r w:rsidRPr="00EB6295">
        <w:rPr>
          <w:rFonts w:ascii="Arial" w:eastAsia="Times New Roman" w:hAnsi="Arial" w:cs="Arial"/>
          <w:iCs/>
        </w:rPr>
        <w:t> </w:t>
      </w:r>
      <w:r w:rsidRPr="00EB6295">
        <w:rPr>
          <w:rFonts w:eastAsia="Times New Roman" w:cs="Arial"/>
          <w:iCs/>
        </w:rPr>
        <w:t>mg/day,</w:t>
      </w:r>
      <w:r w:rsidRPr="002F5F38">
        <w:rPr>
          <w:rFonts w:eastAsia="Times New Roman" w:cs="Arial"/>
          <w:iCs/>
        </w:rPr>
        <w:t xml:space="preserve"> with higher intakes in males and younger adults</w:t>
      </w:r>
      <w:r>
        <w:rPr>
          <w:rFonts w:eastAsia="Times New Roman" w:cs="Arial"/>
          <w:iCs/>
        </w:rPr>
        <w:t xml:space="preserve">. With </w:t>
      </w:r>
      <w:r w:rsidRPr="00F93D43">
        <w:rPr>
          <w:rFonts w:eastAsia="Times New Roman" w:cs="Arial"/>
          <w:iCs/>
        </w:rPr>
        <w:t>This analysis may underestimate total sodium intakes, as it only accounts for sodium naturally present in foods or added during processing. Based on responses about additional salt use, 78.1% people aged 2 years and over added salt while cooking or preparing food and 45.5% added salt to food at the table.</w:t>
      </w:r>
      <w:r>
        <w:rPr>
          <w:rFonts w:eastAsia="Times New Roman" w:cs="Arial"/>
          <w:iCs/>
        </w:rPr>
        <w:t xml:space="preserve"> A systematic review of Australian studies reporting </w:t>
      </w:r>
      <w:r w:rsidRPr="002F5F38">
        <w:rPr>
          <w:rFonts w:eastAsia="Times New Roman" w:cs="Arial"/>
          <w:iCs/>
        </w:rPr>
        <w:t>24</w:t>
      </w:r>
      <w:r w:rsidRPr="002F5F38">
        <w:rPr>
          <w:rFonts w:eastAsia="Times New Roman" w:cs="Arial"/>
          <w:iCs/>
        </w:rPr>
        <w:noBreakHyphen/>
        <w:t xml:space="preserve">hour urinary sodium </w:t>
      </w:r>
      <w:r>
        <w:rPr>
          <w:rFonts w:eastAsia="Times New Roman" w:cs="Arial"/>
          <w:iCs/>
        </w:rPr>
        <w:t xml:space="preserve">measures </w:t>
      </w:r>
      <w:r w:rsidRPr="002F5F38">
        <w:rPr>
          <w:rFonts w:eastAsia="Times New Roman" w:cs="Arial"/>
          <w:iCs/>
        </w:rPr>
        <w:t>suggest</w:t>
      </w:r>
      <w:r>
        <w:rPr>
          <w:rFonts w:eastAsia="Times New Roman" w:cs="Arial"/>
          <w:iCs/>
        </w:rPr>
        <w:t>s</w:t>
      </w:r>
      <w:r w:rsidRPr="002F5F38">
        <w:rPr>
          <w:rFonts w:eastAsia="Times New Roman" w:cs="Arial"/>
          <w:iCs/>
        </w:rPr>
        <w:t xml:space="preserve"> </w:t>
      </w:r>
      <w:r>
        <w:rPr>
          <w:rFonts w:eastAsia="Times New Roman" w:cs="Arial"/>
          <w:iCs/>
        </w:rPr>
        <w:t xml:space="preserve">that intakes may be </w:t>
      </w:r>
      <w:r w:rsidRPr="002F5F38">
        <w:rPr>
          <w:rFonts w:eastAsia="Times New Roman" w:cs="Arial"/>
          <w:iCs/>
        </w:rPr>
        <w:t xml:space="preserve">substantially higher </w:t>
      </w:r>
      <w:r>
        <w:rPr>
          <w:rFonts w:eastAsia="Times New Roman" w:cs="Arial"/>
          <w:iCs/>
        </w:rPr>
        <w:t xml:space="preserve">- </w:t>
      </w:r>
      <w:r w:rsidRPr="002F5F38">
        <w:rPr>
          <w:rFonts w:eastAsia="Times New Roman" w:cs="Arial"/>
          <w:iCs/>
        </w:rPr>
        <w:t xml:space="preserve">equivalent to around </w:t>
      </w:r>
      <w:r w:rsidRPr="00115232">
        <w:rPr>
          <w:rFonts w:eastAsia="Times New Roman" w:cs="Arial"/>
          <w:iCs/>
        </w:rPr>
        <w:t>3,800</w:t>
      </w:r>
      <w:r w:rsidRPr="00115232">
        <w:rPr>
          <w:rFonts w:ascii="Arial" w:eastAsia="Times New Roman" w:hAnsi="Arial" w:cs="Arial"/>
          <w:iCs/>
        </w:rPr>
        <w:t> </w:t>
      </w:r>
      <w:r w:rsidRPr="00115232">
        <w:rPr>
          <w:rFonts w:eastAsia="Times New Roman" w:cs="Arial"/>
          <w:iCs/>
        </w:rPr>
        <w:t>mg/day</w:t>
      </w:r>
      <w:r>
        <w:rPr>
          <w:rFonts w:eastAsia="Times New Roman" w:cs="Arial"/>
          <w:iCs/>
        </w:rPr>
        <w:t xml:space="preserve"> </w:t>
      </w:r>
      <w:r>
        <w:rPr>
          <w:rFonts w:eastAsia="Times New Roman" w:cs="Arial"/>
          <w:iCs/>
        </w:rPr>
        <w:fldChar w:fldCharType="begin"/>
      </w:r>
      <w:r>
        <w:rPr>
          <w:rFonts w:eastAsia="Times New Roman" w:cs="Arial"/>
          <w:iCs/>
        </w:rPr>
        <w:instrText xml:space="preserve"> ADDIN EN.CITE &lt;EndNote&gt;&lt;Cite&gt;&lt;Author&gt;Land&lt;/Author&gt;&lt;Year&gt;2018&lt;/Year&gt;&lt;RecNum&gt;4560&lt;/RecNum&gt;&lt;DisplayText&gt;(Land et al., 2018)&lt;/DisplayText&gt;&lt;record&gt;&lt;rec-number&gt;4560&lt;/rec-number&gt;&lt;foreign-keys&gt;&lt;key app="EN" db-id="wwsdv2wwp29fenerv0kx5tw9zxtx2fdrprx2" timestamp="1764557317"&gt;4560&lt;/key&gt;&lt;/foreign-keys&gt;&lt;ref-type name="Journal Article"&gt;17&lt;/ref-type&gt;&lt;contributors&gt;&lt;authors&gt;&lt;author&gt;Land, M. A.&lt;/author&gt;&lt;author&gt;Neal, B. C.&lt;/author&gt;&lt;author&gt;Johnson, C.&lt;/author&gt;&lt;author&gt;Nowson, C. A.&lt;/author&gt;&lt;author&gt;Margerison, C.&lt;/author&gt;&lt;author&gt;Petersen, K. S.&lt;/author&gt;&lt;/authors&gt;&lt;/contributors&gt;&lt;titles&gt;&lt;title&gt;Salt consumption by Australian adults: a systematic review and meta-analysis&lt;/title&gt;&lt;secondary-title&gt;The Medical journal of Australia&lt;/secondary-title&gt;&lt;/titles&gt;&lt;periodical&gt;&lt;full-title&gt;The Medical journal of Australia&lt;/full-title&gt;&lt;/periodical&gt;&lt;pages&gt;75-81&lt;/pages&gt;&lt;volume&gt;208&lt;/volume&gt;&lt;number&gt;2&lt;/number&gt;&lt;dates&gt;&lt;year&gt;2018&lt;/year&gt;&lt;pub-dates&gt;&lt;date&gt;2018&lt;/date&gt;&lt;/pub-dates&gt;&lt;/dates&gt;&lt;isbn&gt;1326-5377&lt;/isbn&gt;&lt;urls&gt;&lt;/urls&gt;&lt;electronic-resource-num&gt;10.5694/mja17.00394&lt;/electronic-resource-num&gt;&lt;/record&gt;&lt;/Cite&gt;&lt;/EndNote&gt;</w:instrText>
      </w:r>
      <w:r>
        <w:rPr>
          <w:rFonts w:eastAsia="Times New Roman" w:cs="Arial"/>
          <w:iCs/>
        </w:rPr>
        <w:fldChar w:fldCharType="separate"/>
      </w:r>
      <w:r>
        <w:rPr>
          <w:rFonts w:eastAsia="Times New Roman" w:cs="Arial"/>
          <w:iCs/>
          <w:noProof/>
        </w:rPr>
        <w:t>(Land et al., 2018)</w:t>
      </w:r>
      <w:r>
        <w:rPr>
          <w:rFonts w:eastAsia="Times New Roman" w:cs="Arial"/>
          <w:iCs/>
        </w:rPr>
        <w:fldChar w:fldCharType="end"/>
      </w:r>
      <w:r w:rsidRPr="002F5F38">
        <w:rPr>
          <w:rFonts w:eastAsia="Times New Roman" w:cs="Arial"/>
          <w:iCs/>
        </w:rPr>
        <w:t>.</w:t>
      </w:r>
      <w:r w:rsidRPr="00115232">
        <w:t xml:space="preserve"> </w:t>
      </w:r>
      <w:r w:rsidRPr="002F5F38">
        <w:rPr>
          <w:rFonts w:eastAsia="Times New Roman" w:cs="Arial"/>
          <w:iCs/>
        </w:rPr>
        <w:t>A similar pattern is evident in New Zealand</w:t>
      </w:r>
      <w:r>
        <w:rPr>
          <w:rFonts w:eastAsia="Times New Roman" w:cs="Arial"/>
          <w:iCs/>
        </w:rPr>
        <w:t xml:space="preserve">; no national intake data are available and results from national modelling suggest intakes of around 2,500 mg/day among adults. However, </w:t>
      </w:r>
      <w:r w:rsidRPr="002F5F38">
        <w:rPr>
          <w:rFonts w:eastAsia="Times New Roman" w:cs="Arial"/>
          <w:iCs/>
        </w:rPr>
        <w:t xml:space="preserve">studies </w:t>
      </w:r>
      <w:r>
        <w:rPr>
          <w:rFonts w:eastAsia="Times New Roman" w:cs="Arial"/>
          <w:iCs/>
        </w:rPr>
        <w:t xml:space="preserve">reporting 24-hour urinary sodium excretion </w:t>
      </w:r>
      <w:r w:rsidRPr="002F5F38">
        <w:rPr>
          <w:rFonts w:eastAsia="Times New Roman" w:cs="Arial"/>
          <w:iCs/>
        </w:rPr>
        <w:t xml:space="preserve">suggest intakes </w:t>
      </w:r>
      <w:r>
        <w:rPr>
          <w:rFonts w:eastAsia="Times New Roman" w:cs="Arial"/>
          <w:iCs/>
        </w:rPr>
        <w:t xml:space="preserve">between </w:t>
      </w:r>
      <w:r w:rsidRPr="000A3FFF">
        <w:rPr>
          <w:rFonts w:eastAsia="Times New Roman" w:cs="Arial"/>
          <w:iCs/>
        </w:rPr>
        <w:t>3,200 and 3,400</w:t>
      </w:r>
      <w:r w:rsidRPr="000A3FFF">
        <w:rPr>
          <w:rFonts w:ascii="Arial" w:eastAsia="Times New Roman" w:hAnsi="Arial" w:cs="Arial"/>
          <w:iCs/>
        </w:rPr>
        <w:t> </w:t>
      </w:r>
      <w:r w:rsidRPr="000A3FFF">
        <w:rPr>
          <w:rFonts w:eastAsia="Times New Roman" w:cs="Arial"/>
          <w:iCs/>
        </w:rPr>
        <w:t>mg/day</w:t>
      </w:r>
      <w:r>
        <w:rPr>
          <w:rFonts w:eastAsia="Times New Roman" w:cs="Arial"/>
          <w:iCs/>
        </w:rPr>
        <w:t xml:space="preserve"> </w:t>
      </w:r>
      <w:r>
        <w:fldChar w:fldCharType="begin">
          <w:fldData xml:space="preserve">PEVuZE5vdGU+PENpdGU+PEF1dGhvcj5NY0xlYW48L0F1dGhvcj48WWVhcj4yMDE0PC9ZZWFyPjxS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</w:fldData>
        </w:fldChar>
      </w:r>
      <w:r>
        <w:instrText xml:space="preserve"> ADDIN EN.CITE </w:instrText>
      </w:r>
      <w:r>
        <w:fldChar w:fldCharType="begin">
          <w:fldData xml:space="preserve">PEVuZE5vdGU+PENpdGU+PEF1dGhvcj5NY0xlYW48L0F1dGhvcj48WWVhcj4yMDE0PC9ZZWFyPjxS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</w:fldData>
        </w:fldChar>
      </w:r>
      <w:r>
        <w:instrText xml:space="preserve"> ADDIN EN.CITE.DATA </w:instrText>
      </w:r>
      <w:r>
        <w:fldChar w:fldCharType="end"/>
      </w:r>
      <w:r>
        <w:fldChar w:fldCharType="separate"/>
      </w:r>
      <w:r>
        <w:rPr>
          <w:noProof/>
        </w:rPr>
        <w:t>(McLean et al., 2015; McLean et al., 2014; Wang et al., 2023)</w:t>
      </w:r>
      <w:r>
        <w:fldChar w:fldCharType="end"/>
      </w:r>
      <w:r>
        <w:rPr>
          <w:rFonts w:eastAsia="Times New Roman" w:cs="Arial"/>
          <w:iCs/>
        </w:rPr>
        <w:t xml:space="preserve">. </w:t>
      </w:r>
      <w:r w:rsidRPr="002F5F38">
        <w:rPr>
          <w:rFonts w:eastAsia="Times New Roman" w:cs="Arial"/>
          <w:iCs/>
        </w:rPr>
        <w:t xml:space="preserve"> </w:t>
      </w:r>
    </w:p>
    <w:p w14:paraId="3765EC67" w14:textId="71B736AF" w:rsidR="00F61D64" w:rsidRPr="00BB0551" w:rsidRDefault="00F61D64" w:rsidP="00F61D64">
      <w:pPr>
        <w:rPr>
          <w:rFonts w:eastAsia="Times New Roman" w:cs="Arial"/>
          <w:iCs/>
        </w:rPr>
      </w:pPr>
      <w:r>
        <w:t xml:space="preserve">National data suggests that almost two thirds of Australian adults </w:t>
      </w:r>
      <w:r w:rsidRPr="002B08E0">
        <w:t>(65.6% or 12.9 million)</w:t>
      </w:r>
      <w:r>
        <w:t xml:space="preserve"> have daily sodium intakes that exceed the SDT of 2000 mg/day in 2023</w:t>
      </w:r>
      <w:r w:rsidR="004D55C0">
        <w:t xml:space="preserve"> </w:t>
      </w:r>
      <w:r>
        <w:fldChar w:fldCharType="begin"/>
      </w:r>
      <w:r>
        <w:instrText xml:space="preserve"> ADDIN EN.CITE &lt;EndNote&gt;&lt;Cite ExcludeAuth="1"&gt;&lt;Author&gt;Australian Bureau of Statistics&lt;/Author&gt;&lt;Year&gt;2023&lt;/Year&gt;&lt;RecNum&gt;4635&lt;/RecNum&gt;&lt;Prefix&gt;ABS`,&lt;/Prefix&gt;&lt;DisplayText&gt;(ABS,2023c)&lt;/DisplayText&gt;&lt;record&gt;&lt;rec-number&gt;4635&lt;/rec-number&gt;&lt;foreign-keys&gt;&lt;key app="EN" db-id="wwsdv2wwp29fenerv0kx5tw9zxtx2fdrprx2" timestamp="1774930270"&gt;4635&lt;/key&gt;&lt;/foreign-keys&gt;&lt;ref-type name="Dataset"&gt;59&lt;/ref-type&gt;&lt;contributors&gt;&lt;authors&gt;&lt;author&gt;Australian Bureau of Statistics,&lt;/author&gt;&lt;/authors&gt;&lt;secondary-authors&gt;&lt;author&gt;Australian Bureau of Statistics,&lt;/author&gt;&lt;/secondary-authors&gt;&lt;/contributors&gt;&lt;titles&gt;&lt;title&gt;National Nutrition and Physical Activity Survey: Usual nutrient intakes&lt;/title&gt;&lt;/titles&gt;&lt;section&gt;17/03/2026&lt;/section&gt;&lt;dates&gt;&lt;year&gt;2023&lt;/year&gt;&lt;/dates&gt;&lt;pub-location&gt;Canberra&lt;/pub-location&gt;&lt;publisher&gt;ABS&lt;/publisher&gt;&lt;urls&gt;&lt;related-urls&gt;&lt;url&gt;https://www.abs.gov.au/statistics/health/food-and-nutrition/usual-nutrient-intakes/2023&lt;/url&gt;&lt;/related-urls&gt;&lt;/urls&gt;&lt;access-date&gt;31/03/2026&lt;/access-date&gt;&lt;/record&gt;&lt;/Cite&gt;&lt;/EndNote&gt;</w:instrText>
      </w:r>
      <w:r>
        <w:fldChar w:fldCharType="separate"/>
      </w:r>
      <w:r>
        <w:rPr>
          <w:noProof/>
        </w:rPr>
        <w:t>(ABS,2023c)</w:t>
      </w:r>
      <w:r>
        <w:fldChar w:fldCharType="end"/>
      </w:r>
      <w:r>
        <w:t xml:space="preserve">, whilst estimates from a smaller convenience sample of New Zealand adults report even higher rates with intakes with 77% of those sampled exceeding 2,300 mg/day in </w:t>
      </w:r>
      <w:r>
        <w:fldChar w:fldCharType="begin">
          <w:fldData xml:space="preserve">PEVuZE5vdGU+PENpdGU+PEF1dGhvcj5NY0xlYW48L0F1dGhvcj48WWVhcj4yMDE1PC9ZZWFyPjxS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</w:fldData>
        </w:fldChar>
      </w:r>
      <w:r>
        <w:instrText xml:space="preserve"> ADDIN EN.CITE </w:instrText>
      </w:r>
      <w:r>
        <w:fldChar w:fldCharType="begin">
          <w:fldData xml:space="preserve">PEVuZE5vdGU+PENpdGU+PEF1dGhvcj5NY0xlYW48L0F1dGhvcj48WWVhcj4yMDE1PC9ZZWFyPjxS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</w:fldData>
        </w:fldChar>
      </w:r>
      <w:r>
        <w:instrText xml:space="preserve"> ADDIN EN.CITE.DATA </w:instrText>
      </w:r>
      <w:r>
        <w:fldChar w:fldCharType="end"/>
      </w:r>
      <w:r>
        <w:fldChar w:fldCharType="separate"/>
      </w:r>
      <w:r>
        <w:rPr>
          <w:noProof/>
        </w:rPr>
        <w:t>(McLean et al., 2015)</w:t>
      </w:r>
      <w:r>
        <w:fldChar w:fldCharType="end"/>
      </w:r>
      <w:r>
        <w:t xml:space="preserve">. </w:t>
      </w:r>
      <w:r w:rsidRPr="002F5F38">
        <w:rPr>
          <w:rFonts w:eastAsia="Times New Roman" w:cs="Arial"/>
          <w:iCs/>
        </w:rPr>
        <w:t>Collectively, these data indicate that excess sodium intake is common across adult populations in both countries, with higher intakes among men and younger adults.</w:t>
      </w:r>
    </w:p>
    <w:p w14:paraId="5C2AFF69" w14:textId="77777777"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lastRenderedPageBreak/>
        <w:t>Benchmarking against comparable international jurisdictions</w:t>
      </w:r>
    </w:p>
    <w:p w14:paraId="789550BC" w14:textId="66987007" w:rsidR="00F61D64" w:rsidRPr="00BE06C2" w:rsidRDefault="00F61D64" w:rsidP="00F61D64">
      <w:pPr>
        <w:spacing w:after="120"/>
      </w:pPr>
      <w:r w:rsidRPr="00E9202C">
        <w:t xml:space="preserve">In </w:t>
      </w:r>
      <w:r>
        <w:t>2017</w:t>
      </w:r>
      <w:r w:rsidRPr="00E9202C">
        <w:t xml:space="preserve">, the sodium SDT for Australia and New Zealand </w:t>
      </w:r>
      <w:proofErr w:type="gramStart"/>
      <w:r w:rsidRPr="00E9202C">
        <w:t>was</w:t>
      </w:r>
      <w:proofErr w:type="gramEnd"/>
      <w:r w:rsidRPr="00E9202C">
        <w:t xml:space="preserve"> increased from 1,600 mg/day to 2,000 mg/day </w:t>
      </w:r>
      <w:r>
        <w:t xml:space="preserve">and the adult </w:t>
      </w:r>
      <w:hyperlink r:id="rId242" w:anchor="UL" w:history="1">
        <w:r w:rsidRPr="0033570A">
          <w:rPr>
            <w:rStyle w:val="Hyperlink"/>
            <w:rFonts w:eastAsiaTheme="majorEastAsia"/>
          </w:rPr>
          <w:t>UL</w:t>
        </w:r>
      </w:hyperlink>
      <w:r>
        <w:t xml:space="preserve"> was changed from </w:t>
      </w:r>
      <w:r w:rsidRPr="0033570A">
        <w:t xml:space="preserve">2,300 mg/day to ‘not determined’ reflecting the inability to identify a single point </w:t>
      </w:r>
      <w:r>
        <w:t xml:space="preserve">of sodium exposure </w:t>
      </w:r>
      <w:r w:rsidRPr="0033570A">
        <w:t>below which there is low risk</w:t>
      </w:r>
      <w:r>
        <w:t xml:space="preserve">. These changes aimed to provide a more </w:t>
      </w:r>
      <w:r w:rsidRPr="00E9202C">
        <w:t xml:space="preserve">realistic targeted </w:t>
      </w:r>
      <w:r>
        <w:t>approach</w:t>
      </w:r>
      <w:r w:rsidRPr="00E9202C">
        <w:t xml:space="preserve"> that represents a total diet that meets all nutritional requirements</w:t>
      </w:r>
      <w:r>
        <w:t xml:space="preserve"> and prevents chronic disease</w:t>
      </w:r>
      <w:r w:rsidRPr="00E9202C">
        <w:t xml:space="preserve">, given the current food supply. </w:t>
      </w:r>
      <w:r>
        <w:t xml:space="preserve">The current CDRR (formerly SDT) recommendation is presented at </w:t>
      </w:r>
      <w:r>
        <w:fldChar w:fldCharType="begin"/>
      </w:r>
      <w:r>
        <w:instrText xml:space="preserve"> REF _Ref227079373 \h  \* MERGEFORMAT </w:instrText>
      </w:r>
      <w:r>
        <w:fldChar w:fldCharType="separate"/>
      </w:r>
      <w:r w:rsidR="002651BD">
        <w:t xml:space="preserve">Table </w:t>
      </w:r>
      <w:r w:rsidR="002651BD">
        <w:rPr>
          <w:noProof/>
        </w:rPr>
        <w:t>27</w:t>
      </w:r>
      <w:r>
        <w:fldChar w:fldCharType="end"/>
      </w:r>
      <w:r>
        <w:t xml:space="preserve">, along with recommendations from comparable international jurisdictions for benchmarking purposes. Critically, the current recommendation was not based on a physiological threshold or reference study, rather it represented a pragmatic </w:t>
      </w:r>
      <w:r w:rsidRPr="00BE06C2">
        <w:t xml:space="preserve">population target selected </w:t>
      </w:r>
      <w:r>
        <w:t xml:space="preserve">in the context of </w:t>
      </w:r>
      <w:r w:rsidRPr="00BE06C2">
        <w:t xml:space="preserve">a continuous intake–risk relationship, </w:t>
      </w:r>
      <w:r>
        <w:t xml:space="preserve">in which </w:t>
      </w:r>
      <w:r w:rsidRPr="00BE06C2">
        <w:t>lower sodium intake is consistently associated with lower blood pressure</w:t>
      </w:r>
      <w:r>
        <w:t>.</w:t>
      </w:r>
    </w:p>
    <w:p w14:paraId="1347243A" w14:textId="77777777" w:rsidR="00F61D64" w:rsidRPr="00E9202C" w:rsidRDefault="00F61D64" w:rsidP="00F61D64">
      <w:pPr>
        <w:spacing w:after="120"/>
      </w:pPr>
      <w:r>
        <w:rPr>
          <w:lang w:eastAsia="en-AU"/>
        </w:rPr>
        <w:t xml:space="preserve">In 2019, the US NASEM established its CDRR for sodium at 2,300 mg/day </w:t>
      </w:r>
      <w:r>
        <w:rPr>
          <w:lang w:eastAsia="en-AU"/>
        </w:rPr>
        <w:fldChar w:fldCharType="begin"/>
      </w:r>
      <w:r>
        <w:rPr>
          <w:lang w:eastAsia="en-AU"/>
        </w:rPr>
        <w:instrText xml:space="preserve"> ADDIN EN.CITE &lt;EndNote&gt;&lt;Cite ExcludeAuth="1"&gt;&lt;Author&gt;National Academies of Sciences&lt;/Author&gt;&lt;Year&gt;2019&lt;/Year&gt;&lt;RecNum&gt;4618&lt;/RecNum&gt;&lt;Prefix&gt;NASEM`, &lt;/Prefix&gt;&lt;DisplayText&gt;(NASEM, 2019)&lt;/DisplayText&gt;&lt;record&gt;&lt;rec-number&gt;4618&lt;/rec-number&gt;&lt;foreign-keys&gt;&lt;key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Pr>
          <w:lang w:eastAsia="en-AU"/>
        </w:rPr>
        <w:fldChar w:fldCharType="separate"/>
      </w:r>
      <w:r>
        <w:rPr>
          <w:noProof/>
          <w:lang w:eastAsia="en-AU"/>
        </w:rPr>
        <w:t>(NASEM, 2019)</w:t>
      </w:r>
      <w:r>
        <w:rPr>
          <w:lang w:eastAsia="en-AU"/>
        </w:rPr>
        <w:fldChar w:fldCharType="end"/>
      </w:r>
      <w:r>
        <w:rPr>
          <w:lang w:eastAsia="en-AU"/>
        </w:rPr>
        <w:t xml:space="preserve">. This recommendation was </w:t>
      </w:r>
      <w:r w:rsidRPr="00E9202C">
        <w:t xml:space="preserve">based on evidence from sodium reduction trials and cardiovascular outcomes including incident cardiovascular disease, hypertension, and blood pressure (SBP and DBP). </w:t>
      </w:r>
      <w:r>
        <w:t xml:space="preserve">It </w:t>
      </w:r>
      <w:r w:rsidRPr="00E9202C">
        <w:t>note</w:t>
      </w:r>
      <w:r>
        <w:t>d</w:t>
      </w:r>
      <w:r w:rsidRPr="00E9202C">
        <w:t xml:space="preserve"> that while sodium intakes below the CDRR of 2,300 mg/day are expected to demonstrate a further lowering effect on blood pressure, the relationship between further reductions in blood pressure and chronic disease risk could not be characterised </w:t>
      </w:r>
      <w:r w:rsidRPr="00E9202C">
        <w:fldChar w:fldCharType="begin"/>
      </w:r>
      <w:r w:rsidRPr="00E9202C">
        <w:instrText xml:space="preserve"> ADDIN EN.CITE &lt;EndNote&gt;&lt;Cite ExcludeAuth="1"&gt;&lt;Author&gt;National Academies of Sciences&lt;/Author&gt;&lt;Year&gt;2019&lt;/Year&gt;&lt;RecNum&gt;4618&lt;/RecNum&gt;&lt;Prefix&gt;NASEM`, &lt;/Prefix&gt;&lt;DisplayText&gt;(NASEM, 2019)&lt;/DisplayText&gt;&lt;record&gt;&lt;rec-number&gt;4618&lt;/rec-number&gt;&lt;foreign-keys&gt;&lt;key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sidRPr="00E9202C">
        <w:fldChar w:fldCharType="separate"/>
      </w:r>
      <w:r w:rsidRPr="00E9202C">
        <w:rPr>
          <w:noProof/>
        </w:rPr>
        <w:t>(NASEM, 2019)</w:t>
      </w:r>
      <w:r w:rsidRPr="00E9202C">
        <w:fldChar w:fldCharType="end"/>
      </w:r>
      <w:r w:rsidRPr="00E9202C">
        <w:t>.</w:t>
      </w:r>
    </w:p>
    <w:p w14:paraId="2B457626" w14:textId="77777777" w:rsidR="00F61D64" w:rsidRPr="00E9202C" w:rsidRDefault="00F61D64" w:rsidP="00F61D64">
      <w:pPr>
        <w:spacing w:after="120"/>
      </w:pPr>
      <w:r w:rsidRPr="00E9202C">
        <w:t xml:space="preserve">The NASEM CDRR of 2,300 mg/day was also adopted by the 2023 Nordic Nutrition Recommendations </w:t>
      </w:r>
      <w:r w:rsidRPr="00E9202C">
        <w:rPr>
          <w:lang w:eastAsia="en-AU"/>
        </w:rPr>
        <w:fldChar w:fldCharType="begin"/>
      </w:r>
      <w:r w:rsidRPr="00E9202C">
        <w:rPr>
          <w:lang w:eastAsia="en-AU"/>
        </w:rPr>
        <w:instrText xml:space="preserve"> ADDIN EN.CITE &lt;EndNote&gt;&lt;Cite&gt;&lt;Author&gt;Blomhoff&lt;/Author&gt;&lt;Year&gt;2023&lt;/Year&gt;&lt;RecNum&gt;4617&lt;/RecNum&gt;&lt;DisplayText&gt;(Blomhoff et al., 2023)&lt;/DisplayText&gt;&lt;record&gt;&lt;rec-number&gt;4617&lt;/rec-number&gt;&lt;foreign-keys&gt;&lt;key app="EN" db-id="wwsdv2wwp29fenerv0kx5tw9zxtx2fdrprx2" timestamp="1774921009"&gt;4617&lt;/key&gt;&lt;/foreign-keys&gt;&lt;ref-type name="Book"&gt;6&lt;/ref-type&gt;&lt;contributors&gt;&lt;authors&gt;&lt;author&gt;Blomhoff, Rune&lt;/author&gt;&lt;author&gt;Andersen, Rikke&lt;/author&gt;&lt;author&gt;Arnesen, Erik&lt;/author&gt;&lt;author&gt;Christensen, Jacob&lt;/author&gt;&lt;author&gt;Eneroth, Hanna&lt;/author&gt;&lt;author&gt;Erkkola, Maijaliisa&lt;/author&gt;&lt;author&gt;Gudanaviciene, Ieva&lt;/author&gt;&lt;author&gt;Høyer-Lund, Anne&lt;/author&gt;&lt;author&gt;Lemming, Eva&lt;/author&gt;&lt;author&gt;Meltzer, Helle&lt;/author&gt;&lt;author&gt;Pitsi, Tagli&lt;/author&gt;&lt;author&gt;Siksna, Inese&lt;/author&gt;&lt;author&gt;Thorsdottir, Inga&lt;/author&gt;&lt;author&gt;Trolle, Ellen&lt;/author&gt;&lt;/authors&gt;&lt;/contributors&gt;&lt;titles&gt;&lt;title&gt;Nordic Nutrition Recommendations 2023&lt;/title&gt;&lt;/titles&gt;&lt;dates&gt;&lt;year&gt;2023&lt;/year&gt;&lt;/dates&gt;&lt;isbn&gt;9789289375344&lt;/isbn&gt;&lt;urls&gt;&lt;/urls&gt;&lt;electronic-resource-num&gt;10.6027/nord2023-003&lt;/electronic-resource-num&gt;&lt;/record&gt;&lt;/Cite&gt;&lt;/EndNote&gt;</w:instrText>
      </w:r>
      <w:r w:rsidRPr="00E9202C">
        <w:rPr>
          <w:lang w:eastAsia="en-AU"/>
        </w:rPr>
        <w:fldChar w:fldCharType="separate"/>
      </w:r>
      <w:r w:rsidRPr="00E9202C">
        <w:rPr>
          <w:noProof/>
          <w:lang w:eastAsia="en-AU"/>
        </w:rPr>
        <w:t>(Blomhoff et al., 2023)</w:t>
      </w:r>
      <w:r w:rsidRPr="00E9202C">
        <w:rPr>
          <w:lang w:eastAsia="en-AU"/>
        </w:rPr>
        <w:fldChar w:fldCharType="end"/>
      </w:r>
      <w:r w:rsidRPr="00E9202C">
        <w:rPr>
          <w:lang w:eastAsia="en-AU"/>
        </w:rPr>
        <w:t>.</w:t>
      </w:r>
    </w:p>
    <w:p w14:paraId="22D268AC" w14:textId="77777777" w:rsidR="00F61D64" w:rsidRDefault="00F61D64" w:rsidP="00F61D64">
      <w:pPr>
        <w:spacing w:after="120"/>
      </w:pPr>
      <w:r>
        <w:t>E</w:t>
      </w:r>
      <w:r w:rsidRPr="00E9202C">
        <w:t xml:space="preserve">FSA established a ‘safe and adequate’ intake; a hybrid NRV reflecting a level of intake that is sufficient for maintaining sodium </w:t>
      </w:r>
      <w:proofErr w:type="gramStart"/>
      <w:r w:rsidRPr="00E9202C">
        <w:t>balance, and</w:t>
      </w:r>
      <w:proofErr w:type="gramEnd"/>
      <w:r w:rsidRPr="00E9202C">
        <w:t xml:space="preserve"> associated with a reduced risk of adverse health effects. The value of 2,000 mg/day was selected for all adults, using an Expert Knowledge Elicitation approach that considered </w:t>
      </w:r>
      <w:r>
        <w:t xml:space="preserve">evidence for the relationship between sodium reduction and blood pressure levels or CVD risk, and levels required to maintain null sodium balance. Collectively, this evidence was then integrated to arrive at a final recommendation </w:t>
      </w:r>
      <w:r>
        <w:fldChar w:fldCharType="begin"/>
      </w:r>
      <w:r>
        <w:instrText xml:space="preserve"> ADDIN EN.CITE &lt;EndNote&gt;&lt;Cite ExcludeAuth="1"&gt;&lt;Author&gt;European Food Safety Authority&lt;/Author&gt;&lt;Year&gt;2019&lt;/Year&gt;&lt;RecNum&gt;1&lt;/RecNum&gt;&lt;Prefix&gt;EFSA`, &lt;/Prefix&gt;&lt;DisplayText&gt;(EFSA, 2019)&lt;/DisplayText&gt;&lt;record&gt;&lt;rec-number&gt;1&lt;/rec-number&gt;&lt;foreign-keys&gt;&lt;key app="EN" db-id="s590v22vexrwt2e9f9pxtw9mrep5aa2dr2s0" timestamp="1774919572"&gt;1&lt;/key&gt;&lt;/foreign-keys&gt;&lt;ref-type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EndNote&gt;</w:instrText>
      </w:r>
      <w:r>
        <w:fldChar w:fldCharType="separate"/>
      </w:r>
      <w:r>
        <w:rPr>
          <w:noProof/>
        </w:rPr>
        <w:t>(EFSA, 2019)</w:t>
      </w:r>
      <w:r>
        <w:fldChar w:fldCharType="end"/>
      </w:r>
      <w:r>
        <w:t>.</w:t>
      </w:r>
    </w:p>
    <w:p w14:paraId="7D06524B" w14:textId="617A355D" w:rsidR="00F61D64" w:rsidRDefault="00F61D64" w:rsidP="00F61D64">
      <w:pPr>
        <w:pStyle w:val="Caption"/>
        <w:keepNext/>
      </w:pPr>
      <w:bookmarkStart w:id="179" w:name="_Ref227079373"/>
      <w:r>
        <w:t xml:space="preserve">Table </w:t>
      </w:r>
      <w:r>
        <w:fldChar w:fldCharType="begin"/>
      </w:r>
      <w:r>
        <w:instrText>SEQ Table \* ARABIC</w:instrText>
      </w:r>
      <w:r>
        <w:fldChar w:fldCharType="separate"/>
      </w:r>
      <w:r w:rsidR="00B90577">
        <w:rPr>
          <w:noProof/>
        </w:rPr>
        <w:t>26</w:t>
      </w:r>
      <w:r>
        <w:fldChar w:fldCharType="end"/>
      </w:r>
      <w:bookmarkEnd w:id="179"/>
      <w:r>
        <w:t xml:space="preserve"> - Adult SDT (or CDRR) recommendations from comparable international jurisdictions</w:t>
      </w:r>
    </w:p>
    <w:tbl>
      <w:tblPr>
        <w:tblW w:w="12501"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Look w:val="04A0" w:firstRow="1" w:lastRow="0" w:firstColumn="1" w:lastColumn="0" w:noHBand="0" w:noVBand="1"/>
      </w:tblPr>
      <w:tblGrid>
        <w:gridCol w:w="1909"/>
        <w:gridCol w:w="1524"/>
        <w:gridCol w:w="1453"/>
        <w:gridCol w:w="1276"/>
        <w:gridCol w:w="1276"/>
        <w:gridCol w:w="1377"/>
        <w:gridCol w:w="1843"/>
        <w:gridCol w:w="1843"/>
      </w:tblGrid>
      <w:tr w:rsidR="00F61D64" w:rsidRPr="00E9202C" w14:paraId="03286916" w14:textId="77777777" w:rsidTr="003A31ED">
        <w:trPr>
          <w:cantSplit/>
          <w:trHeight w:val="1447"/>
        </w:trPr>
        <w:tc>
          <w:tcPr>
            <w:tcW w:w="1909" w:type="dxa"/>
            <w:shd w:val="clear" w:color="auto" w:fill="005F85"/>
            <w:vAlign w:val="bottom"/>
            <w:hideMark/>
          </w:tcPr>
          <w:p w14:paraId="768FEFD8"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Age (years)</w:t>
            </w:r>
          </w:p>
        </w:tc>
        <w:tc>
          <w:tcPr>
            <w:tcW w:w="1524" w:type="dxa"/>
            <w:tcBorders>
              <w:bottom w:val="single" w:sz="4" w:space="0" w:color="156082" w:themeColor="accent1"/>
            </w:tcBorders>
            <w:shd w:val="clear" w:color="auto" w:fill="005F85"/>
            <w:vAlign w:val="center"/>
          </w:tcPr>
          <w:p w14:paraId="0AF12131"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Aust/NZ – P</w:t>
            </w:r>
            <w:r>
              <w:rPr>
                <w:rFonts w:eastAsia="Times New Roman" w:cs="Times New Roman"/>
                <w:b/>
                <w:bCs/>
                <w:color w:val="FFFFFF"/>
                <w:kern w:val="0"/>
                <w:sz w:val="20"/>
                <w:szCs w:val="20"/>
                <w:lang w:eastAsia="en-AU"/>
                <w14:ligatures w14:val="none"/>
              </w:rPr>
              <w:t xml:space="preserve">otential increase to </w:t>
            </w:r>
          </w:p>
          <w:p w14:paraId="5F9301AE"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Pr>
                <w:rFonts w:eastAsia="Times New Roman" w:cs="Times New Roman"/>
                <w:b/>
                <w:bCs/>
                <w:color w:val="FFFFFF"/>
                <w:kern w:val="0"/>
                <w:sz w:val="20"/>
                <w:szCs w:val="20"/>
                <w:lang w:eastAsia="en-AU"/>
                <w14:ligatures w14:val="none"/>
              </w:rPr>
              <w:t>CDRR</w:t>
            </w:r>
          </w:p>
          <w:p w14:paraId="25B468D9"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w:t>
            </w:r>
            <w:r>
              <w:rPr>
                <w:rFonts w:eastAsia="Times New Roman" w:cs="Times New Roman"/>
                <w:b/>
                <w:bCs/>
                <w:color w:val="FFFFFF"/>
                <w:sz w:val="20"/>
                <w:szCs w:val="20"/>
              </w:rPr>
              <w:t>m</w:t>
            </w:r>
            <w:r w:rsidRPr="00E9202C">
              <w:rPr>
                <w:rFonts w:eastAsia="Times New Roman" w:cs="Times New Roman"/>
                <w:b/>
                <w:bCs/>
                <w:color w:val="FFFFFF"/>
                <w:sz w:val="20"/>
                <w:szCs w:val="20"/>
              </w:rPr>
              <w:t>g/day)</w:t>
            </w:r>
          </w:p>
        </w:tc>
        <w:tc>
          <w:tcPr>
            <w:tcW w:w="1453" w:type="dxa"/>
            <w:tcBorders>
              <w:bottom w:val="single" w:sz="4" w:space="0" w:color="156082" w:themeColor="accent1"/>
            </w:tcBorders>
            <w:shd w:val="clear" w:color="auto" w:fill="005F85"/>
            <w:vAlign w:val="center"/>
            <w:hideMark/>
          </w:tcPr>
          <w:p w14:paraId="1527113F"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Aust/NZ -Current</w:t>
            </w:r>
          </w:p>
          <w:p w14:paraId="16CD4B25"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(NHMRC 2006)</w:t>
            </w:r>
          </w:p>
          <w:p w14:paraId="5CC89931"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CDRR</w:t>
            </w:r>
          </w:p>
          <w:p w14:paraId="16A9C2F9"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w:t>
            </w:r>
            <w:r>
              <w:rPr>
                <w:rFonts w:eastAsia="Times New Roman" w:cs="Times New Roman"/>
                <w:b/>
                <w:bCs/>
                <w:color w:val="FFFFFF"/>
                <w:sz w:val="20"/>
                <w:szCs w:val="20"/>
              </w:rPr>
              <w:t>m</w:t>
            </w:r>
            <w:r w:rsidRPr="00E9202C">
              <w:rPr>
                <w:rFonts w:eastAsia="Times New Roman" w:cs="Times New Roman"/>
                <w:b/>
                <w:bCs/>
                <w:color w:val="FFFFFF"/>
                <w:sz w:val="20"/>
                <w:szCs w:val="20"/>
              </w:rPr>
              <w:t>g/day)</w:t>
            </w:r>
          </w:p>
        </w:tc>
        <w:tc>
          <w:tcPr>
            <w:tcW w:w="1276" w:type="dxa"/>
            <w:shd w:val="clear" w:color="auto" w:fill="005F85"/>
            <w:vAlign w:val="center"/>
            <w:hideMark/>
          </w:tcPr>
          <w:p w14:paraId="09A97997"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European Union</w:t>
            </w:r>
          </w:p>
          <w:p w14:paraId="45AA52FF"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(EFSA 2019)</w:t>
            </w:r>
          </w:p>
          <w:p w14:paraId="323EE2DE"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‘Safe and Adequate intake’</w:t>
            </w:r>
          </w:p>
          <w:p w14:paraId="31923D82"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w:t>
            </w:r>
            <w:r>
              <w:rPr>
                <w:rFonts w:eastAsia="Times New Roman" w:cs="Times New Roman"/>
                <w:b/>
                <w:bCs/>
                <w:color w:val="FFFFFF"/>
                <w:sz w:val="20"/>
                <w:szCs w:val="20"/>
              </w:rPr>
              <w:t>m</w:t>
            </w:r>
            <w:r w:rsidRPr="00E9202C">
              <w:rPr>
                <w:rFonts w:eastAsia="Times New Roman" w:cs="Times New Roman"/>
                <w:b/>
                <w:bCs/>
                <w:color w:val="FFFFFF"/>
                <w:sz w:val="20"/>
                <w:szCs w:val="20"/>
              </w:rPr>
              <w:t>g/day)*</w:t>
            </w:r>
          </w:p>
        </w:tc>
        <w:tc>
          <w:tcPr>
            <w:tcW w:w="1276" w:type="dxa"/>
            <w:shd w:val="clear" w:color="auto" w:fill="005F85"/>
            <w:vAlign w:val="center"/>
          </w:tcPr>
          <w:p w14:paraId="524E7C6B"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United States</w:t>
            </w:r>
          </w:p>
          <w:p w14:paraId="2807E6B2"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(NASEM 2018)</w:t>
            </w:r>
          </w:p>
          <w:p w14:paraId="5229FBA0"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CDRR</w:t>
            </w:r>
          </w:p>
          <w:p w14:paraId="2FA71579"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w:t>
            </w:r>
            <w:r>
              <w:rPr>
                <w:rFonts w:eastAsia="Times New Roman" w:cs="Times New Roman"/>
                <w:b/>
                <w:bCs/>
                <w:color w:val="FFFFFF"/>
                <w:kern w:val="0"/>
                <w:sz w:val="20"/>
                <w:szCs w:val="20"/>
                <w:lang w:eastAsia="en-AU"/>
                <w14:ligatures w14:val="none"/>
              </w:rPr>
              <w:t>m</w:t>
            </w:r>
            <w:r w:rsidRPr="00E9202C">
              <w:rPr>
                <w:rFonts w:eastAsia="Times New Roman" w:cs="Times New Roman"/>
                <w:b/>
                <w:bCs/>
                <w:color w:val="FFFFFF"/>
                <w:sz w:val="20"/>
                <w:szCs w:val="20"/>
              </w:rPr>
              <w:t>g/day)</w:t>
            </w:r>
          </w:p>
        </w:tc>
        <w:tc>
          <w:tcPr>
            <w:tcW w:w="1377" w:type="dxa"/>
            <w:shd w:val="clear" w:color="auto" w:fill="005F85"/>
            <w:vAlign w:val="center"/>
            <w:hideMark/>
          </w:tcPr>
          <w:p w14:paraId="37EF8F76"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Nordic and Baltic</w:t>
            </w:r>
          </w:p>
          <w:p w14:paraId="7C5F66CC"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(NNR 2023)</w:t>
            </w:r>
          </w:p>
          <w:p w14:paraId="72F7A481"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CDRRI</w:t>
            </w:r>
          </w:p>
          <w:p w14:paraId="216EE792"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w:t>
            </w:r>
            <w:r>
              <w:rPr>
                <w:rFonts w:eastAsia="Times New Roman" w:cs="Times New Roman"/>
                <w:b/>
                <w:bCs/>
                <w:color w:val="FFFFFF"/>
                <w:sz w:val="20"/>
                <w:szCs w:val="20"/>
              </w:rPr>
              <w:t>m</w:t>
            </w:r>
            <w:r w:rsidRPr="00E9202C">
              <w:rPr>
                <w:rFonts w:eastAsia="Times New Roman" w:cs="Times New Roman"/>
                <w:b/>
                <w:bCs/>
                <w:color w:val="FFFFFF"/>
                <w:sz w:val="20"/>
                <w:szCs w:val="20"/>
              </w:rPr>
              <w:t>g/day)</w:t>
            </w:r>
          </w:p>
        </w:tc>
        <w:tc>
          <w:tcPr>
            <w:tcW w:w="1843" w:type="dxa"/>
            <w:shd w:val="clear" w:color="auto" w:fill="005F85"/>
            <w:vAlign w:val="center"/>
          </w:tcPr>
          <w:p w14:paraId="36B68583"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Germany, Austria, Switzerland (DACH 2013)</w:t>
            </w:r>
          </w:p>
          <w:p w14:paraId="132CB248"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CDRR</w:t>
            </w:r>
          </w:p>
          <w:p w14:paraId="34C036C5"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sidRPr="00E9202C">
              <w:rPr>
                <w:rFonts w:eastAsia="Times New Roman" w:cs="Times New Roman"/>
                <w:b/>
                <w:bCs/>
                <w:color w:val="FFFFFF"/>
                <w:kern w:val="0"/>
                <w:sz w:val="20"/>
                <w:szCs w:val="20"/>
                <w:lang w:eastAsia="en-AU"/>
                <w14:ligatures w14:val="none"/>
              </w:rPr>
              <w:t>(</w:t>
            </w:r>
            <w:r>
              <w:rPr>
                <w:rFonts w:eastAsia="Times New Roman" w:cs="Times New Roman"/>
                <w:b/>
                <w:bCs/>
                <w:color w:val="FFFFFF"/>
                <w:sz w:val="20"/>
                <w:szCs w:val="20"/>
              </w:rPr>
              <w:t>m</w:t>
            </w:r>
            <w:r w:rsidRPr="00E9202C">
              <w:rPr>
                <w:rFonts w:eastAsia="Times New Roman" w:cs="Times New Roman"/>
                <w:b/>
                <w:bCs/>
                <w:color w:val="FFFFFF"/>
                <w:sz w:val="20"/>
                <w:szCs w:val="20"/>
              </w:rPr>
              <w:t>g/day)</w:t>
            </w:r>
          </w:p>
        </w:tc>
        <w:tc>
          <w:tcPr>
            <w:tcW w:w="1843" w:type="dxa"/>
            <w:shd w:val="clear" w:color="auto" w:fill="005F85"/>
          </w:tcPr>
          <w:p w14:paraId="4D01E966" w14:textId="77777777" w:rsidR="00F61D64" w:rsidRDefault="00F61D64" w:rsidP="003A31ED">
            <w:pPr>
              <w:spacing w:after="0" w:line="240" w:lineRule="auto"/>
              <w:jc w:val="center"/>
              <w:rPr>
                <w:rFonts w:eastAsia="Times New Roman" w:cs="Times New Roman"/>
                <w:b/>
                <w:bCs/>
                <w:color w:val="FFFFFF"/>
                <w:kern w:val="0"/>
                <w:sz w:val="20"/>
                <w:szCs w:val="20"/>
                <w:lang w:eastAsia="en-AU"/>
                <w14:ligatures w14:val="none"/>
              </w:rPr>
            </w:pPr>
            <w:r>
              <w:rPr>
                <w:rFonts w:eastAsia="Times New Roman" w:cs="Times New Roman"/>
                <w:b/>
                <w:bCs/>
                <w:color w:val="FFFFFF"/>
                <w:kern w:val="0"/>
                <w:sz w:val="20"/>
                <w:szCs w:val="20"/>
                <w:lang w:eastAsia="en-AU"/>
                <w14:ligatures w14:val="none"/>
              </w:rPr>
              <w:t xml:space="preserve">WHO Guidelines </w:t>
            </w:r>
          </w:p>
          <w:p w14:paraId="5D63D2FB" w14:textId="77777777" w:rsidR="00F61D64" w:rsidRDefault="00F61D64" w:rsidP="003A31ED">
            <w:pPr>
              <w:spacing w:after="0" w:line="240" w:lineRule="auto"/>
              <w:jc w:val="center"/>
              <w:rPr>
                <w:rFonts w:eastAsia="Times New Roman" w:cs="Times New Roman"/>
                <w:b/>
                <w:bCs/>
                <w:color w:val="FFFFFF"/>
                <w:kern w:val="0"/>
                <w:sz w:val="20"/>
                <w:szCs w:val="20"/>
                <w:lang w:eastAsia="en-AU"/>
                <w14:ligatures w14:val="none"/>
              </w:rPr>
            </w:pPr>
            <w:r>
              <w:rPr>
                <w:rFonts w:eastAsia="Times New Roman" w:cs="Times New Roman"/>
                <w:b/>
                <w:bCs/>
                <w:color w:val="FFFFFF"/>
                <w:kern w:val="0"/>
                <w:sz w:val="20"/>
                <w:szCs w:val="20"/>
                <w:lang w:eastAsia="en-AU"/>
                <w14:ligatures w14:val="none"/>
              </w:rPr>
              <w:t>(WHO 2012)</w:t>
            </w:r>
          </w:p>
          <w:p w14:paraId="59A1DAB9" w14:textId="77777777" w:rsidR="00F61D64" w:rsidRDefault="00F61D64" w:rsidP="003A31ED">
            <w:pPr>
              <w:spacing w:after="0" w:line="240" w:lineRule="auto"/>
              <w:jc w:val="center"/>
              <w:rPr>
                <w:rFonts w:eastAsia="Times New Roman" w:cs="Times New Roman"/>
                <w:b/>
                <w:bCs/>
                <w:color w:val="FFFFFF"/>
                <w:kern w:val="0"/>
                <w:sz w:val="20"/>
                <w:szCs w:val="20"/>
                <w:lang w:eastAsia="en-AU"/>
                <w14:ligatures w14:val="none"/>
              </w:rPr>
            </w:pPr>
            <w:r>
              <w:rPr>
                <w:rFonts w:eastAsia="Times New Roman" w:cs="Times New Roman"/>
                <w:b/>
                <w:bCs/>
                <w:color w:val="FFFFFF"/>
                <w:kern w:val="0"/>
                <w:sz w:val="20"/>
                <w:szCs w:val="20"/>
                <w:lang w:eastAsia="en-AU"/>
                <w14:ligatures w14:val="none"/>
              </w:rPr>
              <w:t>CDRR</w:t>
            </w:r>
          </w:p>
          <w:p w14:paraId="3150C87E" w14:textId="77777777" w:rsidR="00F61D64" w:rsidRPr="00E9202C" w:rsidRDefault="00F61D64" w:rsidP="003A31ED">
            <w:pPr>
              <w:spacing w:after="0" w:line="240" w:lineRule="auto"/>
              <w:jc w:val="center"/>
              <w:rPr>
                <w:rFonts w:eastAsia="Times New Roman" w:cs="Times New Roman"/>
                <w:b/>
                <w:bCs/>
                <w:color w:val="FFFFFF"/>
                <w:kern w:val="0"/>
                <w:sz w:val="20"/>
                <w:szCs w:val="20"/>
                <w:lang w:eastAsia="en-AU"/>
                <w14:ligatures w14:val="none"/>
              </w:rPr>
            </w:pPr>
            <w:r>
              <w:rPr>
                <w:rFonts w:eastAsia="Times New Roman" w:cs="Times New Roman"/>
                <w:b/>
                <w:bCs/>
                <w:color w:val="FFFFFF"/>
                <w:kern w:val="0"/>
                <w:sz w:val="20"/>
                <w:szCs w:val="20"/>
                <w:lang w:eastAsia="en-AU"/>
                <w14:ligatures w14:val="none"/>
              </w:rPr>
              <w:t>(mg/day)</w:t>
            </w:r>
          </w:p>
        </w:tc>
      </w:tr>
      <w:tr w:rsidR="00F61D64" w:rsidRPr="00E9202C" w14:paraId="7A0AEE75" w14:textId="77777777" w:rsidTr="003A31ED">
        <w:trPr>
          <w:cantSplit/>
          <w:trHeight w:val="300"/>
        </w:trPr>
        <w:tc>
          <w:tcPr>
            <w:tcW w:w="1909" w:type="dxa"/>
            <w:noWrap/>
            <w:vAlign w:val="center"/>
          </w:tcPr>
          <w:p w14:paraId="40542644" w14:textId="77777777" w:rsidR="00F61D64" w:rsidRPr="00E9202C" w:rsidRDefault="00F61D64" w:rsidP="003A31ED">
            <w:pPr>
              <w:spacing w:after="0" w:line="240" w:lineRule="auto"/>
              <w:jc w:val="center"/>
              <w:rPr>
                <w:rFonts w:eastAsia="Times New Roman" w:cs="Times New Roman"/>
                <w:color w:val="000000"/>
                <w:kern w:val="0"/>
                <w:sz w:val="20"/>
                <w:szCs w:val="20"/>
                <w:lang w:eastAsia="en-AU"/>
                <w14:ligatures w14:val="none"/>
              </w:rPr>
            </w:pPr>
            <w:r w:rsidRPr="00E9202C">
              <w:rPr>
                <w:rFonts w:eastAsia="Times New Roman" w:cs="Times New Roman"/>
                <w:color w:val="000000"/>
                <w:kern w:val="0"/>
                <w:sz w:val="20"/>
                <w:szCs w:val="20"/>
                <w:lang w:eastAsia="en-AU"/>
                <w14:ligatures w14:val="none"/>
              </w:rPr>
              <w:t>Adults 18 +years:</w:t>
            </w:r>
          </w:p>
        </w:tc>
        <w:tc>
          <w:tcPr>
            <w:tcW w:w="1524" w:type="dxa"/>
            <w:shd w:val="clear" w:color="auto" w:fill="E3F1F7"/>
            <w:vAlign w:val="center"/>
          </w:tcPr>
          <w:p w14:paraId="774CDE29" w14:textId="77777777" w:rsidR="00F61D64" w:rsidRPr="00E9202C" w:rsidRDefault="00F61D64" w:rsidP="003A31ED">
            <w:pPr>
              <w:spacing w:after="0" w:line="240" w:lineRule="auto"/>
              <w:jc w:val="center"/>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2,300</w:t>
            </w:r>
          </w:p>
        </w:tc>
        <w:tc>
          <w:tcPr>
            <w:tcW w:w="1453" w:type="dxa"/>
            <w:shd w:val="clear" w:color="auto" w:fill="E3F1F7"/>
            <w:noWrap/>
            <w:vAlign w:val="center"/>
          </w:tcPr>
          <w:p w14:paraId="5AF3CB78" w14:textId="77777777" w:rsidR="00F61D64" w:rsidRPr="00E9202C" w:rsidRDefault="00F61D64" w:rsidP="003A31ED">
            <w:pPr>
              <w:spacing w:after="0" w:line="240" w:lineRule="auto"/>
              <w:jc w:val="center"/>
              <w:rPr>
                <w:rFonts w:eastAsia="Times New Roman" w:cs="Times New Roman"/>
                <w:color w:val="000000"/>
                <w:kern w:val="0"/>
                <w:sz w:val="20"/>
                <w:szCs w:val="20"/>
                <w:lang w:eastAsia="en-AU"/>
                <w14:ligatures w14:val="none"/>
              </w:rPr>
            </w:pPr>
            <w:r w:rsidRPr="00E9202C">
              <w:rPr>
                <w:rFonts w:eastAsia="Times New Roman" w:cs="Times New Roman"/>
                <w:color w:val="000000"/>
                <w:kern w:val="0"/>
                <w:sz w:val="20"/>
                <w:szCs w:val="20"/>
                <w:lang w:eastAsia="en-AU"/>
                <w14:ligatures w14:val="none"/>
              </w:rPr>
              <w:t>2,000</w:t>
            </w:r>
          </w:p>
        </w:tc>
        <w:tc>
          <w:tcPr>
            <w:tcW w:w="1276" w:type="dxa"/>
            <w:noWrap/>
            <w:vAlign w:val="center"/>
          </w:tcPr>
          <w:p w14:paraId="55D1AF1B" w14:textId="77777777" w:rsidR="00F61D64" w:rsidRPr="00E9202C" w:rsidRDefault="00F61D64" w:rsidP="003A31ED">
            <w:pPr>
              <w:spacing w:after="0" w:line="240" w:lineRule="auto"/>
              <w:jc w:val="center"/>
              <w:rPr>
                <w:rFonts w:eastAsia="Times New Roman" w:cs="Times New Roman"/>
                <w:color w:val="000000"/>
                <w:kern w:val="0"/>
                <w:sz w:val="20"/>
                <w:szCs w:val="20"/>
                <w:lang w:eastAsia="en-AU"/>
                <w14:ligatures w14:val="none"/>
              </w:rPr>
            </w:pPr>
            <w:r w:rsidRPr="0050371D">
              <w:rPr>
                <w:rFonts w:eastAsia="Times New Roman" w:cs="Times New Roman"/>
                <w:color w:val="747474" w:themeColor="background2" w:themeShade="80"/>
                <w:kern w:val="0"/>
                <w:sz w:val="20"/>
                <w:szCs w:val="20"/>
                <w:lang w:eastAsia="en-AU"/>
                <w14:ligatures w14:val="none"/>
              </w:rPr>
              <w:t>2,000*</w:t>
            </w:r>
          </w:p>
        </w:tc>
        <w:tc>
          <w:tcPr>
            <w:tcW w:w="1276" w:type="dxa"/>
          </w:tcPr>
          <w:p w14:paraId="683789F4" w14:textId="77777777" w:rsidR="00F61D64" w:rsidRPr="00E9202C" w:rsidRDefault="00F61D64" w:rsidP="003A31ED">
            <w:pPr>
              <w:spacing w:after="0" w:line="240" w:lineRule="auto"/>
              <w:jc w:val="center"/>
              <w:rPr>
                <w:rFonts w:eastAsia="Times New Roman" w:cs="Times New Roman"/>
                <w:color w:val="000000"/>
                <w:kern w:val="0"/>
                <w:sz w:val="20"/>
                <w:szCs w:val="20"/>
                <w:lang w:eastAsia="en-AU"/>
                <w14:ligatures w14:val="none"/>
              </w:rPr>
            </w:pPr>
            <w:r w:rsidRPr="00E9202C">
              <w:rPr>
                <w:rFonts w:eastAsia="Times New Roman" w:cs="Times New Roman"/>
                <w:color w:val="000000"/>
                <w:kern w:val="0"/>
                <w:sz w:val="20"/>
                <w:szCs w:val="20"/>
                <w:lang w:eastAsia="en-AU"/>
                <w14:ligatures w14:val="none"/>
              </w:rPr>
              <w:t>2,300</w:t>
            </w:r>
          </w:p>
        </w:tc>
        <w:tc>
          <w:tcPr>
            <w:tcW w:w="1377" w:type="dxa"/>
            <w:noWrap/>
            <w:vAlign w:val="center"/>
          </w:tcPr>
          <w:p w14:paraId="35B44C1A" w14:textId="77777777" w:rsidR="00F61D64" w:rsidRPr="00E9202C" w:rsidRDefault="00F61D64" w:rsidP="003A31ED">
            <w:pPr>
              <w:spacing w:after="0" w:line="240" w:lineRule="auto"/>
              <w:jc w:val="center"/>
              <w:rPr>
                <w:rFonts w:eastAsia="Times New Roman" w:cs="Times New Roman"/>
                <w:color w:val="000000"/>
                <w:kern w:val="0"/>
                <w:sz w:val="20"/>
                <w:szCs w:val="20"/>
                <w:lang w:eastAsia="en-AU"/>
                <w14:ligatures w14:val="none"/>
              </w:rPr>
            </w:pPr>
            <w:r w:rsidRPr="00E9202C">
              <w:rPr>
                <w:rFonts w:eastAsia="Times New Roman" w:cs="Times New Roman"/>
                <w:color w:val="000000"/>
                <w:kern w:val="0"/>
                <w:sz w:val="20"/>
                <w:szCs w:val="20"/>
                <w:lang w:eastAsia="en-AU"/>
                <w14:ligatures w14:val="none"/>
              </w:rPr>
              <w:t>2,300</w:t>
            </w:r>
          </w:p>
        </w:tc>
        <w:tc>
          <w:tcPr>
            <w:tcW w:w="1843" w:type="dxa"/>
            <w:vAlign w:val="center"/>
          </w:tcPr>
          <w:p w14:paraId="60D861F4" w14:textId="77777777" w:rsidR="00F61D64" w:rsidRPr="00E9202C" w:rsidRDefault="00F61D64" w:rsidP="003A31ED">
            <w:pPr>
              <w:spacing w:after="0" w:line="240" w:lineRule="auto"/>
              <w:jc w:val="center"/>
              <w:rPr>
                <w:rFonts w:eastAsia="Times New Roman" w:cs="Times New Roman"/>
                <w:color w:val="000000"/>
                <w:kern w:val="0"/>
                <w:sz w:val="20"/>
                <w:szCs w:val="20"/>
                <w:lang w:eastAsia="en-AU"/>
                <w14:ligatures w14:val="none"/>
              </w:rPr>
            </w:pPr>
            <w:r w:rsidRPr="00E9202C">
              <w:rPr>
                <w:rFonts w:eastAsia="Times New Roman" w:cs="Times New Roman"/>
                <w:color w:val="000000"/>
                <w:kern w:val="0"/>
                <w:sz w:val="20"/>
                <w:szCs w:val="20"/>
                <w:lang w:eastAsia="en-AU"/>
                <w14:ligatures w14:val="none"/>
              </w:rPr>
              <w:t>2,400^</w:t>
            </w:r>
          </w:p>
        </w:tc>
        <w:tc>
          <w:tcPr>
            <w:tcW w:w="1843" w:type="dxa"/>
          </w:tcPr>
          <w:p w14:paraId="6832A5AE" w14:textId="77777777" w:rsidR="00F61D64" w:rsidRPr="00E9202C" w:rsidRDefault="00F61D64" w:rsidP="003A31ED">
            <w:pPr>
              <w:spacing w:after="0" w:line="240" w:lineRule="auto"/>
              <w:jc w:val="center"/>
              <w:rPr>
                <w:rFonts w:eastAsia="Times New Roman" w:cs="Times New Roman"/>
                <w:color w:val="000000"/>
                <w:kern w:val="0"/>
                <w:sz w:val="20"/>
                <w:szCs w:val="20"/>
                <w:lang w:eastAsia="en-AU"/>
                <w14:ligatures w14:val="none"/>
              </w:rPr>
            </w:pPr>
            <w:r>
              <w:rPr>
                <w:rFonts w:eastAsia="Times New Roman" w:cs="Times New Roman"/>
                <w:color w:val="000000"/>
                <w:kern w:val="0"/>
                <w:sz w:val="20"/>
                <w:szCs w:val="20"/>
                <w:lang w:eastAsia="en-AU"/>
                <w14:ligatures w14:val="none"/>
              </w:rPr>
              <w:t>2,000</w:t>
            </w:r>
          </w:p>
        </w:tc>
      </w:tr>
    </w:tbl>
    <w:p w14:paraId="106AEE13" w14:textId="77777777" w:rsidR="00F61D64" w:rsidRPr="00E9202C" w:rsidRDefault="00F61D64" w:rsidP="00F61D64">
      <w:pPr>
        <w:spacing w:after="80"/>
        <w:rPr>
          <w:rFonts w:eastAsia="Times New Roman" w:cs="Times New Roman"/>
          <w:sz w:val="20"/>
          <w:szCs w:val="20"/>
        </w:rPr>
      </w:pPr>
      <w:r w:rsidRPr="00E9202C">
        <w:rPr>
          <w:rFonts w:eastAsia="Times New Roman" w:cs="Times New Roman"/>
          <w:sz w:val="20"/>
          <w:szCs w:val="20"/>
        </w:rPr>
        <w:t>*EFSA has not set a</w:t>
      </w:r>
      <w:r>
        <w:rPr>
          <w:rFonts w:eastAsia="Times New Roman" w:cs="Times New Roman"/>
          <w:sz w:val="20"/>
          <w:szCs w:val="20"/>
        </w:rPr>
        <w:t xml:space="preserve"> CDRR, </w:t>
      </w:r>
      <w:r w:rsidRPr="00E9202C">
        <w:rPr>
          <w:rFonts w:eastAsia="Times New Roman" w:cs="Times New Roman"/>
          <w:sz w:val="20"/>
          <w:szCs w:val="20"/>
        </w:rPr>
        <w:t>instead opting to set a ‘safe and adequate’ intake that incorporates requirements and chronic disease risk reduction principles.</w:t>
      </w:r>
    </w:p>
    <w:p w14:paraId="713C1435" w14:textId="77777777" w:rsidR="00F61D64" w:rsidRDefault="00F61D64" w:rsidP="00F61D64">
      <w:r w:rsidRPr="00E9202C">
        <w:rPr>
          <w:sz w:val="20"/>
          <w:szCs w:val="20"/>
        </w:rPr>
        <w:t xml:space="preserve">^ D-A-CH age grouping for adults is 19 years and </w:t>
      </w:r>
      <w:r w:rsidRPr="00AB772E">
        <w:t>older</w:t>
      </w:r>
    </w:p>
    <w:p w14:paraId="28E03622" w14:textId="77777777"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Balance of effects (benefits and harms)</w:t>
      </w:r>
    </w:p>
    <w:p w14:paraId="3C897A03" w14:textId="77777777" w:rsidR="00F61D64" w:rsidRDefault="00F61D64" w:rsidP="00F61D64">
      <w:pPr>
        <w:rPr>
          <w:rFonts w:eastAsia="Times New Roman" w:cs="Arial"/>
          <w:iCs/>
          <w:lang w:eastAsia="en-AU"/>
        </w:rPr>
      </w:pPr>
      <w:r>
        <w:rPr>
          <w:rFonts w:eastAsia="Times New Roman" w:cs="Arial"/>
          <w:iCs/>
          <w:lang w:eastAsia="en-AU"/>
        </w:rPr>
        <w:t xml:space="preserve">It has been suggested that there may be limited benefit to salt reduction in ‘white’ normotensive populations due to concerns about the effects of sodium reduction on hormones and plasma lipids </w:t>
      </w:r>
      <w:r>
        <w:rPr>
          <w:rFonts w:eastAsia="Times New Roman" w:cs="Arial"/>
          <w:iCs/>
          <w:lang w:eastAsia="en-AU"/>
        </w:rPr>
        <w:fldChar w:fldCharType="begin">
          <w:fldData xml:space="preserve">PEVuZE5vdGU+PENpdGU+PEF1dGhvcj5HcmF1ZGFsPC9BdXRob3I+PFllYXI+MjAyMDwvWWVhcj48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</w:fldData>
        </w:fldChar>
      </w:r>
      <w:r>
        <w:rPr>
          <w:rFonts w:eastAsia="Times New Roman" w:cs="Arial"/>
          <w:iCs/>
          <w:lang w:eastAsia="en-AU"/>
        </w:rPr>
        <w:instrText xml:space="preserve"> ADDIN EN.CITE </w:instrText>
      </w:r>
      <w:r>
        <w:rPr>
          <w:rFonts w:eastAsia="Times New Roman" w:cs="Arial"/>
          <w:iCs/>
          <w:lang w:eastAsia="en-AU"/>
        </w:rPr>
        <w:fldChar w:fldCharType="begin">
          <w:fldData xml:space="preserve">PEVuZE5vdGU+PENpdGU+PEF1dGhvcj5HcmF1ZGFsPC9BdXRob3I+PFllYXI+MjAyMDwvWWVhcj48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</w:fldData>
        </w:fldChar>
      </w:r>
      <w:r>
        <w:rPr>
          <w:rFonts w:eastAsia="Times New Roman" w:cs="Arial"/>
          <w:iCs/>
          <w:lang w:eastAsia="en-AU"/>
        </w:rPr>
        <w:instrText xml:space="preserve"> ADDIN EN.CITE.DATA </w:instrText>
      </w:r>
      <w:r>
        <w:rPr>
          <w:rFonts w:eastAsia="Times New Roman" w:cs="Arial"/>
          <w:iCs/>
          <w:lang w:eastAsia="en-AU"/>
        </w:rPr>
      </w:r>
      <w:r>
        <w:rPr>
          <w:rFonts w:eastAsia="Times New Roman" w:cs="Arial"/>
          <w:iCs/>
          <w:lang w:eastAsia="en-AU"/>
        </w:rPr>
        <w:fldChar w:fldCharType="end"/>
      </w:r>
      <w:r>
        <w:rPr>
          <w:rFonts w:eastAsia="Times New Roman" w:cs="Arial"/>
          <w:iCs/>
          <w:lang w:eastAsia="en-AU"/>
        </w:rPr>
      </w:r>
      <w:r>
        <w:rPr>
          <w:rFonts w:eastAsia="Times New Roman" w:cs="Arial"/>
          <w:iCs/>
          <w:lang w:eastAsia="en-AU"/>
        </w:rPr>
        <w:fldChar w:fldCharType="separate"/>
      </w:r>
      <w:r>
        <w:rPr>
          <w:rFonts w:eastAsia="Times New Roman" w:cs="Arial"/>
          <w:iCs/>
          <w:noProof/>
          <w:lang w:eastAsia="en-AU"/>
        </w:rPr>
        <w:t>(Graudal et al., 2020)</w:t>
      </w:r>
      <w:r>
        <w:rPr>
          <w:rFonts w:eastAsia="Times New Roman" w:cs="Arial"/>
          <w:iCs/>
          <w:lang w:eastAsia="en-AU"/>
        </w:rPr>
        <w:fldChar w:fldCharType="end"/>
      </w:r>
      <w:r>
        <w:rPr>
          <w:rFonts w:eastAsia="Times New Roman" w:cs="Arial"/>
          <w:iCs/>
          <w:lang w:eastAsia="en-AU"/>
        </w:rPr>
        <w:t xml:space="preserve">. However, these findings likely reflect the inclusion of studies of short duration with other </w:t>
      </w:r>
      <w:r>
        <w:rPr>
          <w:rFonts w:eastAsia="Times New Roman" w:cs="Arial"/>
          <w:iCs/>
          <w:lang w:eastAsia="en-AU"/>
        </w:rPr>
        <w:lastRenderedPageBreak/>
        <w:t xml:space="preserve">reviews concluding that these effects likely represent short-term metabolic effects, noting that they are not observed in trials of longer duration </w:t>
      </w:r>
      <w:r>
        <w:rPr>
          <w:rFonts w:eastAsia="Times New Roman" w:cs="Arial"/>
          <w:iCs/>
          <w:lang w:eastAsia="en-AU"/>
        </w:rPr>
        <w:fldChar w:fldCharType="begin">
          <w:fldData xml:space="preserve">PEVuZE5vdGU+PENpdGU+PEF1dGhvcj5IdWFuZzwvQXV0aG9yPjxZZWFyPjIwMjA8L1llYXI+PFJl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</w:fldData>
        </w:fldChar>
      </w:r>
      <w:r>
        <w:rPr>
          <w:rFonts w:eastAsia="Times New Roman" w:cs="Arial"/>
          <w:iCs/>
          <w:lang w:eastAsia="en-AU"/>
        </w:rPr>
        <w:instrText xml:space="preserve"> ADDIN EN.CITE </w:instrText>
      </w:r>
      <w:r>
        <w:rPr>
          <w:rFonts w:eastAsia="Times New Roman" w:cs="Arial"/>
          <w:iCs/>
          <w:lang w:eastAsia="en-AU"/>
        </w:rPr>
        <w:fldChar w:fldCharType="begin">
          <w:fldData xml:space="preserve">PEVuZE5vdGU+PENpdGU+PEF1dGhvcj5IdWFuZzwvQXV0aG9yPjxZZWFyPjIwMjA8L1llYXI+PFJl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</w:fldData>
        </w:fldChar>
      </w:r>
      <w:r>
        <w:rPr>
          <w:rFonts w:eastAsia="Times New Roman" w:cs="Arial"/>
          <w:iCs/>
          <w:lang w:eastAsia="en-AU"/>
        </w:rPr>
        <w:instrText xml:space="preserve"> ADDIN EN.CITE.DATA </w:instrText>
      </w:r>
      <w:r>
        <w:rPr>
          <w:rFonts w:eastAsia="Times New Roman" w:cs="Arial"/>
          <w:iCs/>
          <w:lang w:eastAsia="en-AU"/>
        </w:rPr>
      </w:r>
      <w:r>
        <w:rPr>
          <w:rFonts w:eastAsia="Times New Roman" w:cs="Arial"/>
          <w:iCs/>
          <w:lang w:eastAsia="en-AU"/>
        </w:rPr>
        <w:fldChar w:fldCharType="end"/>
      </w:r>
      <w:r>
        <w:rPr>
          <w:rFonts w:eastAsia="Times New Roman" w:cs="Arial"/>
          <w:iCs/>
          <w:lang w:eastAsia="en-AU"/>
        </w:rPr>
      </w:r>
      <w:r>
        <w:rPr>
          <w:rFonts w:eastAsia="Times New Roman" w:cs="Arial"/>
          <w:iCs/>
          <w:lang w:eastAsia="en-AU"/>
        </w:rPr>
        <w:fldChar w:fldCharType="separate"/>
      </w:r>
      <w:r>
        <w:rPr>
          <w:rFonts w:eastAsia="Times New Roman" w:cs="Arial"/>
          <w:iCs/>
          <w:noProof/>
          <w:lang w:eastAsia="en-AU"/>
        </w:rPr>
        <w:t>(Huang et al., 2020)</w:t>
      </w:r>
      <w:r>
        <w:rPr>
          <w:rFonts w:eastAsia="Times New Roman" w:cs="Arial"/>
          <w:iCs/>
          <w:lang w:eastAsia="en-AU"/>
        </w:rPr>
        <w:fldChar w:fldCharType="end"/>
      </w:r>
      <w:r>
        <w:rPr>
          <w:rFonts w:eastAsia="Times New Roman" w:cs="Arial"/>
          <w:iCs/>
          <w:lang w:eastAsia="en-AU"/>
        </w:rPr>
        <w:t>. No other adverse effects with intakes below 2,000 mg/day have been reported in the reviews examined.</w:t>
      </w:r>
    </w:p>
    <w:p w14:paraId="011A9FC2" w14:textId="77777777" w:rsidR="00F61D64" w:rsidRDefault="00F61D64" w:rsidP="00F61D64">
      <w:pPr>
        <w:rPr>
          <w:rFonts w:eastAsia="Times New Roman" w:cs="Arial"/>
        </w:rPr>
      </w:pPr>
      <w:r>
        <w:rPr>
          <w:rFonts w:eastAsia="Times New Roman" w:cs="Arial"/>
        </w:rPr>
        <w:t xml:space="preserve">In contrast, the burden of cardiovascular disease in Australia and New Zealand is substantial, with blood pressure and dietary risks significant factors. </w:t>
      </w:r>
      <w:r w:rsidRPr="00C579F9">
        <w:rPr>
          <w:rFonts w:eastAsia="Times New Roman" w:cs="Arial"/>
        </w:rPr>
        <w:t xml:space="preserve">Over one in ten (11.6% or 3.0 million) </w:t>
      </w:r>
      <w:r>
        <w:rPr>
          <w:rFonts w:eastAsia="Times New Roman" w:cs="Arial"/>
        </w:rPr>
        <w:t>Australians</w:t>
      </w:r>
      <w:r w:rsidRPr="00C579F9">
        <w:rPr>
          <w:rFonts w:eastAsia="Times New Roman" w:cs="Arial"/>
        </w:rPr>
        <w:t xml:space="preserve"> reported having hypertension in 2022</w:t>
      </w:r>
      <w:r>
        <w:rPr>
          <w:rFonts w:eastAsia="Times New Roman" w:cs="Arial"/>
        </w:rPr>
        <w:t xml:space="preserve">. </w:t>
      </w:r>
      <w:r w:rsidRPr="00C579F9">
        <w:rPr>
          <w:rFonts w:eastAsia="Times New Roman" w:cs="Arial"/>
        </w:rPr>
        <w:t xml:space="preserve">Three in four (74.5%) </w:t>
      </w:r>
      <w:r>
        <w:rPr>
          <w:rFonts w:eastAsia="Times New Roman" w:cs="Arial"/>
        </w:rPr>
        <w:t xml:space="preserve">Australians </w:t>
      </w:r>
      <w:r w:rsidRPr="00C579F9">
        <w:rPr>
          <w:rFonts w:eastAsia="Times New Roman" w:cs="Arial"/>
        </w:rPr>
        <w:t>with high measured blood pressure did not report having hypertension</w:t>
      </w:r>
      <w:r>
        <w:rPr>
          <w:rFonts w:eastAsia="Times New Roman" w:cs="Arial"/>
        </w:rPr>
        <w:t xml:space="preserve"> (ABS 2023c).</w:t>
      </w:r>
      <w:r w:rsidRPr="00C579F9">
        <w:rPr>
          <w:rFonts w:eastAsia="Times New Roman" w:cs="Arial"/>
        </w:rPr>
        <w:t xml:space="preserve"> </w:t>
      </w:r>
      <w:r w:rsidRPr="00C16FDC">
        <w:rPr>
          <w:rFonts w:eastAsia="Times New Roman" w:cs="Arial"/>
        </w:rPr>
        <w:t xml:space="preserve">According to the 2020/21 New Zealand Health Survey, 17% of adults (692,000 people) had a diagnosis of high blood pressure and were currently taking medication. Around 23% of </w:t>
      </w:r>
      <w:r>
        <w:rPr>
          <w:rFonts w:eastAsia="Times New Roman" w:cs="Arial"/>
        </w:rPr>
        <w:t xml:space="preserve">New Zealand </w:t>
      </w:r>
      <w:r w:rsidRPr="00C16FDC">
        <w:rPr>
          <w:rFonts w:eastAsia="Times New Roman" w:cs="Arial"/>
        </w:rPr>
        <w:t xml:space="preserve">adults had measured </w:t>
      </w:r>
      <w:r>
        <w:rPr>
          <w:rFonts w:eastAsia="Times New Roman" w:cs="Arial"/>
        </w:rPr>
        <w:t xml:space="preserve">high </w:t>
      </w:r>
      <w:r w:rsidRPr="00C16FDC">
        <w:rPr>
          <w:rFonts w:eastAsia="Times New Roman" w:cs="Arial"/>
        </w:rPr>
        <w:t xml:space="preserve">blood pressure and this was disproportionately higher in underserved communities who are generally living in lower socio-economic areas with less access to fresh food such as Pasifika community (28%) and Māori whānau (24%) (14). </w:t>
      </w:r>
    </w:p>
    <w:p w14:paraId="756F80B5" w14:textId="77777777" w:rsidR="00F61D64" w:rsidRDefault="00F61D64" w:rsidP="00F61D64">
      <w:pPr>
        <w:rPr>
          <w:rFonts w:eastAsia="Times New Roman" w:cs="Arial"/>
        </w:rPr>
      </w:pPr>
      <w:r>
        <w:rPr>
          <w:rFonts w:eastAsia="Times New Roman" w:cs="Arial"/>
        </w:rPr>
        <w:t>Maintaining the current CDRR (formerly SDT) of 2,000 mg/day presents stability in public health recommendations and aligns with the available evidence which suggests the risk of elevated blood pressure increases with increased sodium intake at all levels.</w:t>
      </w:r>
    </w:p>
    <w:p w14:paraId="51A9988A" w14:textId="77777777" w:rsidR="00F61D64" w:rsidRPr="008C7120" w:rsidRDefault="00F61D64" w:rsidP="00F61D64">
      <w:r>
        <w:t xml:space="preserve">Key public health objectives relevant to the Australian and New Zealand context must also be considered. Data suggest that most Australian (65.6%) and New Zealand adults have sodium intakes exceeding the SDT. Therefore, the overwhelming public health concern is the chronic disease risk associated with high dietary sodium. Cardiovascular disease remains a leading cause of death and morbidity in Australia and New Zealand, with both high blood pressure and dietary risks leading factors for total </w:t>
      </w:r>
      <w:r w:rsidRPr="008C7120">
        <w:t>CVD burden (AIHW, 2025; IHME, 2024). These contextual factors reinforce the need to establish the CDRR at a value that promotes public health.</w:t>
      </w:r>
    </w:p>
    <w:p w14:paraId="724DC404" w14:textId="77777777" w:rsidR="00F61D64" w:rsidRDefault="00F61D64" w:rsidP="00F61D64">
      <w:r w:rsidRPr="008C7120">
        <w:t>The CDRR (formerly SDT) was last reviewed in 2017 and at this time, the recommendation was increased from 1,600 to 2,000 mg/day. This review has identified no significant evidence published since this time to alter the underpinning evidence base. Consequently, a change to the CDRR from 2,000 mg/day should only be made if there are public health context factors to justify this</w:t>
      </w:r>
      <w:r>
        <w:t xml:space="preserve"> shift.</w:t>
      </w:r>
    </w:p>
    <w:p w14:paraId="2C65BE26" w14:textId="77777777"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Certainty of the evidence</w:t>
      </w:r>
    </w:p>
    <w:p w14:paraId="563C7279" w14:textId="77777777" w:rsidR="00F61D64" w:rsidRPr="00BB0551" w:rsidRDefault="00F61D64" w:rsidP="00F61D64">
      <w:pPr>
        <w:ind w:right="34"/>
        <w:rPr>
          <w:rFonts w:eastAsia="Times New Roman" w:cs="Arial"/>
        </w:rPr>
      </w:pPr>
      <w:r w:rsidRPr="00BB0551">
        <w:rPr>
          <w:rFonts w:eastAsia="Times New Roman" w:cs="Arial"/>
        </w:rPr>
        <w:t xml:space="preserve">There is moderate certainty evidence that sodium reduction lowers SBP in both hypertensive and normotensive individuals, with the evidence downgraded due to inconsistency </w:t>
      </w:r>
      <w:r w:rsidRPr="00BB0551">
        <w:rPr>
          <w:rFonts w:eastAsia="Times New Roman" w:cs="Arial"/>
        </w:rPr>
        <w:fldChar w:fldCharType="begin"/>
      </w:r>
      <w:r w:rsidRPr="00BB0551">
        <w:rPr>
          <w:rFonts w:eastAsia="Times New Roman" w:cs="Arial"/>
        </w:rPr>
        <w:instrText xml:space="preserve"> ADDIN EN.CITE &lt;EndNote&gt;&lt;Cite&gt;&lt;Author&gt;Newberry&lt;/Author&gt;&lt;Year&gt;2018&lt;/Year&gt;&lt;RecNum&gt;621&lt;/RecNum&gt;&lt;DisplayText&gt;(Newberry et al., 2018)&lt;/DisplayText&gt;&lt;record&gt;&lt;rec-number&gt;621&lt;/rec-number&gt;&lt;foreign-keys&gt;&lt;key app="EN" db-id="wwsdv2wwp29fenerv0kx5tw9zxtx2fdrprx2" timestamp="1762743452"&gt;621&lt;/key&gt;&lt;/foreign-keys&gt;&lt;ref-type name="Book Section"&gt;5&lt;/ref-type&gt;&lt;contributors&gt;&lt;authors&gt;&lt;author&gt;Newberry, S. J.&lt;/author&gt;&lt;author&gt;Chung, M.&lt;/author&gt;&lt;author&gt;Anderson, C. A. M.&lt;/author&gt;&lt;author&gt;Chen, C.&lt;/author&gt;&lt;author&gt;Fu, Z.&lt;/author&gt;&lt;author&gt;Tang, A.&lt;/author&gt;&lt;author&gt;Zhao, N.&lt;/author&gt;&lt;author&gt;Booth, M.&lt;/author&gt;&lt;author&gt;Marks, J.&lt;/author&gt;&lt;author&gt;Hollands, S.&lt;/author&gt;&lt;author&gt;Motala, A.&lt;/author&gt;&lt;author&gt;Larkin, J.&lt;/author&gt;&lt;author&gt;Shanman, R.&lt;/author&gt;&lt;author&gt;Hempel, S.&lt;/author&gt;&lt;/authors&gt;&lt;/contributors&gt;&lt;auth-address&gt;RAND Southern California Evidence-based Practice Center&lt;/auth-address&gt;&lt;titles&gt;&lt;title&gt;Sodium and Potassium Intake: Effects on Chronic Disease Outcomes and Risks&lt;/title&gt;&lt;tertiary-title&gt;AHRQ Comparative Effectiveness Reviews&lt;/tertiary-title&gt;&lt;/titles&gt;&lt;dates&gt;&lt;year&gt;2018&lt;/year&gt;&lt;/dates&gt;&lt;pub-location&gt;Rockville (MD)&lt;/pub-location&gt;&lt;publisher&gt;Agency for Healthcare Research and Quality (US)&lt;/publisher&gt;&lt;accession-num&gt;30125063&lt;/accession-num&gt;&lt;urls&gt;&lt;/urls&gt;&lt;language&gt;eng&lt;/language&gt;&lt;/record&gt;&lt;/Cite&gt;&lt;/EndNote&gt;</w:instrText>
      </w:r>
      <w:r w:rsidRPr="00BB0551">
        <w:rPr>
          <w:rFonts w:eastAsia="Times New Roman" w:cs="Arial"/>
        </w:rPr>
        <w:fldChar w:fldCharType="separate"/>
      </w:r>
      <w:r w:rsidRPr="00BB0551">
        <w:rPr>
          <w:rFonts w:eastAsia="Times New Roman" w:cs="Arial"/>
          <w:noProof/>
        </w:rPr>
        <w:t>(Newberry et al., 2018)</w:t>
      </w:r>
      <w:r w:rsidRPr="00BB0551">
        <w:rPr>
          <w:rFonts w:eastAsia="Times New Roman" w:cs="Arial"/>
        </w:rPr>
        <w:fldChar w:fldCharType="end"/>
      </w:r>
      <w:r w:rsidRPr="00BB0551">
        <w:rPr>
          <w:rFonts w:eastAsia="Times New Roman" w:cs="Arial"/>
        </w:rPr>
        <w:t>.</w:t>
      </w:r>
      <w:r>
        <w:rPr>
          <w:rFonts w:eastAsia="Times New Roman" w:cs="Arial"/>
        </w:rPr>
        <w:t xml:space="preserve"> Evidence also suggests that there is a linear relationship between higher sodium intake and increased SBP, and there does not appear to be a single level of sodium intake at which the risk becomes elevated.</w:t>
      </w:r>
    </w:p>
    <w:p w14:paraId="68006E69" w14:textId="77777777"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Values, preferences and feasibility (consumers, communities)</w:t>
      </w:r>
    </w:p>
    <w:p w14:paraId="7398A5E8" w14:textId="77777777" w:rsidR="00F61D64" w:rsidRDefault="00F61D64" w:rsidP="00F61D64">
      <w:pPr>
        <w:pStyle w:val="Heading4"/>
      </w:pPr>
      <w:r w:rsidRPr="007638CD">
        <w:t>Values and preferences</w:t>
      </w:r>
    </w:p>
    <w:p w14:paraId="4221A779" w14:textId="0C901786" w:rsidR="00F61D64" w:rsidRPr="00BB0551" w:rsidRDefault="00F61D64" w:rsidP="00F61D64">
      <w:pPr>
        <w:spacing w:after="120"/>
        <w:ind w:right="34"/>
        <w:rPr>
          <w:rFonts w:eastAsia="Times New Roman" w:cs="Arial"/>
        </w:rPr>
      </w:pPr>
      <w:r w:rsidRPr="00BB0551">
        <w:rPr>
          <w:rFonts w:eastAsia="Times New Roman" w:cs="Arial"/>
        </w:rPr>
        <w:t xml:space="preserve">Evidence suggests a lack of awareness of dietary sodium recommendations, dietary sources of sodium, and the relationship between salt and sodium among populations from high-income countries </w:t>
      </w:r>
      <w:r w:rsidRPr="00BB0551">
        <w:rPr>
          <w:rFonts w:eastAsia="Times New Roman" w:cs="Arial"/>
        </w:rPr>
        <w:fldChar w:fldCharType="begin"/>
      </w:r>
      <w:r w:rsidRPr="00BB0551">
        <w:rPr>
          <w:rFonts w:eastAsia="Times New Roman" w:cs="Arial"/>
        </w:rPr>
        <w:instrText xml:space="preserve"> ADDIN EN.CITE &lt;EndNote&gt;&lt;Cite&gt;&lt;Author&gt;Bhana&lt;/Author&gt;&lt;Year&gt;2018&lt;/Year&gt;&lt;RecNum&gt;3812&lt;/RecNum&gt;&lt;DisplayText&gt;(Bhana et al., 2018)&lt;/DisplayText&gt;&lt;record&gt;&lt;rec-number&gt;3812&lt;/rec-number&gt;&lt;foreign-keys&gt;&lt;key app="EN" db-id="wwsdv2wwp29fenerv0kx5tw9zxtx2fdrprx2" timestamp="1763423465"&gt;3812&lt;/key&gt;&lt;/foreign-keys&gt;&lt;ref-type name="Journal Article"&gt;17&lt;/ref-type&gt;&lt;contributors&gt;&lt;authors&gt;&lt;author&gt;Bhana, N.&lt;/author&gt;&lt;author&gt;Utter, J.&lt;/author&gt;&lt;author&gt;Eyles, H.&lt;/author&gt;&lt;/authors&gt;&lt;/contributors&gt;&lt;titles&gt;&lt;title&gt;Knowledge, Attitudes and Behaviours Related to Dietary Salt Intake in High-Income Countries: a Systematic Review&lt;/title&gt;&lt;secondary-title&gt;Current nutrition reports&lt;/secondary-title&gt;&lt;/titles&gt;&lt;periodical&gt;&lt;full-title&gt;Current nutrition reports&lt;/full-title&gt;&lt;/periodical&gt;&lt;pages&gt;183-197&lt;/pages&gt;&lt;volume&gt;7&lt;/volume&gt;&lt;number&gt;4&lt;/number&gt;&lt;dates&gt;&lt;year&gt;2018&lt;/year&gt;&lt;pub-dates&gt;&lt;date&gt;2018&lt;/date&gt;&lt;/pub-dates&gt;&lt;/dates&gt;&lt;isbn&gt;2161-3311&lt;/isbn&gt;&lt;urls&gt;&lt;related-urls&gt;&lt;url&gt;http://www.epistemonikos.org/documents/dd740a0571a6b001746bbd658375858690d15be3&lt;/url&gt;&lt;/related-urls&gt;&lt;/urls&gt;&lt;electronic-resource-num&gt;10.1007/s13668-018-0239-9&lt;/electronic-resource-num&gt;&lt;remote-database-name&gt;EPISTEMONIKOS&lt;/remote-database-name&gt;&lt;language&gt;English&lt;/language&gt;&lt;/record&gt;&lt;/Cite&gt;&lt;/EndNote&gt;</w:instrText>
      </w:r>
      <w:r w:rsidRPr="00BB0551">
        <w:rPr>
          <w:rFonts w:eastAsia="Times New Roman" w:cs="Arial"/>
        </w:rPr>
        <w:fldChar w:fldCharType="separate"/>
      </w:r>
      <w:r w:rsidRPr="00BB0551">
        <w:rPr>
          <w:rFonts w:eastAsia="Times New Roman" w:cs="Arial"/>
        </w:rPr>
        <w:t>(Bhana et al., 2018)</w:t>
      </w:r>
      <w:r w:rsidRPr="00BB0551">
        <w:rPr>
          <w:rFonts w:eastAsia="Times New Roman" w:cs="Arial"/>
        </w:rPr>
        <w:fldChar w:fldCharType="end"/>
      </w:r>
      <w:r w:rsidRPr="00BB0551">
        <w:rPr>
          <w:rFonts w:eastAsia="Times New Roman" w:cs="Arial"/>
        </w:rPr>
        <w:t xml:space="preserve">. Although most of those surveyed are aware of the risks associated with high salt intake, many are unaware of current recommended intake levels, or of how their own salt intake compares with recommendations </w:t>
      </w:r>
      <w:r w:rsidRPr="00BB0551">
        <w:rPr>
          <w:rFonts w:eastAsia="Times New Roman" w:cs="Arial"/>
        </w:rPr>
        <w:fldChar w:fldCharType="begin">
          <w:fldData xml:space="preserve">PEVuZE5vdGU+PENpdGU+PEF1dGhvcj5HcmltZXM8L0F1dGhvcj48WWVhcj4yMDE3PC9ZZWFyPjxS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==
</w:fldData>
        </w:fldChar>
      </w:r>
      <w:r>
        <w:rPr>
          <w:rFonts w:eastAsia="Times New Roman" w:cs="Arial"/>
        </w:rPr>
        <w:instrText xml:space="preserve"> ADDIN EN.CITE </w:instrText>
      </w:r>
      <w:r>
        <w:rPr>
          <w:rFonts w:eastAsia="Times New Roman" w:cs="Arial"/>
        </w:rPr>
        <w:fldChar w:fldCharType="begin">
          <w:fldData xml:space="preserve">PEVuZE5vdGU+PENpdGU+PEF1dGhvcj5HcmltZXM8L0F1dGhvcj48WWVhcj4yMDE3PC9ZZWFyPjxS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==
</w:fldData>
        </w:fldChar>
      </w:r>
      <w:r>
        <w:rPr>
          <w:rFonts w:eastAsia="Times New Roman" w:cs="Arial"/>
        </w:rPr>
        <w:instrText xml:space="preserve"> ADDIN EN.CITE.DATA </w:instrText>
      </w:r>
      <w:r>
        <w:rPr>
          <w:rFonts w:eastAsia="Times New Roman" w:cs="Arial"/>
        </w:rPr>
      </w:r>
      <w:r>
        <w:rPr>
          <w:rFonts w:eastAsia="Times New Roman" w:cs="Arial"/>
        </w:rPr>
        <w:fldChar w:fldCharType="end"/>
      </w:r>
      <w:r w:rsidRPr="00BB0551">
        <w:rPr>
          <w:rFonts w:eastAsia="Times New Roman" w:cs="Arial"/>
        </w:rPr>
      </w:r>
      <w:r w:rsidRPr="00BB0551">
        <w:rPr>
          <w:rFonts w:eastAsia="Times New Roman" w:cs="Arial"/>
        </w:rPr>
        <w:fldChar w:fldCharType="separate"/>
      </w:r>
      <w:r>
        <w:rPr>
          <w:rFonts w:eastAsia="Times New Roman" w:cs="Arial"/>
          <w:noProof/>
        </w:rPr>
        <w:t>(Grimes, Kelley, et al., 2017; Land et al., 2014)</w:t>
      </w:r>
      <w:r w:rsidRPr="00BB0551">
        <w:rPr>
          <w:rFonts w:eastAsia="Times New Roman" w:cs="Arial"/>
        </w:rPr>
        <w:fldChar w:fldCharType="end"/>
      </w:r>
      <w:r w:rsidRPr="00BB0551">
        <w:rPr>
          <w:rFonts w:eastAsia="Times New Roman" w:cs="Arial"/>
        </w:rPr>
        <w:t xml:space="preserve">. Across studies, </w:t>
      </w:r>
      <w:r>
        <w:rPr>
          <w:rFonts w:eastAsia="Times New Roman" w:cs="Arial"/>
        </w:rPr>
        <w:t xml:space="preserve">respondents were supportive of the need for </w:t>
      </w:r>
      <w:r w:rsidRPr="00BB0551">
        <w:rPr>
          <w:rFonts w:eastAsia="Times New Roman" w:cs="Arial"/>
        </w:rPr>
        <w:t>individual dietary change to address the health risks associated with excessive salt consumption.</w:t>
      </w:r>
      <w:r>
        <w:rPr>
          <w:rFonts w:eastAsia="Times New Roman" w:cs="Arial"/>
        </w:rPr>
        <w:t xml:space="preserve"> Consequently, it may be reasonably assumed that there is community support for maintaining a CDRR that is protective of health, even if such recommendations rely on individual dietary change or other interventions to achieve a level of intake aligned with requirements.</w:t>
      </w:r>
    </w:p>
    <w:p w14:paraId="20229FE8" w14:textId="77777777" w:rsidR="00F61D64" w:rsidRPr="0005013B" w:rsidRDefault="00F61D64" w:rsidP="00F61D64">
      <w:pPr>
        <w:pStyle w:val="Heading4"/>
      </w:pPr>
      <w:r w:rsidRPr="0005013B">
        <w:lastRenderedPageBreak/>
        <w:t>Feas</w:t>
      </w:r>
      <w:r>
        <w:t>i</w:t>
      </w:r>
      <w:r w:rsidRPr="0005013B">
        <w:t>bility</w:t>
      </w:r>
    </w:p>
    <w:p w14:paraId="6B5D3DAD" w14:textId="77777777" w:rsidR="00F61D64" w:rsidRDefault="00F61D64" w:rsidP="00F61D64">
      <w:pPr>
        <w:keepNext/>
        <w:spacing w:after="120"/>
        <w:rPr>
          <w:lang w:eastAsia="en-AU"/>
        </w:rPr>
      </w:pPr>
      <w:r>
        <w:t xml:space="preserve">Australian food modelling undertaken in 2011 estimated sodium intakes across foundation and total diets (NHMRC, 2011). Discretionary salt was not included, so intakes are likely to underestimate actual consumption for most people. Foundation diets also excluded discretionary foods, while total diets included only limited discretionary choices. This modelling </w:t>
      </w:r>
      <w:r>
        <w:rPr>
          <w:rFonts w:eastAsia="Times New Roman" w:cs="Arial"/>
          <w:szCs w:val="20"/>
        </w:rPr>
        <w:t xml:space="preserve">should be interpreted with caution given the significant time elapsed since modelling was </w:t>
      </w:r>
      <w:proofErr w:type="gramStart"/>
      <w:r>
        <w:rPr>
          <w:rFonts w:eastAsia="Times New Roman" w:cs="Arial"/>
          <w:szCs w:val="20"/>
        </w:rPr>
        <w:t>undertaken, and</w:t>
      </w:r>
      <w:proofErr w:type="gramEnd"/>
      <w:r>
        <w:rPr>
          <w:rFonts w:eastAsia="Times New Roman" w:cs="Arial"/>
          <w:szCs w:val="20"/>
        </w:rPr>
        <w:t xml:space="preserve"> noting changes in both dietary patterns and sodium in the food supply since this time. </w:t>
      </w:r>
      <w:r>
        <w:t xml:space="preserve">This modelling predates the Healthy Food Partnership (HFP) program, so it does not reflect any reformulation-related reductions in sodium in the food supply, with associated reductions in the sodium content of participating products estimated at 4.3% (ABS, 2025).  </w:t>
      </w:r>
      <w:r w:rsidRPr="004A1F5A">
        <w:t xml:space="preserve">Since 2011–12, the proportion of </w:t>
      </w:r>
      <w:r>
        <w:t xml:space="preserve">Australian </w:t>
      </w:r>
      <w:r w:rsidRPr="004A1F5A">
        <w:t>adults who had a usual sodium intake above the SDT has decreased for males (from 84.8% to 79.9%) but remained similar for females (54.2% and 51.2%)</w:t>
      </w:r>
      <w:r>
        <w:t xml:space="preserve"> indicating it is feasible to reduce sodium intake, albeit slowly</w:t>
      </w:r>
      <w:r w:rsidRPr="004A1F5A">
        <w:t>. </w:t>
      </w:r>
    </w:p>
    <w:p w14:paraId="7314111A" w14:textId="380AA234" w:rsidR="00F61D64" w:rsidRDefault="00F61D64" w:rsidP="00F61D64">
      <w:pPr>
        <w:spacing w:after="120"/>
      </w:pPr>
      <w:r>
        <w:t>Food modelling data for adults are presented in</w:t>
      </w:r>
      <w:r w:rsidR="00AE52B5">
        <w:t xml:space="preserve"> </w:t>
      </w:r>
      <w:r w:rsidR="00AE52B5">
        <w:fldChar w:fldCharType="begin"/>
      </w:r>
      <w:r w:rsidR="00AE52B5">
        <w:instrText xml:space="preserve"> REF _Ref234959539 \h </w:instrText>
      </w:r>
      <w:r w:rsidR="00AE52B5">
        <w:fldChar w:fldCharType="separate"/>
      </w:r>
      <w:r w:rsidR="00AE52B5">
        <w:t xml:space="preserve">Table </w:t>
      </w:r>
      <w:r w:rsidR="00AE52B5">
        <w:rPr>
          <w:noProof/>
        </w:rPr>
        <w:t>28</w:t>
      </w:r>
      <w:r w:rsidR="00AE52B5">
        <w:fldChar w:fldCharType="end"/>
      </w:r>
      <w:r>
        <w:t xml:space="preserve">; cells are highlighted orange where modelling suggests intakes exceeding the current SDT. These data suggest that sodium intakes are likely to exceed the current SDT (2,000 mg/day) in many of the total diets modelled, except for females with mid-level energy requirements. Exceedances are often substantial, and the estimated impact of the HFP on sodium content (4.3%) and individual intakes (14.8 mg/day) (ABS, 2025) is unlikely to be sufficient to reduce the modelled intakes to within the recommended SDT. The current SDT may therefore be unachievable for some groups without further sodium reduction in the food supply or other interventions such as low-sodium salt substitution. </w:t>
      </w:r>
      <w:bookmarkStart w:id="180" w:name="_Ref230017467"/>
    </w:p>
    <w:p w14:paraId="63E10B01" w14:textId="77777777" w:rsidR="00F61D64" w:rsidRDefault="00F61D64" w:rsidP="00F61D64">
      <w:pPr>
        <w:spacing w:after="120"/>
        <w:rPr>
          <w:lang w:eastAsia="en-AU"/>
        </w:rPr>
      </w:pPr>
      <w:r>
        <w:t>By contrast, increasing the SDT to 2,300 mg/day would establish a more achievable target, with modelled 7-day total diet intakes for all adults with mid-level energy requirements remaining below this level. However, the feasibility of this increase must be balanced against the associated health impacts, given the linear relationship between sodium intake and blood pressure.</w:t>
      </w:r>
    </w:p>
    <w:p w14:paraId="1F5B8D45" w14:textId="77777777" w:rsidR="004D55C0" w:rsidRDefault="004D55C0">
      <w:pPr>
        <w:rPr>
          <w:i/>
          <w:iCs/>
          <w:color w:val="0E2841" w:themeColor="text2"/>
          <w:sz w:val="18"/>
          <w:szCs w:val="18"/>
        </w:rPr>
      </w:pPr>
      <w:r>
        <w:br w:type="page"/>
      </w:r>
    </w:p>
    <w:p w14:paraId="4B70093E" w14:textId="1D3BEBEF" w:rsidR="00F61D64" w:rsidRDefault="00F61D64" w:rsidP="00F61D64">
      <w:pPr>
        <w:pStyle w:val="Caption"/>
        <w:keepNext/>
        <w:keepLines/>
      </w:pPr>
      <w:bookmarkStart w:id="181" w:name="_Ref234959539"/>
      <w:bookmarkStart w:id="182" w:name="_Ref234959536"/>
      <w:r>
        <w:lastRenderedPageBreak/>
        <w:t xml:space="preserve">Table </w:t>
      </w:r>
      <w:r>
        <w:fldChar w:fldCharType="begin"/>
      </w:r>
      <w:r>
        <w:instrText>SEQ Table \* ARABIC</w:instrText>
      </w:r>
      <w:r>
        <w:fldChar w:fldCharType="separate"/>
      </w:r>
      <w:r w:rsidR="00B90577">
        <w:rPr>
          <w:noProof/>
        </w:rPr>
        <w:t>27</w:t>
      </w:r>
      <w:r>
        <w:fldChar w:fldCharType="end"/>
      </w:r>
      <w:bookmarkEnd w:id="180"/>
      <w:bookmarkEnd w:id="181"/>
      <w:r>
        <w:t xml:space="preserve"> - Food Modelling Data – Adults (Source: </w:t>
      </w:r>
      <w:r>
        <w:fldChar w:fldCharType="begin"/>
      </w:r>
      <w:r>
        <w:instrText xml:space="preserve"> ADDIN EN.CITE &lt;EndNote&gt;&lt;Cite ExcludeAuth="1"&gt;&lt;Author&gt;National Health and Medical Research Council&lt;/Author&gt;&lt;Year&gt;2011&lt;/Year&gt;&lt;RecNum&gt;4683&lt;/RecNum&gt;&lt;Prefix&gt;NHMRC`, &lt;/Prefix&gt;&lt;DisplayText&gt;(NHMRC, 2011)&lt;/DisplayText&gt;&lt;record&gt;&lt;rec-number&gt;4683&lt;/rec-number&gt;&lt;foreign-keys&gt;&lt;key app="EN" db-id="wwsdv2wwp29fenerv0kx5tw9zxtx2fdrprx2" timestamp="1776057437"&gt;4683&lt;/key&gt;&lt;/foreign-keys&gt;&lt;ref-type name="Generic"&gt;13&lt;/ref-type&gt;&lt;contributors&gt;&lt;authors&gt;&lt;author&gt;National Health and Medical Research Council, NHMRC&lt;/author&gt;&lt;/authors&gt;&lt;secondary-authors&gt;&lt;author&gt;National Health and Medical Research Council, NHMRC&lt;/author&gt;&lt;/secondary-authors&gt;&lt;/contributors&gt;&lt;titles&gt;&lt;title&gt;A Modelling System to Inform the Revision of the Australian Guide to Healthy Eating&lt;/title&gt;&lt;/titles&gt;&lt;dates&gt;&lt;year&gt;2011&lt;/year&gt;&lt;/dates&gt;&lt;pub-location&gt;Canberra, ACT&lt;/pub-location&gt;&lt;urls&gt;&lt;/urls&gt;&lt;/record&gt;&lt;/Cite&gt;&lt;/EndNote&gt;</w:instrText>
      </w:r>
      <w:r>
        <w:fldChar w:fldCharType="separate"/>
      </w:r>
      <w:r>
        <w:rPr>
          <w:noProof/>
        </w:rPr>
        <w:t>(NHMRC, 2011)</w:t>
      </w:r>
      <w:r>
        <w:fldChar w:fldCharType="end"/>
      </w:r>
      <w:bookmarkEnd w:id="182"/>
    </w:p>
    <w:tbl>
      <w:tblPr>
        <w:tblStyle w:val="TableGrid2"/>
        <w:tblW w:w="13679" w:type="dxa"/>
        <w:tblLook w:val="04A0" w:firstRow="1" w:lastRow="0" w:firstColumn="1" w:lastColumn="0" w:noHBand="0" w:noVBand="1"/>
      </w:tblPr>
      <w:tblGrid>
        <w:gridCol w:w="802"/>
        <w:gridCol w:w="1018"/>
        <w:gridCol w:w="1010"/>
        <w:gridCol w:w="1058"/>
        <w:gridCol w:w="699"/>
        <w:gridCol w:w="699"/>
        <w:gridCol w:w="699"/>
        <w:gridCol w:w="699"/>
        <w:gridCol w:w="699"/>
        <w:gridCol w:w="699"/>
        <w:gridCol w:w="699"/>
        <w:gridCol w:w="700"/>
        <w:gridCol w:w="1049"/>
        <w:gridCol w:w="1050"/>
        <w:gridCol w:w="1049"/>
        <w:gridCol w:w="1050"/>
      </w:tblGrid>
      <w:tr w:rsidR="00F61D64" w:rsidRPr="006A14E9" w14:paraId="3E1330F1" w14:textId="77777777" w:rsidTr="003A31ED">
        <w:tc>
          <w:tcPr>
            <w:tcW w:w="802" w:type="dxa"/>
            <w:vMerge w:val="restart"/>
            <w:shd w:val="clear" w:color="auto" w:fill="005F85"/>
            <w:vAlign w:val="bottom"/>
          </w:tcPr>
          <w:p w14:paraId="241F6E3C" w14:textId="77777777" w:rsidR="00F61D64" w:rsidRPr="006A14E9" w:rsidRDefault="00F61D64" w:rsidP="003A31ED">
            <w:pPr>
              <w:keepNext/>
              <w:keepLines/>
              <w:spacing w:after="0"/>
              <w:ind w:left="-88" w:right="33"/>
              <w:jc w:val="center"/>
              <w:rPr>
                <w:rFonts w:eastAsia="Times New Roman" w:cs="Arial"/>
                <w:b/>
                <w:bCs/>
                <w:color w:val="FFFFFF"/>
                <w:sz w:val="20"/>
                <w:szCs w:val="20"/>
              </w:rPr>
            </w:pPr>
            <w:r w:rsidRPr="006A14E9">
              <w:rPr>
                <w:rFonts w:eastAsia="Times New Roman" w:cs="Arial"/>
                <w:b/>
                <w:bCs/>
                <w:color w:val="FFFFFF"/>
                <w:sz w:val="20"/>
                <w:szCs w:val="20"/>
              </w:rPr>
              <w:t>Age group (years)</w:t>
            </w:r>
          </w:p>
        </w:tc>
        <w:tc>
          <w:tcPr>
            <w:tcW w:w="1018" w:type="dxa"/>
            <w:vMerge w:val="restart"/>
            <w:shd w:val="clear" w:color="auto" w:fill="005F85"/>
          </w:tcPr>
          <w:p w14:paraId="64D4BE0D" w14:textId="77777777" w:rsidR="00F61D64" w:rsidRDefault="00F61D64" w:rsidP="003A31ED">
            <w:pPr>
              <w:keepNext/>
              <w:keepLines/>
              <w:spacing w:after="0"/>
              <w:jc w:val="center"/>
              <w:rPr>
                <w:rFonts w:eastAsia="Times New Roman" w:cs="Arial"/>
                <w:b/>
                <w:bCs/>
                <w:color w:val="FFFFFF"/>
                <w:sz w:val="20"/>
                <w:szCs w:val="20"/>
              </w:rPr>
            </w:pPr>
            <w:r w:rsidRPr="006A14E9">
              <w:rPr>
                <w:rFonts w:eastAsia="Times New Roman" w:cs="Arial"/>
                <w:b/>
                <w:bCs/>
                <w:color w:val="FFFFFF"/>
                <w:sz w:val="20"/>
                <w:szCs w:val="20"/>
              </w:rPr>
              <w:t>Core food groups</w:t>
            </w:r>
          </w:p>
          <w:p w14:paraId="508BD2C9" w14:textId="77777777" w:rsidR="00F61D64" w:rsidRPr="006A14E9" w:rsidRDefault="00F61D64" w:rsidP="003A31ED">
            <w:pPr>
              <w:keepNext/>
              <w:keepLines/>
              <w:spacing w:after="0"/>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2068" w:type="dxa"/>
            <w:gridSpan w:val="2"/>
            <w:vMerge w:val="restart"/>
            <w:shd w:val="clear" w:color="auto" w:fill="156082" w:themeFill="accent1"/>
          </w:tcPr>
          <w:p w14:paraId="1F224F99" w14:textId="77777777" w:rsidR="00F61D64" w:rsidRDefault="00F61D64" w:rsidP="003A31ED">
            <w:pPr>
              <w:keepNext/>
              <w:keepLines/>
              <w:spacing w:after="0"/>
              <w:jc w:val="center"/>
              <w:rPr>
                <w:rFonts w:eastAsia="Times New Roman" w:cs="Arial"/>
                <w:b/>
                <w:bCs/>
                <w:color w:val="FFFFFF"/>
                <w:sz w:val="20"/>
                <w:szCs w:val="20"/>
              </w:rPr>
            </w:pPr>
            <w:r>
              <w:rPr>
                <w:rFonts w:eastAsia="Times New Roman" w:cs="Arial"/>
                <w:b/>
                <w:bCs/>
                <w:color w:val="FFFFFF"/>
                <w:sz w:val="20"/>
                <w:szCs w:val="20"/>
              </w:rPr>
              <w:t>Intake from AGTHE98^</w:t>
            </w:r>
          </w:p>
          <w:p w14:paraId="02546D9D" w14:textId="77777777" w:rsidR="00F61D64" w:rsidRDefault="00F61D64" w:rsidP="003A31ED">
            <w:pPr>
              <w:keepNext/>
              <w:keepLines/>
              <w:spacing w:after="0"/>
              <w:jc w:val="center"/>
              <w:rPr>
                <w:rFonts w:eastAsia="Times New Roman" w:cs="Arial"/>
                <w:b/>
                <w:bCs/>
                <w:color w:val="FFFFFF"/>
                <w:sz w:val="20"/>
                <w:szCs w:val="20"/>
              </w:rPr>
            </w:pPr>
            <w:r w:rsidRPr="006D5893">
              <w:rPr>
                <w:rFonts w:eastAsia="Times New Roman" w:cs="Arial"/>
                <w:b/>
                <w:bCs/>
                <w:i/>
                <w:iCs/>
                <w:color w:val="FFFFFF"/>
                <w:sz w:val="20"/>
                <w:szCs w:val="20"/>
              </w:rPr>
              <w:t>(Core foods using whole dietary approach)</w:t>
            </w:r>
          </w:p>
          <w:p w14:paraId="7BFDC905" w14:textId="77777777" w:rsidR="00F61D64" w:rsidRDefault="00F61D64" w:rsidP="003A31ED">
            <w:pPr>
              <w:keepNext/>
              <w:keepLines/>
              <w:spacing w:after="0"/>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5593" w:type="dxa"/>
            <w:gridSpan w:val="8"/>
            <w:shd w:val="clear" w:color="auto" w:fill="005F85"/>
          </w:tcPr>
          <w:p w14:paraId="5215AC5E" w14:textId="77777777" w:rsidR="00F61D64" w:rsidRDefault="00F61D64" w:rsidP="003A31ED">
            <w:pPr>
              <w:keepNext/>
              <w:keepLines/>
              <w:spacing w:after="0"/>
              <w:ind w:right="34"/>
              <w:jc w:val="center"/>
              <w:rPr>
                <w:rFonts w:eastAsia="Times New Roman" w:cs="Arial"/>
                <w:b/>
                <w:bCs/>
                <w:color w:val="FFFFFF"/>
                <w:sz w:val="20"/>
                <w:szCs w:val="20"/>
              </w:rPr>
            </w:pPr>
            <w:r>
              <w:rPr>
                <w:rFonts w:eastAsia="Times New Roman" w:cs="Arial"/>
                <w:b/>
                <w:bCs/>
                <w:color w:val="FFFFFF"/>
                <w:sz w:val="20"/>
                <w:szCs w:val="20"/>
              </w:rPr>
              <w:t>Foundation diets</w:t>
            </w:r>
          </w:p>
        </w:tc>
        <w:tc>
          <w:tcPr>
            <w:tcW w:w="4198" w:type="dxa"/>
            <w:gridSpan w:val="4"/>
            <w:shd w:val="clear" w:color="auto" w:fill="005F85"/>
          </w:tcPr>
          <w:p w14:paraId="2482841E" w14:textId="77777777" w:rsidR="00F61D64" w:rsidRDefault="00F61D64" w:rsidP="003A31ED">
            <w:pPr>
              <w:keepNext/>
              <w:keepLines/>
              <w:spacing w:after="0"/>
              <w:ind w:right="34"/>
              <w:jc w:val="center"/>
              <w:rPr>
                <w:rFonts w:eastAsia="Times New Roman" w:cs="Arial"/>
                <w:b/>
                <w:bCs/>
                <w:color w:val="FFFFFF"/>
                <w:sz w:val="20"/>
                <w:szCs w:val="20"/>
              </w:rPr>
            </w:pPr>
            <w:r>
              <w:rPr>
                <w:rFonts w:eastAsia="Times New Roman" w:cs="Arial"/>
                <w:b/>
                <w:bCs/>
                <w:color w:val="FFFFFF"/>
                <w:sz w:val="20"/>
                <w:szCs w:val="20"/>
              </w:rPr>
              <w:t>7 day Total Diets</w:t>
            </w:r>
          </w:p>
        </w:tc>
      </w:tr>
      <w:tr w:rsidR="00F61D64" w:rsidRPr="006A14E9" w14:paraId="3CF5EA17" w14:textId="77777777" w:rsidTr="003A31ED">
        <w:tc>
          <w:tcPr>
            <w:tcW w:w="802" w:type="dxa"/>
            <w:vMerge/>
            <w:shd w:val="clear" w:color="auto" w:fill="005F85"/>
            <w:vAlign w:val="bottom"/>
          </w:tcPr>
          <w:p w14:paraId="01495051" w14:textId="77777777" w:rsidR="00F61D64" w:rsidRPr="006A14E9" w:rsidRDefault="00F61D64" w:rsidP="003A31ED">
            <w:pPr>
              <w:keepNext/>
              <w:keepLines/>
              <w:spacing w:after="0"/>
              <w:ind w:left="-88" w:right="33"/>
              <w:jc w:val="center"/>
              <w:rPr>
                <w:rFonts w:eastAsia="Times New Roman" w:cs="Arial"/>
                <w:b/>
                <w:bCs/>
                <w:color w:val="FFFFFF"/>
                <w:sz w:val="20"/>
                <w:szCs w:val="20"/>
              </w:rPr>
            </w:pPr>
          </w:p>
        </w:tc>
        <w:tc>
          <w:tcPr>
            <w:tcW w:w="1018" w:type="dxa"/>
            <w:vMerge/>
            <w:shd w:val="clear" w:color="auto" w:fill="005F85"/>
          </w:tcPr>
          <w:p w14:paraId="749AE0D4" w14:textId="77777777" w:rsidR="00F61D64" w:rsidRPr="006A14E9" w:rsidRDefault="00F61D64" w:rsidP="003A31ED">
            <w:pPr>
              <w:keepNext/>
              <w:keepLines/>
              <w:spacing w:after="0"/>
              <w:jc w:val="center"/>
              <w:rPr>
                <w:rFonts w:eastAsia="Times New Roman" w:cs="Arial"/>
                <w:b/>
                <w:bCs/>
                <w:color w:val="FFFFFF"/>
                <w:sz w:val="20"/>
                <w:szCs w:val="20"/>
              </w:rPr>
            </w:pPr>
          </w:p>
        </w:tc>
        <w:tc>
          <w:tcPr>
            <w:tcW w:w="2068" w:type="dxa"/>
            <w:gridSpan w:val="2"/>
            <w:vMerge/>
            <w:shd w:val="clear" w:color="auto" w:fill="156082" w:themeFill="accent1"/>
          </w:tcPr>
          <w:p w14:paraId="74B02810" w14:textId="77777777" w:rsidR="00F61D64" w:rsidRPr="006A14E9" w:rsidRDefault="00F61D64" w:rsidP="003A31ED">
            <w:pPr>
              <w:keepNext/>
              <w:keepLines/>
              <w:spacing w:after="0"/>
              <w:jc w:val="center"/>
              <w:rPr>
                <w:rFonts w:eastAsia="Times New Roman" w:cs="Arial"/>
                <w:b/>
                <w:bCs/>
                <w:color w:val="FFFFFF"/>
                <w:sz w:val="20"/>
                <w:szCs w:val="20"/>
              </w:rPr>
            </w:pPr>
          </w:p>
        </w:tc>
        <w:tc>
          <w:tcPr>
            <w:tcW w:w="1398" w:type="dxa"/>
            <w:gridSpan w:val="2"/>
            <w:shd w:val="clear" w:color="auto" w:fill="005F85"/>
          </w:tcPr>
          <w:p w14:paraId="24FDEDB8" w14:textId="77777777" w:rsidR="00F61D64" w:rsidRDefault="00F61D64" w:rsidP="003A31ED">
            <w:pPr>
              <w:keepNext/>
              <w:keepLines/>
              <w:spacing w:after="0"/>
              <w:jc w:val="center"/>
              <w:rPr>
                <w:rFonts w:eastAsia="Times New Roman" w:cs="Arial"/>
                <w:b/>
                <w:bCs/>
                <w:color w:val="FFFFFF"/>
                <w:sz w:val="20"/>
                <w:szCs w:val="20"/>
              </w:rPr>
            </w:pPr>
            <w:r>
              <w:rPr>
                <w:rFonts w:eastAsia="Times New Roman" w:cs="Arial"/>
                <w:b/>
                <w:bCs/>
                <w:color w:val="FFFFFF"/>
                <w:sz w:val="20"/>
                <w:szCs w:val="20"/>
              </w:rPr>
              <w:t>O</w:t>
            </w:r>
            <w:r w:rsidRPr="006A14E9">
              <w:rPr>
                <w:rFonts w:eastAsia="Times New Roman" w:cs="Arial"/>
                <w:b/>
                <w:bCs/>
                <w:color w:val="FFFFFF"/>
                <w:sz w:val="20"/>
                <w:szCs w:val="20"/>
              </w:rPr>
              <w:t>verall</w:t>
            </w:r>
          </w:p>
          <w:p w14:paraId="3C9561B8" w14:textId="77777777" w:rsidR="00F61D64" w:rsidRPr="006A14E9" w:rsidRDefault="00F61D64" w:rsidP="003A31ED">
            <w:pPr>
              <w:keepNext/>
              <w:keepLines/>
              <w:spacing w:after="0"/>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1398" w:type="dxa"/>
            <w:gridSpan w:val="2"/>
            <w:shd w:val="clear" w:color="auto" w:fill="005F85"/>
          </w:tcPr>
          <w:p w14:paraId="49D29A52" w14:textId="77777777" w:rsidR="00F61D64" w:rsidRDefault="00F61D64" w:rsidP="003A31ED">
            <w:pPr>
              <w:keepNext/>
              <w:keepLines/>
              <w:spacing w:after="0"/>
              <w:jc w:val="center"/>
              <w:rPr>
                <w:rFonts w:eastAsia="Times New Roman" w:cs="Arial"/>
                <w:b/>
                <w:bCs/>
                <w:color w:val="FFFFFF"/>
                <w:sz w:val="20"/>
                <w:szCs w:val="20"/>
              </w:rPr>
            </w:pPr>
            <w:r>
              <w:rPr>
                <w:rFonts w:eastAsia="Times New Roman" w:cs="Arial"/>
                <w:b/>
                <w:bCs/>
                <w:color w:val="FFFFFF"/>
                <w:sz w:val="20"/>
                <w:szCs w:val="20"/>
              </w:rPr>
              <w:t>Intake from r</w:t>
            </w:r>
            <w:r w:rsidRPr="006A14E9">
              <w:rPr>
                <w:rFonts w:eastAsia="Times New Roman" w:cs="Arial"/>
                <w:b/>
                <w:bCs/>
                <w:color w:val="FFFFFF"/>
                <w:sz w:val="20"/>
                <w:szCs w:val="20"/>
              </w:rPr>
              <w:t>ice-based</w:t>
            </w:r>
            <w:r>
              <w:rPr>
                <w:rFonts w:eastAsia="Times New Roman" w:cs="Arial"/>
                <w:b/>
                <w:bCs/>
                <w:color w:val="FFFFFF"/>
                <w:sz w:val="20"/>
                <w:szCs w:val="20"/>
              </w:rPr>
              <w:t xml:space="preserve"> diets</w:t>
            </w:r>
          </w:p>
          <w:p w14:paraId="2F772AC2" w14:textId="77777777" w:rsidR="00F61D64" w:rsidRPr="006A14E9" w:rsidRDefault="00F61D64" w:rsidP="003A31ED">
            <w:pPr>
              <w:keepNext/>
              <w:keepLines/>
              <w:spacing w:after="0"/>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1398" w:type="dxa"/>
            <w:gridSpan w:val="2"/>
            <w:shd w:val="clear" w:color="auto" w:fill="005F85"/>
          </w:tcPr>
          <w:p w14:paraId="09B02EB2" w14:textId="77777777" w:rsidR="00F61D64" w:rsidRDefault="00F61D64" w:rsidP="003A31ED">
            <w:pPr>
              <w:keepNext/>
              <w:keepLines/>
              <w:spacing w:after="0"/>
              <w:ind w:right="27"/>
              <w:jc w:val="center"/>
              <w:rPr>
                <w:rFonts w:eastAsia="Times New Roman" w:cs="Arial"/>
                <w:b/>
                <w:bCs/>
                <w:color w:val="FFFFFF"/>
                <w:sz w:val="20"/>
                <w:szCs w:val="20"/>
              </w:rPr>
            </w:pPr>
            <w:r>
              <w:rPr>
                <w:rFonts w:eastAsia="Times New Roman" w:cs="Arial"/>
                <w:b/>
                <w:bCs/>
                <w:color w:val="FFFFFF"/>
                <w:sz w:val="20"/>
                <w:szCs w:val="20"/>
              </w:rPr>
              <w:t>Intake from p</w:t>
            </w:r>
            <w:r w:rsidRPr="006A14E9">
              <w:rPr>
                <w:rFonts w:eastAsia="Times New Roman" w:cs="Arial"/>
                <w:b/>
                <w:bCs/>
                <w:color w:val="FFFFFF"/>
                <w:sz w:val="20"/>
                <w:szCs w:val="20"/>
              </w:rPr>
              <w:t>asta-based</w:t>
            </w:r>
            <w:r>
              <w:rPr>
                <w:rFonts w:eastAsia="Times New Roman" w:cs="Arial"/>
                <w:b/>
                <w:bCs/>
                <w:color w:val="FFFFFF"/>
                <w:sz w:val="20"/>
                <w:szCs w:val="20"/>
              </w:rPr>
              <w:t xml:space="preserve"> diets</w:t>
            </w:r>
          </w:p>
          <w:p w14:paraId="46FC0A73" w14:textId="77777777" w:rsidR="00F61D64" w:rsidRPr="006A14E9" w:rsidRDefault="00F61D64" w:rsidP="003A31ED">
            <w:pPr>
              <w:keepNext/>
              <w:keepLines/>
              <w:spacing w:after="0"/>
              <w:ind w:right="27"/>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1399" w:type="dxa"/>
            <w:gridSpan w:val="2"/>
            <w:shd w:val="clear" w:color="auto" w:fill="005F85"/>
          </w:tcPr>
          <w:p w14:paraId="4E29C8ED" w14:textId="77777777" w:rsidR="00F61D64" w:rsidRDefault="00F61D64" w:rsidP="003A31ED">
            <w:pPr>
              <w:keepNext/>
              <w:keepLines/>
              <w:spacing w:after="0"/>
              <w:ind w:right="34"/>
              <w:jc w:val="center"/>
              <w:rPr>
                <w:rFonts w:eastAsia="Times New Roman" w:cs="Arial"/>
                <w:b/>
                <w:bCs/>
                <w:color w:val="FFFFFF"/>
                <w:sz w:val="20"/>
                <w:szCs w:val="20"/>
              </w:rPr>
            </w:pPr>
            <w:r>
              <w:rPr>
                <w:rFonts w:eastAsia="Times New Roman" w:cs="Arial"/>
                <w:b/>
                <w:bCs/>
                <w:color w:val="FFFFFF"/>
                <w:sz w:val="20"/>
                <w:szCs w:val="20"/>
              </w:rPr>
              <w:t xml:space="preserve">Intake from </w:t>
            </w:r>
            <w:proofErr w:type="spellStart"/>
            <w:r>
              <w:rPr>
                <w:rFonts w:eastAsia="Times New Roman" w:cs="Arial"/>
                <w:b/>
                <w:bCs/>
                <w:color w:val="FFFFFF"/>
                <w:sz w:val="20"/>
                <w:szCs w:val="20"/>
              </w:rPr>
              <w:t>l</w:t>
            </w:r>
            <w:r w:rsidRPr="006A14E9">
              <w:rPr>
                <w:rFonts w:eastAsia="Times New Roman" w:cs="Arial"/>
                <w:b/>
                <w:bCs/>
                <w:color w:val="FFFFFF"/>
                <w:sz w:val="20"/>
                <w:szCs w:val="20"/>
              </w:rPr>
              <w:t>acto</w:t>
            </w:r>
            <w:proofErr w:type="spellEnd"/>
            <w:r w:rsidRPr="006A14E9">
              <w:rPr>
                <w:rFonts w:eastAsia="Times New Roman" w:cs="Arial"/>
                <w:b/>
                <w:bCs/>
                <w:color w:val="FFFFFF"/>
                <w:sz w:val="20"/>
                <w:szCs w:val="20"/>
              </w:rPr>
              <w:t>-ovo-vego</w:t>
            </w:r>
            <w:r>
              <w:rPr>
                <w:rFonts w:eastAsia="Times New Roman" w:cs="Arial"/>
                <w:b/>
                <w:bCs/>
                <w:color w:val="FFFFFF"/>
                <w:sz w:val="20"/>
                <w:szCs w:val="20"/>
              </w:rPr>
              <w:t xml:space="preserve"> diets</w:t>
            </w:r>
          </w:p>
          <w:p w14:paraId="340DFC32" w14:textId="77777777" w:rsidR="00F61D64" w:rsidRPr="006A14E9" w:rsidRDefault="00F61D64" w:rsidP="003A31ED">
            <w:pPr>
              <w:keepNext/>
              <w:keepLines/>
              <w:spacing w:after="0"/>
              <w:ind w:right="34"/>
              <w:jc w:val="center"/>
              <w:rPr>
                <w:rFonts w:eastAsia="Times New Roman" w:cs="Arial"/>
                <w:b/>
                <w:bCs/>
                <w:color w:val="FFFFFF"/>
                <w:sz w:val="20"/>
                <w:szCs w:val="20"/>
              </w:rPr>
            </w:pPr>
            <w:r>
              <w:rPr>
                <w:rFonts w:eastAsia="Times New Roman" w:cs="Arial"/>
                <w:b/>
                <w:bCs/>
                <w:color w:val="FFFFFF"/>
                <w:sz w:val="20"/>
                <w:szCs w:val="20"/>
              </w:rPr>
              <w:t>(mg</w:t>
            </w:r>
            <w:r w:rsidRPr="006A14E9">
              <w:rPr>
                <w:rFonts w:eastAsia="Times New Roman" w:cs="Arial"/>
                <w:b/>
                <w:bCs/>
                <w:color w:val="FFFFFF"/>
                <w:sz w:val="20"/>
                <w:szCs w:val="20"/>
              </w:rPr>
              <w:t>/day</w:t>
            </w:r>
            <w:r>
              <w:rPr>
                <w:rFonts w:eastAsia="Times New Roman" w:cs="Arial"/>
                <w:b/>
                <w:bCs/>
                <w:color w:val="FFFFFF"/>
                <w:sz w:val="20"/>
                <w:szCs w:val="20"/>
              </w:rPr>
              <w:t>)</w:t>
            </w:r>
          </w:p>
        </w:tc>
        <w:tc>
          <w:tcPr>
            <w:tcW w:w="2099" w:type="dxa"/>
            <w:gridSpan w:val="2"/>
            <w:shd w:val="clear" w:color="auto" w:fill="005F85"/>
          </w:tcPr>
          <w:p w14:paraId="1790EAAD" w14:textId="77777777" w:rsidR="00F61D64" w:rsidRDefault="00F61D64" w:rsidP="003A31ED">
            <w:pPr>
              <w:keepNext/>
              <w:keepLines/>
              <w:spacing w:after="0"/>
              <w:ind w:right="34"/>
              <w:jc w:val="center"/>
              <w:rPr>
                <w:rFonts w:eastAsia="Times New Roman" w:cs="Arial"/>
                <w:b/>
                <w:bCs/>
                <w:color w:val="FFFFFF"/>
                <w:sz w:val="20"/>
                <w:szCs w:val="20"/>
              </w:rPr>
            </w:pPr>
            <w:r>
              <w:rPr>
                <w:rFonts w:eastAsia="Times New Roman" w:cs="Arial"/>
                <w:b/>
                <w:bCs/>
                <w:color w:val="FFFFFF"/>
                <w:sz w:val="20"/>
                <w:szCs w:val="20"/>
              </w:rPr>
              <w:t>Mid energy level</w:t>
            </w:r>
          </w:p>
          <w:p w14:paraId="2D87A087" w14:textId="77777777" w:rsidR="00F61D64" w:rsidRDefault="00F61D64" w:rsidP="003A31ED">
            <w:pPr>
              <w:keepNext/>
              <w:keepLines/>
              <w:spacing w:after="0"/>
              <w:ind w:right="34"/>
              <w:jc w:val="center"/>
              <w:rPr>
                <w:rFonts w:eastAsia="Times New Roman" w:cs="Arial"/>
                <w:b/>
                <w:bCs/>
                <w:color w:val="FFFFFF"/>
                <w:sz w:val="20"/>
                <w:szCs w:val="20"/>
              </w:rPr>
            </w:pPr>
            <w:r>
              <w:rPr>
                <w:rFonts w:eastAsia="Times New Roman" w:cs="Arial"/>
                <w:b/>
                <w:bCs/>
                <w:color w:val="FFFFFF"/>
                <w:sz w:val="20"/>
                <w:szCs w:val="20"/>
              </w:rPr>
              <w:t>(average height, light-moderate activity)</w:t>
            </w:r>
          </w:p>
          <w:p w14:paraId="47261EEE" w14:textId="77777777" w:rsidR="00F61D64" w:rsidRDefault="00F61D64" w:rsidP="003A31ED">
            <w:pPr>
              <w:keepNext/>
              <w:keepLines/>
              <w:spacing w:after="0"/>
              <w:ind w:right="34"/>
              <w:jc w:val="center"/>
              <w:rPr>
                <w:rFonts w:eastAsia="Times New Roman" w:cs="Arial"/>
                <w:b/>
                <w:bCs/>
                <w:color w:val="FFFFFF"/>
                <w:sz w:val="20"/>
                <w:szCs w:val="20"/>
              </w:rPr>
            </w:pPr>
            <w:r w:rsidRPr="000D2DF6">
              <w:rPr>
                <w:rFonts w:ascii="Aptos" w:eastAsia="Times New Roman" w:hAnsi="Aptos" w:cs="Arial"/>
                <w:b/>
                <w:bCs/>
                <w:color w:val="FFFFFF"/>
                <w:sz w:val="20"/>
                <w:szCs w:val="20"/>
              </w:rPr>
              <w:t>(mg/day)</w:t>
            </w:r>
          </w:p>
        </w:tc>
        <w:tc>
          <w:tcPr>
            <w:tcW w:w="2099" w:type="dxa"/>
            <w:gridSpan w:val="2"/>
            <w:shd w:val="clear" w:color="auto" w:fill="005F85"/>
          </w:tcPr>
          <w:p w14:paraId="1C7D59AB" w14:textId="77777777" w:rsidR="00F61D64" w:rsidRDefault="00F61D64" w:rsidP="003A31ED">
            <w:pPr>
              <w:keepNext/>
              <w:keepLines/>
              <w:spacing w:after="0"/>
              <w:ind w:right="34"/>
              <w:jc w:val="center"/>
              <w:rPr>
                <w:rFonts w:eastAsia="Times New Roman" w:cs="Arial"/>
                <w:b/>
                <w:bCs/>
                <w:color w:val="FFFFFF"/>
                <w:sz w:val="20"/>
                <w:szCs w:val="20"/>
              </w:rPr>
            </w:pPr>
            <w:r>
              <w:rPr>
                <w:rFonts w:eastAsia="Times New Roman" w:cs="Arial"/>
                <w:b/>
                <w:bCs/>
                <w:color w:val="FFFFFF"/>
                <w:sz w:val="20"/>
                <w:szCs w:val="20"/>
              </w:rPr>
              <w:t xml:space="preserve">High energy level </w:t>
            </w:r>
          </w:p>
          <w:p w14:paraId="0FE5BA5C" w14:textId="77777777" w:rsidR="00F61D64" w:rsidRDefault="00F61D64" w:rsidP="003A31ED">
            <w:pPr>
              <w:keepNext/>
              <w:keepLines/>
              <w:spacing w:after="0"/>
              <w:ind w:right="34"/>
              <w:jc w:val="center"/>
              <w:rPr>
                <w:rFonts w:ascii="Aptos" w:eastAsia="Times New Roman" w:hAnsi="Aptos" w:cs="Arial"/>
                <w:b/>
                <w:bCs/>
                <w:color w:val="FFFFFF"/>
                <w:sz w:val="20"/>
                <w:szCs w:val="20"/>
              </w:rPr>
            </w:pPr>
            <w:r>
              <w:rPr>
                <w:rFonts w:eastAsia="Times New Roman" w:cs="Arial"/>
                <w:b/>
                <w:bCs/>
                <w:color w:val="FFFFFF"/>
                <w:sz w:val="20"/>
                <w:szCs w:val="20"/>
              </w:rPr>
              <w:t>(tallest, highest activity)</w:t>
            </w:r>
            <w:r w:rsidRPr="000D2DF6">
              <w:rPr>
                <w:rFonts w:ascii="Aptos" w:eastAsia="Times New Roman" w:hAnsi="Aptos" w:cs="Arial"/>
                <w:b/>
                <w:bCs/>
                <w:color w:val="FFFFFF"/>
                <w:sz w:val="20"/>
                <w:szCs w:val="20"/>
              </w:rPr>
              <w:t xml:space="preserve"> </w:t>
            </w:r>
          </w:p>
          <w:p w14:paraId="7B2B089A" w14:textId="77777777" w:rsidR="00F61D64" w:rsidRDefault="00F61D64" w:rsidP="003A31ED">
            <w:pPr>
              <w:keepNext/>
              <w:keepLines/>
              <w:spacing w:after="0"/>
              <w:ind w:right="34"/>
              <w:jc w:val="center"/>
              <w:rPr>
                <w:rFonts w:eastAsia="Times New Roman" w:cs="Arial"/>
                <w:b/>
                <w:bCs/>
                <w:color w:val="FFFFFF"/>
                <w:sz w:val="20"/>
                <w:szCs w:val="20"/>
              </w:rPr>
            </w:pPr>
            <w:r w:rsidRPr="000D2DF6">
              <w:rPr>
                <w:rFonts w:ascii="Aptos" w:eastAsia="Times New Roman" w:hAnsi="Aptos" w:cs="Arial"/>
                <w:b/>
                <w:bCs/>
                <w:color w:val="FFFFFF"/>
                <w:sz w:val="20"/>
                <w:szCs w:val="20"/>
              </w:rPr>
              <w:t>(mg/day)</w:t>
            </w:r>
          </w:p>
        </w:tc>
      </w:tr>
      <w:tr w:rsidR="00F61D64" w:rsidRPr="006A14E9" w14:paraId="400E3A64" w14:textId="77777777" w:rsidTr="003A31ED">
        <w:trPr>
          <w:trHeight w:val="315"/>
        </w:trPr>
        <w:tc>
          <w:tcPr>
            <w:tcW w:w="802" w:type="dxa"/>
            <w:vMerge/>
            <w:shd w:val="clear" w:color="auto" w:fill="005F85"/>
          </w:tcPr>
          <w:p w14:paraId="41224ECB" w14:textId="77777777" w:rsidR="00F61D64" w:rsidRPr="006A14E9" w:rsidRDefault="00F61D64" w:rsidP="003A31ED">
            <w:pPr>
              <w:spacing w:after="0"/>
              <w:ind w:right="-1346"/>
              <w:rPr>
                <w:rFonts w:eastAsia="Times New Roman" w:cs="Arial"/>
                <w:b/>
                <w:bCs/>
                <w:color w:val="FFFFFF"/>
                <w:sz w:val="20"/>
                <w:szCs w:val="20"/>
              </w:rPr>
            </w:pPr>
          </w:p>
        </w:tc>
        <w:tc>
          <w:tcPr>
            <w:tcW w:w="1018" w:type="dxa"/>
            <w:shd w:val="clear" w:color="auto" w:fill="005F85"/>
            <w:vAlign w:val="bottom"/>
          </w:tcPr>
          <w:p w14:paraId="5C35A4CD" w14:textId="77777777" w:rsidR="00F61D64" w:rsidRPr="006A14E9" w:rsidRDefault="00F61D64" w:rsidP="003A31ED">
            <w:pPr>
              <w:spacing w:after="0"/>
              <w:jc w:val="center"/>
              <w:rPr>
                <w:rFonts w:eastAsia="Times New Roman" w:cs="Arial"/>
                <w:b/>
                <w:bCs/>
                <w:color w:val="FFFFFF"/>
                <w:sz w:val="20"/>
                <w:szCs w:val="20"/>
              </w:rPr>
            </w:pPr>
            <w:r>
              <w:rPr>
                <w:rFonts w:eastAsia="Times New Roman" w:cs="Arial"/>
                <w:b/>
                <w:bCs/>
                <w:color w:val="FFFFFF"/>
                <w:sz w:val="20"/>
                <w:szCs w:val="20"/>
              </w:rPr>
              <w:t>All</w:t>
            </w:r>
          </w:p>
        </w:tc>
        <w:tc>
          <w:tcPr>
            <w:tcW w:w="1010" w:type="dxa"/>
            <w:shd w:val="clear" w:color="auto" w:fill="156082" w:themeFill="accent1"/>
            <w:vAlign w:val="bottom"/>
          </w:tcPr>
          <w:p w14:paraId="11002B43" w14:textId="77777777" w:rsidR="00F61D64" w:rsidRPr="006A14E9" w:rsidRDefault="00F61D64" w:rsidP="003A31ED">
            <w:pPr>
              <w:spacing w:after="0"/>
              <w:jc w:val="center"/>
              <w:rPr>
                <w:rFonts w:eastAsia="Times New Roman" w:cs="Arial"/>
                <w:b/>
                <w:bCs/>
                <w:color w:val="FFFFFF"/>
                <w:sz w:val="20"/>
                <w:szCs w:val="20"/>
              </w:rPr>
            </w:pPr>
            <w:r>
              <w:rPr>
                <w:rFonts w:eastAsia="Times New Roman" w:cs="Arial"/>
                <w:b/>
                <w:bCs/>
                <w:color w:val="FFFFFF"/>
                <w:sz w:val="20"/>
                <w:szCs w:val="20"/>
              </w:rPr>
              <w:t>F</w:t>
            </w:r>
          </w:p>
        </w:tc>
        <w:tc>
          <w:tcPr>
            <w:tcW w:w="1058" w:type="dxa"/>
            <w:shd w:val="clear" w:color="auto" w:fill="156082" w:themeFill="accent1"/>
            <w:vAlign w:val="bottom"/>
          </w:tcPr>
          <w:p w14:paraId="4E885433" w14:textId="77777777" w:rsidR="00F61D64" w:rsidRPr="006A14E9" w:rsidRDefault="00F61D64" w:rsidP="003A31ED">
            <w:pPr>
              <w:spacing w:after="0"/>
              <w:jc w:val="center"/>
              <w:rPr>
                <w:rFonts w:eastAsia="Times New Roman" w:cs="Arial"/>
                <w:b/>
                <w:bCs/>
                <w:color w:val="FFFFFF"/>
                <w:sz w:val="20"/>
                <w:szCs w:val="20"/>
              </w:rPr>
            </w:pPr>
            <w:r>
              <w:rPr>
                <w:rFonts w:eastAsia="Times New Roman" w:cs="Arial"/>
                <w:b/>
                <w:bCs/>
                <w:color w:val="FFFFFF"/>
                <w:sz w:val="20"/>
                <w:szCs w:val="20"/>
              </w:rPr>
              <w:t>M</w:t>
            </w:r>
          </w:p>
        </w:tc>
        <w:tc>
          <w:tcPr>
            <w:tcW w:w="699" w:type="dxa"/>
            <w:shd w:val="clear" w:color="auto" w:fill="005F85"/>
            <w:vAlign w:val="bottom"/>
          </w:tcPr>
          <w:p w14:paraId="5F12FE78" w14:textId="77777777" w:rsidR="00F61D64" w:rsidRPr="006A14E9" w:rsidRDefault="00F61D64" w:rsidP="003A31ED">
            <w:pPr>
              <w:spacing w:after="0"/>
              <w:jc w:val="center"/>
              <w:rPr>
                <w:rFonts w:eastAsia="Times New Roman" w:cs="Arial"/>
                <w:b/>
                <w:bCs/>
                <w:color w:val="FFFFFF"/>
                <w:sz w:val="20"/>
                <w:szCs w:val="20"/>
              </w:rPr>
            </w:pPr>
            <w:r>
              <w:rPr>
                <w:rFonts w:eastAsia="Times New Roman" w:cs="Arial"/>
                <w:b/>
                <w:bCs/>
                <w:color w:val="FFFFFF"/>
                <w:sz w:val="20"/>
                <w:szCs w:val="20"/>
              </w:rPr>
              <w:t>F</w:t>
            </w:r>
          </w:p>
        </w:tc>
        <w:tc>
          <w:tcPr>
            <w:tcW w:w="699" w:type="dxa"/>
            <w:shd w:val="clear" w:color="auto" w:fill="005F85"/>
            <w:vAlign w:val="bottom"/>
          </w:tcPr>
          <w:p w14:paraId="76B9288B" w14:textId="77777777" w:rsidR="00F61D64" w:rsidRPr="006A14E9" w:rsidRDefault="00F61D64" w:rsidP="003A31ED">
            <w:pPr>
              <w:spacing w:after="0"/>
              <w:ind w:right="-112"/>
              <w:jc w:val="center"/>
              <w:rPr>
                <w:rFonts w:eastAsia="Times New Roman" w:cs="Arial"/>
                <w:b/>
                <w:bCs/>
                <w:color w:val="FFFFFF"/>
                <w:sz w:val="20"/>
                <w:szCs w:val="20"/>
              </w:rPr>
            </w:pPr>
            <w:r>
              <w:rPr>
                <w:rFonts w:eastAsia="Times New Roman" w:cs="Arial"/>
                <w:b/>
                <w:bCs/>
                <w:color w:val="FFFFFF"/>
                <w:sz w:val="20"/>
                <w:szCs w:val="20"/>
              </w:rPr>
              <w:t>M</w:t>
            </w:r>
          </w:p>
        </w:tc>
        <w:tc>
          <w:tcPr>
            <w:tcW w:w="699" w:type="dxa"/>
            <w:shd w:val="clear" w:color="auto" w:fill="005F85"/>
            <w:vAlign w:val="bottom"/>
          </w:tcPr>
          <w:p w14:paraId="38554C5D" w14:textId="77777777" w:rsidR="00F61D64" w:rsidRPr="006A14E9" w:rsidRDefault="00F61D64" w:rsidP="003A31ED">
            <w:pPr>
              <w:spacing w:after="0"/>
              <w:jc w:val="center"/>
              <w:rPr>
                <w:rFonts w:eastAsia="Times New Roman" w:cs="Arial"/>
                <w:b/>
                <w:bCs/>
                <w:color w:val="FFFFFF"/>
                <w:sz w:val="20"/>
                <w:szCs w:val="20"/>
              </w:rPr>
            </w:pPr>
            <w:r>
              <w:rPr>
                <w:rFonts w:eastAsia="Times New Roman" w:cs="Arial"/>
                <w:b/>
                <w:bCs/>
                <w:color w:val="FFFFFF"/>
                <w:sz w:val="20"/>
                <w:szCs w:val="20"/>
              </w:rPr>
              <w:t>F</w:t>
            </w:r>
          </w:p>
        </w:tc>
        <w:tc>
          <w:tcPr>
            <w:tcW w:w="699" w:type="dxa"/>
            <w:shd w:val="clear" w:color="auto" w:fill="005F85"/>
            <w:vAlign w:val="bottom"/>
          </w:tcPr>
          <w:p w14:paraId="3B5F6CF8" w14:textId="77777777" w:rsidR="00F61D64" w:rsidRPr="006A14E9" w:rsidRDefault="00F61D64" w:rsidP="003A31ED">
            <w:pPr>
              <w:spacing w:after="0"/>
              <w:ind w:right="-110"/>
              <w:jc w:val="center"/>
              <w:rPr>
                <w:rFonts w:eastAsia="Times New Roman" w:cs="Arial"/>
                <w:b/>
                <w:bCs/>
                <w:color w:val="FFFFFF"/>
                <w:sz w:val="20"/>
                <w:szCs w:val="20"/>
              </w:rPr>
            </w:pPr>
            <w:r>
              <w:rPr>
                <w:rFonts w:eastAsia="Times New Roman" w:cs="Arial"/>
                <w:b/>
                <w:bCs/>
                <w:color w:val="FFFFFF"/>
                <w:sz w:val="20"/>
                <w:szCs w:val="20"/>
              </w:rPr>
              <w:t>M</w:t>
            </w:r>
          </w:p>
        </w:tc>
        <w:tc>
          <w:tcPr>
            <w:tcW w:w="699" w:type="dxa"/>
            <w:shd w:val="clear" w:color="auto" w:fill="005F85"/>
            <w:vAlign w:val="bottom"/>
          </w:tcPr>
          <w:p w14:paraId="56E4301F" w14:textId="77777777" w:rsidR="00F61D64" w:rsidRPr="006A14E9" w:rsidRDefault="00F61D64" w:rsidP="003A31ED">
            <w:pPr>
              <w:spacing w:after="0"/>
              <w:jc w:val="center"/>
              <w:rPr>
                <w:rFonts w:eastAsia="Times New Roman" w:cs="Arial"/>
                <w:b/>
                <w:bCs/>
                <w:color w:val="FFFFFF"/>
                <w:sz w:val="20"/>
                <w:szCs w:val="20"/>
              </w:rPr>
            </w:pPr>
            <w:r>
              <w:rPr>
                <w:rFonts w:eastAsia="Times New Roman" w:cs="Arial"/>
                <w:b/>
                <w:bCs/>
                <w:color w:val="FFFFFF"/>
                <w:sz w:val="20"/>
                <w:szCs w:val="20"/>
              </w:rPr>
              <w:t>F</w:t>
            </w:r>
          </w:p>
        </w:tc>
        <w:tc>
          <w:tcPr>
            <w:tcW w:w="699" w:type="dxa"/>
            <w:shd w:val="clear" w:color="auto" w:fill="005F85"/>
            <w:vAlign w:val="bottom"/>
          </w:tcPr>
          <w:p w14:paraId="0B1700CA" w14:textId="77777777" w:rsidR="00F61D64" w:rsidRPr="006A14E9" w:rsidRDefault="00F61D64" w:rsidP="003A31ED">
            <w:pPr>
              <w:spacing w:after="0"/>
              <w:ind w:right="-108"/>
              <w:jc w:val="center"/>
              <w:rPr>
                <w:rFonts w:eastAsia="Times New Roman" w:cs="Arial"/>
                <w:b/>
                <w:bCs/>
                <w:color w:val="FFFFFF"/>
                <w:sz w:val="20"/>
                <w:szCs w:val="20"/>
              </w:rPr>
            </w:pPr>
            <w:r>
              <w:rPr>
                <w:rFonts w:eastAsia="Times New Roman" w:cs="Arial"/>
                <w:b/>
                <w:bCs/>
                <w:color w:val="FFFFFF"/>
                <w:sz w:val="20"/>
                <w:szCs w:val="20"/>
              </w:rPr>
              <w:t>M</w:t>
            </w:r>
          </w:p>
        </w:tc>
        <w:tc>
          <w:tcPr>
            <w:tcW w:w="699" w:type="dxa"/>
            <w:shd w:val="clear" w:color="auto" w:fill="005F85"/>
            <w:vAlign w:val="bottom"/>
          </w:tcPr>
          <w:p w14:paraId="0C85EB9A" w14:textId="77777777" w:rsidR="00F61D64" w:rsidRPr="006A14E9" w:rsidRDefault="00F61D64" w:rsidP="003A31ED">
            <w:pPr>
              <w:spacing w:after="0"/>
              <w:jc w:val="center"/>
              <w:rPr>
                <w:rFonts w:eastAsia="Times New Roman" w:cs="Arial"/>
                <w:b/>
                <w:bCs/>
                <w:color w:val="FFFFFF"/>
                <w:sz w:val="20"/>
                <w:szCs w:val="20"/>
              </w:rPr>
            </w:pPr>
            <w:r>
              <w:rPr>
                <w:rFonts w:eastAsia="Times New Roman" w:cs="Arial"/>
                <w:b/>
                <w:bCs/>
                <w:color w:val="FFFFFF"/>
                <w:sz w:val="20"/>
                <w:szCs w:val="20"/>
              </w:rPr>
              <w:t>F</w:t>
            </w:r>
          </w:p>
        </w:tc>
        <w:tc>
          <w:tcPr>
            <w:tcW w:w="700" w:type="dxa"/>
            <w:shd w:val="clear" w:color="auto" w:fill="005F85"/>
            <w:vAlign w:val="bottom"/>
          </w:tcPr>
          <w:p w14:paraId="08AC187D" w14:textId="77777777" w:rsidR="00F61D64" w:rsidRPr="006A14E9" w:rsidRDefault="00F61D64" w:rsidP="003A31ED">
            <w:pPr>
              <w:spacing w:after="0"/>
              <w:ind w:right="-104"/>
              <w:jc w:val="center"/>
              <w:rPr>
                <w:rFonts w:eastAsia="Times New Roman" w:cs="Arial"/>
                <w:b/>
                <w:bCs/>
                <w:color w:val="FFFFFF"/>
                <w:sz w:val="20"/>
                <w:szCs w:val="20"/>
              </w:rPr>
            </w:pPr>
            <w:r>
              <w:rPr>
                <w:rFonts w:eastAsia="Times New Roman" w:cs="Arial"/>
                <w:b/>
                <w:bCs/>
                <w:color w:val="FFFFFF"/>
                <w:sz w:val="20"/>
                <w:szCs w:val="20"/>
              </w:rPr>
              <w:t>M</w:t>
            </w:r>
          </w:p>
        </w:tc>
        <w:tc>
          <w:tcPr>
            <w:tcW w:w="1049" w:type="dxa"/>
            <w:shd w:val="clear" w:color="auto" w:fill="005F85"/>
            <w:vAlign w:val="bottom"/>
          </w:tcPr>
          <w:p w14:paraId="4D3426F6" w14:textId="77777777" w:rsidR="00F61D64" w:rsidRDefault="00F61D64" w:rsidP="003A31ED">
            <w:pPr>
              <w:spacing w:after="0"/>
              <w:ind w:right="-104"/>
              <w:jc w:val="center"/>
              <w:rPr>
                <w:rFonts w:eastAsia="Times New Roman" w:cs="Arial"/>
                <w:b/>
                <w:bCs/>
                <w:color w:val="FFFFFF"/>
                <w:sz w:val="20"/>
                <w:szCs w:val="20"/>
              </w:rPr>
            </w:pPr>
            <w:r>
              <w:rPr>
                <w:rFonts w:eastAsia="Times New Roman" w:cs="Arial"/>
                <w:b/>
                <w:bCs/>
                <w:color w:val="FFFFFF"/>
                <w:sz w:val="20"/>
                <w:szCs w:val="20"/>
              </w:rPr>
              <w:t>F</w:t>
            </w:r>
          </w:p>
        </w:tc>
        <w:tc>
          <w:tcPr>
            <w:tcW w:w="1050" w:type="dxa"/>
            <w:shd w:val="clear" w:color="auto" w:fill="005F85"/>
            <w:vAlign w:val="bottom"/>
          </w:tcPr>
          <w:p w14:paraId="64C78401" w14:textId="77777777" w:rsidR="00F61D64" w:rsidRDefault="00F61D64" w:rsidP="003A31ED">
            <w:pPr>
              <w:spacing w:after="0"/>
              <w:ind w:right="-104"/>
              <w:jc w:val="center"/>
              <w:rPr>
                <w:rFonts w:eastAsia="Times New Roman" w:cs="Arial"/>
                <w:b/>
                <w:bCs/>
                <w:color w:val="FFFFFF"/>
                <w:sz w:val="20"/>
                <w:szCs w:val="20"/>
              </w:rPr>
            </w:pPr>
            <w:r>
              <w:rPr>
                <w:rFonts w:eastAsia="Times New Roman" w:cs="Arial"/>
                <w:b/>
                <w:bCs/>
                <w:color w:val="FFFFFF"/>
                <w:sz w:val="20"/>
                <w:szCs w:val="20"/>
              </w:rPr>
              <w:t>M</w:t>
            </w:r>
          </w:p>
        </w:tc>
        <w:tc>
          <w:tcPr>
            <w:tcW w:w="1049" w:type="dxa"/>
            <w:shd w:val="clear" w:color="auto" w:fill="005F85"/>
            <w:vAlign w:val="bottom"/>
          </w:tcPr>
          <w:p w14:paraId="552015FE" w14:textId="77777777" w:rsidR="00F61D64" w:rsidRDefault="00F61D64" w:rsidP="003A31ED">
            <w:pPr>
              <w:spacing w:after="0"/>
              <w:ind w:right="-104"/>
              <w:jc w:val="center"/>
              <w:rPr>
                <w:rFonts w:eastAsia="Times New Roman" w:cs="Arial"/>
                <w:b/>
                <w:bCs/>
                <w:color w:val="FFFFFF"/>
                <w:sz w:val="20"/>
                <w:szCs w:val="20"/>
              </w:rPr>
            </w:pPr>
            <w:r>
              <w:rPr>
                <w:rFonts w:eastAsia="Times New Roman" w:cs="Arial"/>
                <w:b/>
                <w:bCs/>
                <w:color w:val="FFFFFF"/>
                <w:sz w:val="20"/>
                <w:szCs w:val="20"/>
              </w:rPr>
              <w:t>F</w:t>
            </w:r>
          </w:p>
        </w:tc>
        <w:tc>
          <w:tcPr>
            <w:tcW w:w="1050" w:type="dxa"/>
            <w:shd w:val="clear" w:color="auto" w:fill="005F85"/>
            <w:vAlign w:val="bottom"/>
          </w:tcPr>
          <w:p w14:paraId="4AF8A63C" w14:textId="77777777" w:rsidR="00F61D64" w:rsidRDefault="00F61D64" w:rsidP="003A31ED">
            <w:pPr>
              <w:spacing w:after="0"/>
              <w:ind w:right="-104"/>
              <w:jc w:val="center"/>
              <w:rPr>
                <w:rFonts w:eastAsia="Times New Roman" w:cs="Arial"/>
                <w:b/>
                <w:bCs/>
                <w:color w:val="FFFFFF"/>
                <w:sz w:val="20"/>
                <w:szCs w:val="20"/>
              </w:rPr>
            </w:pPr>
            <w:r>
              <w:rPr>
                <w:rFonts w:eastAsia="Times New Roman" w:cs="Arial"/>
                <w:b/>
                <w:bCs/>
                <w:color w:val="FFFFFF"/>
                <w:sz w:val="20"/>
                <w:szCs w:val="20"/>
              </w:rPr>
              <w:t>M</w:t>
            </w:r>
          </w:p>
        </w:tc>
      </w:tr>
      <w:tr w:rsidR="00F61D64" w:rsidRPr="006A14E9" w14:paraId="3B35C664" w14:textId="77777777" w:rsidTr="003A31ED">
        <w:tc>
          <w:tcPr>
            <w:tcW w:w="802" w:type="dxa"/>
            <w:vAlign w:val="center"/>
          </w:tcPr>
          <w:p w14:paraId="7CE2EC0F" w14:textId="77777777" w:rsidR="00F61D64" w:rsidRPr="006A14E9" w:rsidRDefault="00F61D64" w:rsidP="003A31ED">
            <w:pPr>
              <w:spacing w:after="0"/>
              <w:ind w:right="-1346"/>
              <w:rPr>
                <w:rFonts w:eastAsia="Times New Roman" w:cs="Arial"/>
                <w:sz w:val="20"/>
                <w:szCs w:val="20"/>
              </w:rPr>
            </w:pPr>
            <w:r w:rsidRPr="006A14E9">
              <w:rPr>
                <w:rFonts w:eastAsia="Times New Roman" w:cs="Arial"/>
                <w:sz w:val="20"/>
                <w:szCs w:val="20"/>
              </w:rPr>
              <w:t>19-30 yr</w:t>
            </w:r>
          </w:p>
        </w:tc>
        <w:tc>
          <w:tcPr>
            <w:tcW w:w="1018" w:type="dxa"/>
            <w:vMerge w:val="restart"/>
            <w:vAlign w:val="center"/>
          </w:tcPr>
          <w:p w14:paraId="28870492" w14:textId="77777777" w:rsidR="00F61D64" w:rsidRPr="0084316C" w:rsidRDefault="00F61D64" w:rsidP="003A31ED">
            <w:pPr>
              <w:spacing w:after="0"/>
              <w:ind w:right="38"/>
              <w:jc w:val="center"/>
              <w:rPr>
                <w:rFonts w:eastAsia="Times New Roman" w:cs="Arial"/>
                <w:sz w:val="20"/>
                <w:szCs w:val="20"/>
              </w:rPr>
            </w:pPr>
            <w:r>
              <w:rPr>
                <w:rFonts w:eastAsia="Times New Roman" w:cs="Arial"/>
                <w:sz w:val="20"/>
                <w:szCs w:val="20"/>
              </w:rPr>
              <w:t>700</w:t>
            </w:r>
          </w:p>
        </w:tc>
        <w:tc>
          <w:tcPr>
            <w:tcW w:w="1010" w:type="dxa"/>
            <w:vMerge w:val="restart"/>
            <w:shd w:val="clear" w:color="auto" w:fill="FAE2D5" w:themeFill="accent2" w:themeFillTint="33"/>
            <w:vAlign w:val="center"/>
          </w:tcPr>
          <w:p w14:paraId="5EC71819" w14:textId="77777777" w:rsidR="00F61D64" w:rsidRPr="0084316C" w:rsidRDefault="00F61D64" w:rsidP="003A31ED">
            <w:pPr>
              <w:spacing w:after="0"/>
              <w:ind w:right="-115"/>
              <w:jc w:val="center"/>
              <w:rPr>
                <w:rFonts w:eastAsia="Times New Roman" w:cs="Arial"/>
                <w:sz w:val="20"/>
                <w:szCs w:val="20"/>
              </w:rPr>
            </w:pPr>
            <w:r w:rsidRPr="0084316C">
              <w:rPr>
                <w:rFonts w:eastAsia="Times New Roman" w:cs="Arial"/>
                <w:sz w:val="20"/>
                <w:szCs w:val="20"/>
              </w:rPr>
              <w:t>1,22</w:t>
            </w:r>
            <w:r>
              <w:rPr>
                <w:rFonts w:eastAsia="Times New Roman" w:cs="Arial"/>
                <w:sz w:val="20"/>
                <w:szCs w:val="20"/>
              </w:rPr>
              <w:t>3</w:t>
            </w:r>
            <w:r w:rsidRPr="0084316C">
              <w:rPr>
                <w:rFonts w:eastAsia="Times New Roman" w:cs="Arial"/>
                <w:sz w:val="20"/>
                <w:szCs w:val="20"/>
              </w:rPr>
              <w:t xml:space="preserve"> to 218</w:t>
            </w:r>
            <w:r>
              <w:rPr>
                <w:rFonts w:eastAsia="Times New Roman" w:cs="Arial"/>
                <w:sz w:val="20"/>
                <w:szCs w:val="20"/>
              </w:rPr>
              <w:t>2</w:t>
            </w:r>
          </w:p>
        </w:tc>
        <w:tc>
          <w:tcPr>
            <w:tcW w:w="1058" w:type="dxa"/>
            <w:vMerge w:val="restart"/>
            <w:shd w:val="clear" w:color="auto" w:fill="FAE2D5" w:themeFill="accent2" w:themeFillTint="33"/>
            <w:vAlign w:val="center"/>
          </w:tcPr>
          <w:p w14:paraId="16F466BA" w14:textId="77777777" w:rsidR="00F61D64" w:rsidRPr="0084316C" w:rsidRDefault="00F61D64" w:rsidP="003A31ED">
            <w:pPr>
              <w:spacing w:after="0"/>
              <w:ind w:right="-115"/>
              <w:jc w:val="center"/>
              <w:rPr>
                <w:rFonts w:eastAsia="Times New Roman" w:cs="Arial"/>
                <w:sz w:val="20"/>
                <w:szCs w:val="20"/>
              </w:rPr>
            </w:pPr>
            <w:r w:rsidRPr="0084316C">
              <w:rPr>
                <w:rFonts w:eastAsia="Times New Roman" w:cs="Arial"/>
                <w:sz w:val="20"/>
                <w:szCs w:val="20"/>
              </w:rPr>
              <w:t>1,60</w:t>
            </w:r>
            <w:r>
              <w:rPr>
                <w:rFonts w:eastAsia="Times New Roman" w:cs="Arial"/>
                <w:sz w:val="20"/>
                <w:szCs w:val="20"/>
              </w:rPr>
              <w:t>6</w:t>
            </w:r>
            <w:r w:rsidRPr="0084316C">
              <w:rPr>
                <w:rFonts w:eastAsia="Times New Roman" w:cs="Arial"/>
                <w:sz w:val="20"/>
                <w:szCs w:val="20"/>
              </w:rPr>
              <w:t xml:space="preserve"> to 2,756</w:t>
            </w:r>
          </w:p>
        </w:tc>
        <w:tc>
          <w:tcPr>
            <w:tcW w:w="699" w:type="dxa"/>
            <w:vAlign w:val="center"/>
          </w:tcPr>
          <w:p w14:paraId="3915B9C6" w14:textId="77777777" w:rsidR="00F61D64" w:rsidRPr="0084316C" w:rsidRDefault="00F61D64" w:rsidP="003A31ED">
            <w:pPr>
              <w:spacing w:after="0"/>
              <w:ind w:right="-115"/>
              <w:jc w:val="center"/>
              <w:rPr>
                <w:rFonts w:eastAsia="Times New Roman" w:cs="Arial"/>
                <w:sz w:val="20"/>
                <w:szCs w:val="20"/>
              </w:rPr>
            </w:pPr>
            <w:r w:rsidRPr="0084316C">
              <w:rPr>
                <w:rFonts w:eastAsia="Times New Roman" w:cs="Arial"/>
                <w:sz w:val="20"/>
                <w:szCs w:val="20"/>
              </w:rPr>
              <w:t>140</w:t>
            </w:r>
            <w:r>
              <w:rPr>
                <w:rFonts w:eastAsia="Times New Roman" w:cs="Arial"/>
                <w:sz w:val="20"/>
                <w:szCs w:val="20"/>
              </w:rPr>
              <w:t>5</w:t>
            </w:r>
          </w:p>
        </w:tc>
        <w:tc>
          <w:tcPr>
            <w:tcW w:w="699" w:type="dxa"/>
            <w:vAlign w:val="center"/>
          </w:tcPr>
          <w:p w14:paraId="1184B05B" w14:textId="77777777" w:rsidR="00F61D64" w:rsidRPr="0084316C" w:rsidRDefault="00F61D64" w:rsidP="003A31ED">
            <w:pPr>
              <w:spacing w:after="0"/>
              <w:ind w:right="-115"/>
              <w:rPr>
                <w:rFonts w:eastAsia="Times New Roman" w:cs="Arial"/>
                <w:sz w:val="20"/>
                <w:szCs w:val="20"/>
              </w:rPr>
            </w:pPr>
            <w:r w:rsidRPr="0084316C">
              <w:rPr>
                <w:rFonts w:eastAsia="Times New Roman" w:cs="Arial"/>
                <w:sz w:val="20"/>
                <w:szCs w:val="20"/>
              </w:rPr>
              <w:t>141</w:t>
            </w:r>
            <w:r>
              <w:rPr>
                <w:rFonts w:eastAsia="Times New Roman" w:cs="Arial"/>
                <w:sz w:val="20"/>
                <w:szCs w:val="20"/>
              </w:rPr>
              <w:t>1</w:t>
            </w:r>
          </w:p>
        </w:tc>
        <w:tc>
          <w:tcPr>
            <w:tcW w:w="699" w:type="dxa"/>
            <w:vAlign w:val="center"/>
          </w:tcPr>
          <w:p w14:paraId="2A6E5B37" w14:textId="77777777" w:rsidR="00F61D64" w:rsidRPr="0084316C" w:rsidRDefault="00F61D64" w:rsidP="003A31ED">
            <w:pPr>
              <w:spacing w:after="0"/>
              <w:ind w:right="36"/>
              <w:jc w:val="center"/>
              <w:rPr>
                <w:rFonts w:eastAsia="Times New Roman" w:cs="Arial"/>
                <w:sz w:val="20"/>
                <w:szCs w:val="20"/>
              </w:rPr>
            </w:pPr>
            <w:r w:rsidRPr="0084316C">
              <w:rPr>
                <w:rFonts w:eastAsia="Times New Roman" w:cs="Arial"/>
                <w:sz w:val="20"/>
                <w:szCs w:val="20"/>
              </w:rPr>
              <w:t>926</w:t>
            </w:r>
          </w:p>
        </w:tc>
        <w:tc>
          <w:tcPr>
            <w:tcW w:w="699" w:type="dxa"/>
            <w:vAlign w:val="center"/>
          </w:tcPr>
          <w:p w14:paraId="66AE23BF" w14:textId="77777777" w:rsidR="00F61D64" w:rsidRPr="0084316C" w:rsidRDefault="00F61D64" w:rsidP="003A31ED">
            <w:pPr>
              <w:spacing w:after="0"/>
              <w:ind w:right="-115"/>
              <w:jc w:val="center"/>
              <w:rPr>
                <w:rFonts w:eastAsia="Times New Roman" w:cs="Arial"/>
                <w:sz w:val="20"/>
                <w:szCs w:val="20"/>
              </w:rPr>
            </w:pPr>
            <w:r w:rsidRPr="0084316C">
              <w:rPr>
                <w:rFonts w:eastAsia="Times New Roman" w:cs="Arial"/>
                <w:sz w:val="20"/>
                <w:szCs w:val="20"/>
              </w:rPr>
              <w:t>99</w:t>
            </w:r>
            <w:r>
              <w:rPr>
                <w:rFonts w:eastAsia="Times New Roman" w:cs="Arial"/>
                <w:sz w:val="20"/>
                <w:szCs w:val="20"/>
              </w:rPr>
              <w:t>8</w:t>
            </w:r>
          </w:p>
        </w:tc>
        <w:tc>
          <w:tcPr>
            <w:tcW w:w="699" w:type="dxa"/>
            <w:vAlign w:val="center"/>
          </w:tcPr>
          <w:p w14:paraId="419E3D43" w14:textId="77777777" w:rsidR="00F61D64" w:rsidRPr="006A14E9" w:rsidRDefault="00F61D64" w:rsidP="003A31ED">
            <w:pPr>
              <w:spacing w:after="0"/>
              <w:ind w:right="27"/>
              <w:jc w:val="center"/>
              <w:rPr>
                <w:rFonts w:eastAsia="Times New Roman" w:cs="Arial"/>
                <w:sz w:val="20"/>
                <w:szCs w:val="20"/>
              </w:rPr>
            </w:pPr>
            <w:r w:rsidRPr="00BF2B0E">
              <w:rPr>
                <w:rFonts w:eastAsia="Times New Roman" w:cs="Arial"/>
                <w:sz w:val="20"/>
                <w:szCs w:val="20"/>
              </w:rPr>
              <w:t>1159</w:t>
            </w:r>
          </w:p>
        </w:tc>
        <w:tc>
          <w:tcPr>
            <w:tcW w:w="699" w:type="dxa"/>
            <w:vAlign w:val="center"/>
          </w:tcPr>
          <w:p w14:paraId="6EA11C3D" w14:textId="77777777" w:rsidR="00F61D64" w:rsidRPr="006A14E9" w:rsidRDefault="00F61D64" w:rsidP="003A31ED">
            <w:pPr>
              <w:spacing w:after="0"/>
              <w:ind w:right="27"/>
              <w:jc w:val="center"/>
              <w:rPr>
                <w:rFonts w:eastAsia="Times New Roman" w:cs="Arial"/>
                <w:sz w:val="20"/>
                <w:szCs w:val="20"/>
              </w:rPr>
            </w:pPr>
            <w:r w:rsidRPr="00BF2B0E">
              <w:rPr>
                <w:rFonts w:eastAsia="Times New Roman" w:cs="Arial"/>
                <w:sz w:val="20"/>
                <w:szCs w:val="20"/>
              </w:rPr>
              <w:t>1338</w:t>
            </w:r>
          </w:p>
        </w:tc>
        <w:tc>
          <w:tcPr>
            <w:tcW w:w="699" w:type="dxa"/>
            <w:vAlign w:val="center"/>
          </w:tcPr>
          <w:p w14:paraId="35C53564" w14:textId="77777777" w:rsidR="00F61D64" w:rsidRPr="006A14E9" w:rsidRDefault="00F61D64" w:rsidP="003A31ED">
            <w:pPr>
              <w:spacing w:after="0"/>
              <w:ind w:right="34"/>
              <w:jc w:val="center"/>
              <w:rPr>
                <w:rFonts w:eastAsia="Times New Roman" w:cs="Arial"/>
                <w:sz w:val="20"/>
                <w:szCs w:val="20"/>
              </w:rPr>
            </w:pPr>
            <w:r w:rsidRPr="00BF2B0E">
              <w:rPr>
                <w:rFonts w:eastAsia="Times New Roman" w:cs="Arial"/>
                <w:sz w:val="20"/>
                <w:szCs w:val="20"/>
              </w:rPr>
              <w:t>141</w:t>
            </w:r>
            <w:r>
              <w:rPr>
                <w:rFonts w:eastAsia="Times New Roman" w:cs="Arial"/>
                <w:sz w:val="20"/>
                <w:szCs w:val="20"/>
              </w:rPr>
              <w:t>1</w:t>
            </w:r>
          </w:p>
        </w:tc>
        <w:tc>
          <w:tcPr>
            <w:tcW w:w="700" w:type="dxa"/>
            <w:vAlign w:val="center"/>
          </w:tcPr>
          <w:p w14:paraId="699E0016" w14:textId="77777777" w:rsidR="00F61D64" w:rsidRPr="006A14E9" w:rsidRDefault="00F61D64" w:rsidP="003A31ED">
            <w:pPr>
              <w:spacing w:after="0"/>
              <w:ind w:right="34"/>
              <w:jc w:val="center"/>
              <w:rPr>
                <w:rFonts w:eastAsia="Times New Roman" w:cs="Arial"/>
                <w:sz w:val="20"/>
                <w:szCs w:val="20"/>
              </w:rPr>
            </w:pPr>
            <w:r w:rsidRPr="00BF2B0E">
              <w:rPr>
                <w:rFonts w:eastAsia="Times New Roman" w:cs="Arial"/>
                <w:sz w:val="20"/>
                <w:szCs w:val="20"/>
              </w:rPr>
              <w:t>129</w:t>
            </w:r>
            <w:r>
              <w:rPr>
                <w:rFonts w:eastAsia="Times New Roman" w:cs="Arial"/>
                <w:sz w:val="20"/>
                <w:szCs w:val="20"/>
              </w:rPr>
              <w:t>6</w:t>
            </w:r>
          </w:p>
        </w:tc>
        <w:tc>
          <w:tcPr>
            <w:tcW w:w="1049" w:type="dxa"/>
          </w:tcPr>
          <w:p w14:paraId="6D76461F" w14:textId="77777777" w:rsidR="00F61D64" w:rsidRPr="00BF2B0E" w:rsidRDefault="00F61D64" w:rsidP="003A31ED">
            <w:pPr>
              <w:spacing w:after="0"/>
              <w:ind w:right="34"/>
              <w:jc w:val="center"/>
              <w:rPr>
                <w:rFonts w:eastAsia="Times New Roman" w:cs="Arial"/>
                <w:sz w:val="20"/>
                <w:szCs w:val="20"/>
              </w:rPr>
            </w:pPr>
            <w:r>
              <w:rPr>
                <w:rFonts w:eastAsia="Times New Roman" w:cs="Arial"/>
                <w:sz w:val="20"/>
                <w:szCs w:val="20"/>
              </w:rPr>
              <w:t>1711 to 1986</w:t>
            </w:r>
          </w:p>
        </w:tc>
        <w:tc>
          <w:tcPr>
            <w:tcW w:w="1050" w:type="dxa"/>
            <w:shd w:val="clear" w:color="auto" w:fill="FAE2D5" w:themeFill="accent2" w:themeFillTint="33"/>
          </w:tcPr>
          <w:p w14:paraId="6D6D164F" w14:textId="77777777" w:rsidR="00F61D64" w:rsidRPr="00BF2B0E" w:rsidRDefault="00F61D64" w:rsidP="003A31ED">
            <w:pPr>
              <w:spacing w:after="0"/>
              <w:ind w:right="34"/>
              <w:jc w:val="center"/>
              <w:rPr>
                <w:rFonts w:eastAsia="Times New Roman" w:cs="Arial"/>
                <w:sz w:val="20"/>
                <w:szCs w:val="20"/>
              </w:rPr>
            </w:pPr>
            <w:r>
              <w:rPr>
                <w:rFonts w:eastAsia="Times New Roman" w:cs="Arial"/>
                <w:sz w:val="20"/>
                <w:szCs w:val="20"/>
              </w:rPr>
              <w:t>1865 to 2213</w:t>
            </w:r>
          </w:p>
        </w:tc>
        <w:tc>
          <w:tcPr>
            <w:tcW w:w="1049" w:type="dxa"/>
            <w:shd w:val="clear" w:color="auto" w:fill="FAE2D5" w:themeFill="accent2" w:themeFillTint="33"/>
          </w:tcPr>
          <w:p w14:paraId="0CFDC911" w14:textId="77777777" w:rsidR="00F61D64" w:rsidRDefault="00F61D64" w:rsidP="003A31ED">
            <w:pPr>
              <w:spacing w:after="0"/>
              <w:ind w:right="34"/>
              <w:jc w:val="center"/>
              <w:rPr>
                <w:rFonts w:eastAsia="Times New Roman" w:cs="Arial"/>
                <w:sz w:val="20"/>
                <w:szCs w:val="20"/>
              </w:rPr>
            </w:pPr>
            <w:r>
              <w:rPr>
                <w:rFonts w:eastAsia="Times New Roman" w:cs="Arial"/>
                <w:sz w:val="20"/>
                <w:szCs w:val="20"/>
              </w:rPr>
              <w:t>2239 to 2550</w:t>
            </w:r>
          </w:p>
        </w:tc>
        <w:tc>
          <w:tcPr>
            <w:tcW w:w="1050" w:type="dxa"/>
            <w:shd w:val="clear" w:color="auto" w:fill="FAE2D5" w:themeFill="accent2" w:themeFillTint="33"/>
          </w:tcPr>
          <w:p w14:paraId="7F174818" w14:textId="77777777" w:rsidR="00F61D64" w:rsidRDefault="00F61D64" w:rsidP="003A31ED">
            <w:pPr>
              <w:spacing w:after="0"/>
              <w:ind w:right="34"/>
              <w:jc w:val="center"/>
              <w:rPr>
                <w:rFonts w:eastAsia="Times New Roman" w:cs="Arial"/>
                <w:sz w:val="20"/>
                <w:szCs w:val="20"/>
              </w:rPr>
            </w:pPr>
            <w:r>
              <w:rPr>
                <w:rFonts w:eastAsia="Times New Roman" w:cs="Arial"/>
                <w:sz w:val="20"/>
                <w:szCs w:val="20"/>
              </w:rPr>
              <w:t xml:space="preserve">2270 to </w:t>
            </w:r>
            <w:r w:rsidRPr="007D1C4D">
              <w:rPr>
                <w:rFonts w:eastAsia="Times New Roman" w:cs="Arial"/>
                <w:sz w:val="20"/>
                <w:szCs w:val="20"/>
              </w:rPr>
              <w:t>2799</w:t>
            </w:r>
          </w:p>
        </w:tc>
      </w:tr>
      <w:tr w:rsidR="00F61D64" w:rsidRPr="006A14E9" w14:paraId="2DF4BD70" w14:textId="77777777" w:rsidTr="003A31ED">
        <w:tc>
          <w:tcPr>
            <w:tcW w:w="802" w:type="dxa"/>
            <w:vAlign w:val="center"/>
          </w:tcPr>
          <w:p w14:paraId="1908C5F8" w14:textId="77777777" w:rsidR="00F61D64" w:rsidRPr="006A14E9" w:rsidRDefault="00F61D64" w:rsidP="003A31ED">
            <w:pPr>
              <w:spacing w:after="0"/>
              <w:ind w:right="-1346"/>
              <w:rPr>
                <w:rFonts w:eastAsia="Times New Roman" w:cs="Arial"/>
                <w:sz w:val="20"/>
                <w:szCs w:val="20"/>
              </w:rPr>
            </w:pPr>
            <w:r w:rsidRPr="006A14E9">
              <w:rPr>
                <w:rFonts w:eastAsia="Times New Roman" w:cs="Arial"/>
                <w:sz w:val="20"/>
                <w:szCs w:val="20"/>
              </w:rPr>
              <w:t>31-50 yr</w:t>
            </w:r>
          </w:p>
        </w:tc>
        <w:tc>
          <w:tcPr>
            <w:tcW w:w="1018" w:type="dxa"/>
            <w:vMerge/>
            <w:vAlign w:val="center"/>
          </w:tcPr>
          <w:p w14:paraId="009F7431" w14:textId="77777777" w:rsidR="00F61D64" w:rsidRPr="0084316C" w:rsidRDefault="00F61D64" w:rsidP="003A31ED">
            <w:pPr>
              <w:spacing w:after="0"/>
              <w:ind w:right="38"/>
              <w:rPr>
                <w:rFonts w:eastAsia="Times New Roman" w:cs="Arial"/>
                <w:sz w:val="20"/>
                <w:szCs w:val="20"/>
              </w:rPr>
            </w:pPr>
          </w:p>
        </w:tc>
        <w:tc>
          <w:tcPr>
            <w:tcW w:w="1010" w:type="dxa"/>
            <w:vMerge/>
            <w:shd w:val="clear" w:color="auto" w:fill="FAE2D5" w:themeFill="accent2" w:themeFillTint="33"/>
            <w:vAlign w:val="center"/>
          </w:tcPr>
          <w:p w14:paraId="00393F04" w14:textId="77777777" w:rsidR="00F61D64" w:rsidRPr="0084316C" w:rsidRDefault="00F61D64" w:rsidP="003A31ED">
            <w:pPr>
              <w:spacing w:after="0"/>
              <w:ind w:right="-115"/>
              <w:jc w:val="center"/>
              <w:rPr>
                <w:rFonts w:eastAsia="Times New Roman" w:cs="Arial"/>
                <w:sz w:val="20"/>
                <w:szCs w:val="20"/>
              </w:rPr>
            </w:pPr>
          </w:p>
        </w:tc>
        <w:tc>
          <w:tcPr>
            <w:tcW w:w="1058" w:type="dxa"/>
            <w:vMerge/>
            <w:shd w:val="clear" w:color="auto" w:fill="FAE2D5" w:themeFill="accent2" w:themeFillTint="33"/>
            <w:vAlign w:val="center"/>
          </w:tcPr>
          <w:p w14:paraId="2F332D4F" w14:textId="77777777" w:rsidR="00F61D64" w:rsidRPr="0084316C" w:rsidRDefault="00F61D64" w:rsidP="003A31ED">
            <w:pPr>
              <w:spacing w:after="0"/>
              <w:ind w:right="-115"/>
              <w:jc w:val="center"/>
              <w:rPr>
                <w:rFonts w:eastAsia="Times New Roman" w:cs="Arial"/>
                <w:sz w:val="20"/>
                <w:szCs w:val="20"/>
              </w:rPr>
            </w:pPr>
          </w:p>
        </w:tc>
        <w:tc>
          <w:tcPr>
            <w:tcW w:w="699" w:type="dxa"/>
            <w:vAlign w:val="center"/>
          </w:tcPr>
          <w:p w14:paraId="595DFF28" w14:textId="77777777" w:rsidR="00F61D64" w:rsidRPr="0084316C" w:rsidRDefault="00F61D64" w:rsidP="003A31ED">
            <w:pPr>
              <w:spacing w:after="0"/>
              <w:ind w:right="-115"/>
              <w:jc w:val="center"/>
              <w:rPr>
                <w:rFonts w:eastAsia="Times New Roman" w:cs="Arial"/>
                <w:sz w:val="20"/>
                <w:szCs w:val="20"/>
              </w:rPr>
            </w:pPr>
            <w:r w:rsidRPr="0084316C">
              <w:rPr>
                <w:rFonts w:eastAsia="Times New Roman" w:cs="Arial"/>
                <w:sz w:val="20"/>
                <w:szCs w:val="20"/>
              </w:rPr>
              <w:t>1395</w:t>
            </w:r>
          </w:p>
        </w:tc>
        <w:tc>
          <w:tcPr>
            <w:tcW w:w="699" w:type="dxa"/>
            <w:vAlign w:val="center"/>
          </w:tcPr>
          <w:p w14:paraId="0612929A" w14:textId="77777777" w:rsidR="00F61D64" w:rsidRPr="0084316C" w:rsidRDefault="00F61D64" w:rsidP="003A31ED">
            <w:pPr>
              <w:spacing w:after="0"/>
              <w:ind w:right="-115"/>
              <w:rPr>
                <w:rFonts w:eastAsia="Times New Roman" w:cs="Arial"/>
                <w:sz w:val="20"/>
                <w:szCs w:val="20"/>
              </w:rPr>
            </w:pPr>
            <w:r w:rsidRPr="0084316C">
              <w:rPr>
                <w:rFonts w:eastAsia="Times New Roman" w:cs="Arial"/>
                <w:sz w:val="20"/>
                <w:szCs w:val="20"/>
              </w:rPr>
              <w:t>145</w:t>
            </w:r>
            <w:r>
              <w:rPr>
                <w:rFonts w:eastAsia="Times New Roman" w:cs="Arial"/>
                <w:sz w:val="20"/>
                <w:szCs w:val="20"/>
              </w:rPr>
              <w:t>2</w:t>
            </w:r>
          </w:p>
        </w:tc>
        <w:tc>
          <w:tcPr>
            <w:tcW w:w="699" w:type="dxa"/>
            <w:vAlign w:val="center"/>
          </w:tcPr>
          <w:p w14:paraId="118ED518" w14:textId="77777777" w:rsidR="00F61D64" w:rsidRPr="0084316C" w:rsidRDefault="00F61D64" w:rsidP="003A31ED">
            <w:pPr>
              <w:spacing w:after="0"/>
              <w:ind w:right="36"/>
              <w:jc w:val="center"/>
              <w:rPr>
                <w:rFonts w:eastAsia="Times New Roman" w:cs="Arial"/>
                <w:sz w:val="20"/>
                <w:szCs w:val="20"/>
              </w:rPr>
            </w:pPr>
            <w:r w:rsidRPr="0084316C">
              <w:rPr>
                <w:rFonts w:eastAsia="Times New Roman" w:cs="Arial"/>
                <w:sz w:val="20"/>
                <w:szCs w:val="20"/>
              </w:rPr>
              <w:t>91</w:t>
            </w:r>
            <w:r>
              <w:rPr>
                <w:rFonts w:eastAsia="Times New Roman" w:cs="Arial"/>
                <w:sz w:val="20"/>
                <w:szCs w:val="20"/>
              </w:rPr>
              <w:t>9</w:t>
            </w:r>
          </w:p>
        </w:tc>
        <w:tc>
          <w:tcPr>
            <w:tcW w:w="699" w:type="dxa"/>
            <w:vAlign w:val="center"/>
          </w:tcPr>
          <w:p w14:paraId="2F91C792" w14:textId="77777777" w:rsidR="00F61D64" w:rsidRPr="0084316C" w:rsidRDefault="00F61D64" w:rsidP="003A31ED">
            <w:pPr>
              <w:spacing w:after="0"/>
              <w:ind w:right="-115"/>
              <w:jc w:val="center"/>
              <w:rPr>
                <w:rFonts w:eastAsia="Times New Roman" w:cs="Arial"/>
                <w:sz w:val="20"/>
                <w:szCs w:val="20"/>
              </w:rPr>
            </w:pPr>
            <w:r w:rsidRPr="0084316C">
              <w:rPr>
                <w:rFonts w:eastAsia="Times New Roman" w:cs="Arial"/>
                <w:sz w:val="20"/>
                <w:szCs w:val="20"/>
              </w:rPr>
              <w:t>104</w:t>
            </w:r>
            <w:r>
              <w:rPr>
                <w:rFonts w:eastAsia="Times New Roman" w:cs="Arial"/>
                <w:sz w:val="20"/>
                <w:szCs w:val="20"/>
              </w:rPr>
              <w:t>4</w:t>
            </w:r>
          </w:p>
        </w:tc>
        <w:tc>
          <w:tcPr>
            <w:tcW w:w="699" w:type="dxa"/>
            <w:vAlign w:val="center"/>
          </w:tcPr>
          <w:p w14:paraId="06A1FB51" w14:textId="77777777" w:rsidR="00F61D64" w:rsidRPr="006A14E9" w:rsidRDefault="00F61D64" w:rsidP="003A31ED">
            <w:pPr>
              <w:spacing w:after="0"/>
              <w:ind w:right="27"/>
              <w:jc w:val="center"/>
              <w:rPr>
                <w:rFonts w:eastAsia="Times New Roman" w:cs="Arial"/>
                <w:sz w:val="20"/>
                <w:szCs w:val="20"/>
              </w:rPr>
            </w:pPr>
            <w:r w:rsidRPr="00BF2B0E">
              <w:rPr>
                <w:rFonts w:eastAsia="Times New Roman" w:cs="Arial"/>
                <w:sz w:val="20"/>
                <w:szCs w:val="20"/>
              </w:rPr>
              <w:t>11</w:t>
            </w:r>
            <w:r>
              <w:rPr>
                <w:rFonts w:eastAsia="Times New Roman" w:cs="Arial"/>
                <w:sz w:val="20"/>
                <w:szCs w:val="20"/>
              </w:rPr>
              <w:t>40</w:t>
            </w:r>
          </w:p>
        </w:tc>
        <w:tc>
          <w:tcPr>
            <w:tcW w:w="699" w:type="dxa"/>
            <w:vAlign w:val="center"/>
          </w:tcPr>
          <w:p w14:paraId="0F330CA6" w14:textId="77777777" w:rsidR="00F61D64" w:rsidRPr="006A14E9" w:rsidRDefault="00F61D64" w:rsidP="003A31ED">
            <w:pPr>
              <w:spacing w:after="0"/>
              <w:ind w:right="27"/>
              <w:jc w:val="center"/>
              <w:rPr>
                <w:rFonts w:eastAsia="Times New Roman" w:cs="Arial"/>
                <w:sz w:val="20"/>
                <w:szCs w:val="20"/>
              </w:rPr>
            </w:pPr>
            <w:r w:rsidRPr="00BF2B0E">
              <w:rPr>
                <w:rFonts w:eastAsia="Times New Roman" w:cs="Arial"/>
                <w:sz w:val="20"/>
                <w:szCs w:val="20"/>
              </w:rPr>
              <w:t>138</w:t>
            </w:r>
            <w:r>
              <w:rPr>
                <w:rFonts w:eastAsia="Times New Roman" w:cs="Arial"/>
                <w:sz w:val="20"/>
                <w:szCs w:val="20"/>
              </w:rPr>
              <w:t>1</w:t>
            </w:r>
          </w:p>
        </w:tc>
        <w:tc>
          <w:tcPr>
            <w:tcW w:w="699" w:type="dxa"/>
            <w:vAlign w:val="center"/>
          </w:tcPr>
          <w:p w14:paraId="3478F4F4" w14:textId="77777777" w:rsidR="00F61D64" w:rsidRPr="006A14E9" w:rsidRDefault="00F61D64" w:rsidP="003A31ED">
            <w:pPr>
              <w:spacing w:after="0"/>
              <w:ind w:right="-115"/>
              <w:jc w:val="center"/>
              <w:rPr>
                <w:rFonts w:eastAsia="Times New Roman" w:cs="Arial"/>
                <w:sz w:val="20"/>
                <w:szCs w:val="20"/>
              </w:rPr>
            </w:pPr>
            <w:r w:rsidRPr="00BF2B0E">
              <w:rPr>
                <w:rFonts w:eastAsia="Times New Roman" w:cs="Arial"/>
                <w:sz w:val="20"/>
                <w:szCs w:val="20"/>
              </w:rPr>
              <w:t>145</w:t>
            </w:r>
            <w:r>
              <w:rPr>
                <w:rFonts w:eastAsia="Times New Roman" w:cs="Arial"/>
                <w:sz w:val="20"/>
                <w:szCs w:val="20"/>
              </w:rPr>
              <w:t>2</w:t>
            </w:r>
          </w:p>
        </w:tc>
        <w:tc>
          <w:tcPr>
            <w:tcW w:w="700" w:type="dxa"/>
            <w:vAlign w:val="center"/>
          </w:tcPr>
          <w:p w14:paraId="1F59F468" w14:textId="77777777" w:rsidR="00F61D64" w:rsidRPr="006A14E9" w:rsidRDefault="00F61D64" w:rsidP="003A31ED">
            <w:pPr>
              <w:spacing w:after="0"/>
              <w:ind w:right="34"/>
              <w:jc w:val="center"/>
              <w:rPr>
                <w:rFonts w:eastAsia="Times New Roman" w:cs="Arial"/>
                <w:sz w:val="20"/>
                <w:szCs w:val="20"/>
              </w:rPr>
            </w:pPr>
            <w:r w:rsidRPr="00BF2B0E">
              <w:rPr>
                <w:rFonts w:eastAsia="Times New Roman" w:cs="Arial"/>
                <w:sz w:val="20"/>
                <w:szCs w:val="20"/>
              </w:rPr>
              <w:t>131</w:t>
            </w:r>
            <w:r>
              <w:rPr>
                <w:rFonts w:eastAsia="Times New Roman" w:cs="Arial"/>
                <w:sz w:val="20"/>
                <w:szCs w:val="20"/>
              </w:rPr>
              <w:t>8</w:t>
            </w:r>
          </w:p>
        </w:tc>
        <w:tc>
          <w:tcPr>
            <w:tcW w:w="1049" w:type="dxa"/>
          </w:tcPr>
          <w:p w14:paraId="5902035C" w14:textId="77777777" w:rsidR="00F61D64" w:rsidRPr="00BF2B0E" w:rsidRDefault="00F61D64" w:rsidP="003A31ED">
            <w:pPr>
              <w:spacing w:after="0"/>
              <w:ind w:right="34"/>
              <w:jc w:val="center"/>
              <w:rPr>
                <w:rFonts w:eastAsia="Times New Roman" w:cs="Arial"/>
                <w:sz w:val="20"/>
                <w:szCs w:val="20"/>
              </w:rPr>
            </w:pPr>
            <w:r>
              <w:rPr>
                <w:rFonts w:eastAsia="Times New Roman" w:cs="Arial"/>
                <w:sz w:val="20"/>
                <w:szCs w:val="20"/>
              </w:rPr>
              <w:t>1580 to 1836</w:t>
            </w:r>
          </w:p>
        </w:tc>
        <w:tc>
          <w:tcPr>
            <w:tcW w:w="1050" w:type="dxa"/>
            <w:shd w:val="clear" w:color="auto" w:fill="FAE2D5" w:themeFill="accent2" w:themeFillTint="33"/>
          </w:tcPr>
          <w:p w14:paraId="3D47C87F" w14:textId="77777777" w:rsidR="00F61D64" w:rsidRPr="00BF2B0E" w:rsidRDefault="00F61D64" w:rsidP="003A31ED">
            <w:pPr>
              <w:spacing w:after="0"/>
              <w:ind w:right="34"/>
              <w:jc w:val="center"/>
              <w:rPr>
                <w:rFonts w:eastAsia="Times New Roman" w:cs="Arial"/>
                <w:sz w:val="20"/>
                <w:szCs w:val="20"/>
              </w:rPr>
            </w:pPr>
            <w:r w:rsidRPr="00041213">
              <w:rPr>
                <w:rFonts w:eastAsia="Times New Roman" w:cs="Arial"/>
                <w:sz w:val="20"/>
                <w:szCs w:val="20"/>
              </w:rPr>
              <w:t>1854</w:t>
            </w:r>
            <w:r>
              <w:rPr>
                <w:rFonts w:eastAsia="Times New Roman" w:cs="Arial"/>
                <w:sz w:val="20"/>
                <w:szCs w:val="20"/>
              </w:rPr>
              <w:t xml:space="preserve"> to </w:t>
            </w:r>
            <w:r w:rsidRPr="00041213">
              <w:rPr>
                <w:rFonts w:eastAsia="Times New Roman" w:cs="Arial"/>
                <w:sz w:val="20"/>
                <w:szCs w:val="20"/>
              </w:rPr>
              <w:t>2180</w:t>
            </w:r>
          </w:p>
        </w:tc>
        <w:tc>
          <w:tcPr>
            <w:tcW w:w="1049" w:type="dxa"/>
            <w:shd w:val="clear" w:color="auto" w:fill="FAE2D5" w:themeFill="accent2" w:themeFillTint="33"/>
          </w:tcPr>
          <w:p w14:paraId="05E39572" w14:textId="77777777" w:rsidR="00F61D64" w:rsidRPr="00BF2B0E" w:rsidRDefault="00F61D64" w:rsidP="003A31ED">
            <w:pPr>
              <w:spacing w:after="0"/>
              <w:ind w:right="34"/>
              <w:jc w:val="center"/>
              <w:rPr>
                <w:rFonts w:eastAsia="Times New Roman" w:cs="Arial"/>
                <w:sz w:val="20"/>
                <w:szCs w:val="20"/>
              </w:rPr>
            </w:pPr>
            <w:r>
              <w:rPr>
                <w:rFonts w:eastAsia="Times New Roman" w:cs="Arial"/>
                <w:sz w:val="20"/>
                <w:szCs w:val="20"/>
              </w:rPr>
              <w:t>1928 to 2150</w:t>
            </w:r>
          </w:p>
        </w:tc>
        <w:tc>
          <w:tcPr>
            <w:tcW w:w="1050" w:type="dxa"/>
            <w:shd w:val="clear" w:color="auto" w:fill="FAE2D5" w:themeFill="accent2" w:themeFillTint="33"/>
          </w:tcPr>
          <w:p w14:paraId="06E8D9B6" w14:textId="77777777" w:rsidR="00F61D64" w:rsidRPr="00BF2B0E" w:rsidRDefault="00F61D64" w:rsidP="003A31ED">
            <w:pPr>
              <w:spacing w:after="0"/>
              <w:ind w:right="34"/>
              <w:jc w:val="center"/>
              <w:rPr>
                <w:rFonts w:eastAsia="Times New Roman" w:cs="Arial"/>
                <w:sz w:val="20"/>
                <w:szCs w:val="20"/>
              </w:rPr>
            </w:pPr>
            <w:r w:rsidRPr="00C72BC1">
              <w:rPr>
                <w:rFonts w:eastAsia="Times New Roman" w:cs="Arial"/>
                <w:sz w:val="20"/>
                <w:szCs w:val="20"/>
              </w:rPr>
              <w:t>2258</w:t>
            </w:r>
            <w:r>
              <w:rPr>
                <w:rFonts w:eastAsia="Times New Roman" w:cs="Arial"/>
                <w:sz w:val="20"/>
                <w:szCs w:val="20"/>
              </w:rPr>
              <w:t xml:space="preserve"> to </w:t>
            </w:r>
            <w:r w:rsidRPr="00C72BC1">
              <w:rPr>
                <w:rFonts w:eastAsia="Times New Roman" w:cs="Arial"/>
                <w:sz w:val="20"/>
                <w:szCs w:val="20"/>
              </w:rPr>
              <w:t>26</w:t>
            </w:r>
            <w:r>
              <w:rPr>
                <w:rFonts w:eastAsia="Times New Roman" w:cs="Arial"/>
                <w:sz w:val="20"/>
                <w:szCs w:val="20"/>
              </w:rPr>
              <w:t>5</w:t>
            </w:r>
            <w:r w:rsidRPr="00C72BC1">
              <w:rPr>
                <w:rFonts w:eastAsia="Times New Roman" w:cs="Arial"/>
                <w:sz w:val="20"/>
                <w:szCs w:val="20"/>
              </w:rPr>
              <w:t>6</w:t>
            </w:r>
          </w:p>
        </w:tc>
      </w:tr>
      <w:tr w:rsidR="00F61D64" w:rsidRPr="006A14E9" w14:paraId="24D290F2" w14:textId="77777777" w:rsidTr="003A31ED">
        <w:tc>
          <w:tcPr>
            <w:tcW w:w="802" w:type="dxa"/>
            <w:vAlign w:val="center"/>
          </w:tcPr>
          <w:p w14:paraId="21142C82" w14:textId="77777777" w:rsidR="00F61D64" w:rsidRPr="006A14E9" w:rsidRDefault="00F61D64" w:rsidP="003A31ED">
            <w:pPr>
              <w:spacing w:after="0"/>
              <w:ind w:right="-1346"/>
              <w:rPr>
                <w:rFonts w:eastAsia="Times New Roman" w:cs="Arial"/>
                <w:sz w:val="20"/>
                <w:szCs w:val="20"/>
              </w:rPr>
            </w:pPr>
            <w:r w:rsidRPr="006A14E9">
              <w:rPr>
                <w:rFonts w:eastAsia="Times New Roman" w:cs="Arial"/>
                <w:sz w:val="20"/>
                <w:szCs w:val="20"/>
              </w:rPr>
              <w:t>51-70 yr</w:t>
            </w:r>
          </w:p>
        </w:tc>
        <w:tc>
          <w:tcPr>
            <w:tcW w:w="1018" w:type="dxa"/>
            <w:vMerge/>
            <w:vAlign w:val="center"/>
          </w:tcPr>
          <w:p w14:paraId="1DFC4142" w14:textId="77777777" w:rsidR="00F61D64" w:rsidRPr="006A14E9" w:rsidRDefault="00F61D64" w:rsidP="003A31ED">
            <w:pPr>
              <w:spacing w:after="0"/>
              <w:ind w:right="38"/>
              <w:rPr>
                <w:rFonts w:eastAsia="Times New Roman" w:cs="Arial"/>
                <w:sz w:val="20"/>
                <w:szCs w:val="20"/>
              </w:rPr>
            </w:pPr>
          </w:p>
        </w:tc>
        <w:tc>
          <w:tcPr>
            <w:tcW w:w="1010" w:type="dxa"/>
            <w:vMerge w:val="restart"/>
            <w:vAlign w:val="center"/>
          </w:tcPr>
          <w:p w14:paraId="71604622" w14:textId="77777777" w:rsidR="00F61D64" w:rsidRPr="006A14E9" w:rsidRDefault="00F61D64" w:rsidP="003A31ED">
            <w:pPr>
              <w:spacing w:after="0"/>
              <w:ind w:right="-115"/>
              <w:jc w:val="center"/>
              <w:rPr>
                <w:rFonts w:eastAsia="Times New Roman" w:cs="Arial"/>
                <w:sz w:val="20"/>
                <w:szCs w:val="20"/>
              </w:rPr>
            </w:pPr>
            <w:r>
              <w:rPr>
                <w:rFonts w:eastAsia="Times New Roman" w:cs="Arial"/>
                <w:sz w:val="20"/>
                <w:szCs w:val="20"/>
              </w:rPr>
              <w:t>1,223 to 1,798</w:t>
            </w:r>
          </w:p>
        </w:tc>
        <w:tc>
          <w:tcPr>
            <w:tcW w:w="1058" w:type="dxa"/>
            <w:vMerge w:val="restart"/>
            <w:shd w:val="clear" w:color="auto" w:fill="FAE2D5" w:themeFill="accent2" w:themeFillTint="33"/>
            <w:vAlign w:val="center"/>
          </w:tcPr>
          <w:p w14:paraId="156F794B" w14:textId="77777777" w:rsidR="00F61D64" w:rsidRPr="006A14E9" w:rsidRDefault="00F61D64" w:rsidP="003A31ED">
            <w:pPr>
              <w:spacing w:after="0"/>
              <w:ind w:right="-115"/>
              <w:jc w:val="center"/>
              <w:rPr>
                <w:rFonts w:eastAsia="Times New Roman" w:cs="Arial"/>
                <w:sz w:val="20"/>
                <w:szCs w:val="20"/>
              </w:rPr>
            </w:pPr>
            <w:r>
              <w:rPr>
                <w:rFonts w:eastAsia="Times New Roman" w:cs="Arial"/>
                <w:sz w:val="20"/>
                <w:szCs w:val="20"/>
              </w:rPr>
              <w:t>1,222 to 2,181</w:t>
            </w:r>
          </w:p>
        </w:tc>
        <w:tc>
          <w:tcPr>
            <w:tcW w:w="699" w:type="dxa"/>
            <w:vAlign w:val="center"/>
          </w:tcPr>
          <w:p w14:paraId="708CFE4C" w14:textId="77777777" w:rsidR="00F61D64" w:rsidRPr="006A14E9" w:rsidRDefault="00F61D64" w:rsidP="003A31ED">
            <w:pPr>
              <w:spacing w:after="0"/>
              <w:ind w:right="-115"/>
              <w:jc w:val="center"/>
              <w:rPr>
                <w:rFonts w:eastAsia="Times New Roman" w:cs="Arial"/>
                <w:sz w:val="20"/>
                <w:szCs w:val="20"/>
              </w:rPr>
            </w:pPr>
            <w:r w:rsidRPr="000C356C">
              <w:rPr>
                <w:rFonts w:eastAsia="Times New Roman" w:cs="Arial"/>
                <w:sz w:val="20"/>
                <w:szCs w:val="20"/>
              </w:rPr>
              <w:t>1330</w:t>
            </w:r>
          </w:p>
        </w:tc>
        <w:tc>
          <w:tcPr>
            <w:tcW w:w="699" w:type="dxa"/>
            <w:vAlign w:val="center"/>
          </w:tcPr>
          <w:p w14:paraId="6C049175" w14:textId="77777777" w:rsidR="00F61D64" w:rsidRPr="006A14E9" w:rsidRDefault="00F61D64" w:rsidP="003A31ED">
            <w:pPr>
              <w:spacing w:after="0"/>
              <w:ind w:right="-115"/>
              <w:rPr>
                <w:rFonts w:eastAsia="Times New Roman" w:cs="Arial"/>
                <w:sz w:val="20"/>
                <w:szCs w:val="20"/>
              </w:rPr>
            </w:pPr>
            <w:r w:rsidRPr="00BF2B0E">
              <w:rPr>
                <w:rFonts w:eastAsia="Times New Roman" w:cs="Arial"/>
                <w:sz w:val="20"/>
                <w:szCs w:val="20"/>
              </w:rPr>
              <w:t>150</w:t>
            </w:r>
            <w:r>
              <w:rPr>
                <w:rFonts w:eastAsia="Times New Roman" w:cs="Arial"/>
                <w:sz w:val="20"/>
                <w:szCs w:val="20"/>
              </w:rPr>
              <w:t>2</w:t>
            </w:r>
          </w:p>
        </w:tc>
        <w:tc>
          <w:tcPr>
            <w:tcW w:w="699" w:type="dxa"/>
            <w:vAlign w:val="center"/>
          </w:tcPr>
          <w:p w14:paraId="064D2C6B" w14:textId="77777777" w:rsidR="00F61D64" w:rsidRPr="006A14E9" w:rsidRDefault="00F61D64" w:rsidP="003A31ED">
            <w:pPr>
              <w:spacing w:after="0"/>
              <w:ind w:right="36"/>
              <w:jc w:val="center"/>
              <w:rPr>
                <w:rFonts w:eastAsia="Times New Roman" w:cs="Arial"/>
                <w:sz w:val="20"/>
                <w:szCs w:val="20"/>
              </w:rPr>
            </w:pPr>
            <w:r w:rsidRPr="00BF2B0E">
              <w:rPr>
                <w:rFonts w:eastAsia="Times New Roman" w:cs="Arial"/>
                <w:sz w:val="20"/>
                <w:szCs w:val="20"/>
              </w:rPr>
              <w:t>10</w:t>
            </w:r>
            <w:r>
              <w:rPr>
                <w:rFonts w:eastAsia="Times New Roman" w:cs="Arial"/>
                <w:sz w:val="20"/>
                <w:szCs w:val="20"/>
              </w:rPr>
              <w:t>30</w:t>
            </w:r>
          </w:p>
        </w:tc>
        <w:tc>
          <w:tcPr>
            <w:tcW w:w="699" w:type="dxa"/>
            <w:vAlign w:val="center"/>
          </w:tcPr>
          <w:p w14:paraId="59ADC289" w14:textId="77777777" w:rsidR="00F61D64" w:rsidRPr="006A14E9" w:rsidRDefault="00F61D64" w:rsidP="003A31ED">
            <w:pPr>
              <w:spacing w:after="0"/>
              <w:ind w:right="-115"/>
              <w:jc w:val="center"/>
              <w:rPr>
                <w:rFonts w:eastAsia="Times New Roman" w:cs="Arial"/>
                <w:sz w:val="20"/>
                <w:szCs w:val="20"/>
              </w:rPr>
            </w:pPr>
            <w:r w:rsidRPr="00BF2B0E">
              <w:rPr>
                <w:rFonts w:eastAsia="Times New Roman" w:cs="Arial"/>
                <w:sz w:val="20"/>
                <w:szCs w:val="20"/>
              </w:rPr>
              <w:t>105</w:t>
            </w:r>
            <w:r>
              <w:rPr>
                <w:rFonts w:eastAsia="Times New Roman" w:cs="Arial"/>
                <w:sz w:val="20"/>
                <w:szCs w:val="20"/>
              </w:rPr>
              <w:t>3</w:t>
            </w:r>
          </w:p>
        </w:tc>
        <w:tc>
          <w:tcPr>
            <w:tcW w:w="699" w:type="dxa"/>
            <w:vAlign w:val="center"/>
          </w:tcPr>
          <w:p w14:paraId="7A0CEE6A" w14:textId="77777777" w:rsidR="00F61D64" w:rsidRPr="006A14E9" w:rsidRDefault="00F61D64" w:rsidP="003A31ED">
            <w:pPr>
              <w:spacing w:after="0"/>
              <w:ind w:right="27"/>
              <w:jc w:val="center"/>
              <w:rPr>
                <w:rFonts w:eastAsia="Times New Roman" w:cs="Arial"/>
                <w:sz w:val="20"/>
                <w:szCs w:val="20"/>
              </w:rPr>
            </w:pPr>
            <w:r w:rsidRPr="00BF2B0E">
              <w:rPr>
                <w:rFonts w:eastAsia="Times New Roman" w:cs="Arial"/>
                <w:sz w:val="20"/>
                <w:szCs w:val="20"/>
              </w:rPr>
              <w:t>1074</w:t>
            </w:r>
          </w:p>
        </w:tc>
        <w:tc>
          <w:tcPr>
            <w:tcW w:w="699" w:type="dxa"/>
            <w:vAlign w:val="center"/>
          </w:tcPr>
          <w:p w14:paraId="5D2340E2" w14:textId="77777777" w:rsidR="00F61D64" w:rsidRPr="006A14E9" w:rsidRDefault="00F61D64" w:rsidP="003A31ED">
            <w:pPr>
              <w:spacing w:after="0"/>
              <w:ind w:right="27"/>
              <w:jc w:val="center"/>
              <w:rPr>
                <w:rFonts w:eastAsia="Times New Roman" w:cs="Arial"/>
                <w:sz w:val="20"/>
                <w:szCs w:val="20"/>
              </w:rPr>
            </w:pPr>
            <w:r w:rsidRPr="00BF2B0E">
              <w:rPr>
                <w:rFonts w:eastAsia="Times New Roman" w:cs="Arial"/>
                <w:sz w:val="20"/>
                <w:szCs w:val="20"/>
              </w:rPr>
              <w:t>129</w:t>
            </w:r>
            <w:r>
              <w:rPr>
                <w:rFonts w:eastAsia="Times New Roman" w:cs="Arial"/>
                <w:sz w:val="20"/>
                <w:szCs w:val="20"/>
              </w:rPr>
              <w:t>8</w:t>
            </w:r>
          </w:p>
        </w:tc>
        <w:tc>
          <w:tcPr>
            <w:tcW w:w="699" w:type="dxa"/>
            <w:vAlign w:val="center"/>
          </w:tcPr>
          <w:p w14:paraId="2C7CF8FE" w14:textId="77777777" w:rsidR="00F61D64" w:rsidRPr="006A14E9" w:rsidRDefault="00F61D64" w:rsidP="003A31ED">
            <w:pPr>
              <w:spacing w:after="0"/>
              <w:ind w:right="-115"/>
              <w:jc w:val="center"/>
              <w:rPr>
                <w:rFonts w:eastAsia="Times New Roman" w:cs="Arial"/>
                <w:sz w:val="20"/>
                <w:szCs w:val="20"/>
              </w:rPr>
            </w:pPr>
            <w:r w:rsidRPr="00BF2B0E">
              <w:rPr>
                <w:rFonts w:eastAsia="Times New Roman" w:cs="Arial"/>
                <w:sz w:val="20"/>
                <w:szCs w:val="20"/>
              </w:rPr>
              <w:t>150</w:t>
            </w:r>
            <w:r>
              <w:rPr>
                <w:rFonts w:eastAsia="Times New Roman" w:cs="Arial"/>
                <w:sz w:val="20"/>
                <w:szCs w:val="20"/>
              </w:rPr>
              <w:t>2</w:t>
            </w:r>
          </w:p>
        </w:tc>
        <w:tc>
          <w:tcPr>
            <w:tcW w:w="700" w:type="dxa"/>
            <w:vAlign w:val="center"/>
          </w:tcPr>
          <w:p w14:paraId="5168E869" w14:textId="77777777" w:rsidR="00F61D64" w:rsidRPr="006A14E9" w:rsidRDefault="00F61D64" w:rsidP="003A31ED">
            <w:pPr>
              <w:spacing w:after="0"/>
              <w:ind w:right="34"/>
              <w:jc w:val="center"/>
              <w:rPr>
                <w:rFonts w:eastAsia="Times New Roman" w:cs="Arial"/>
                <w:sz w:val="20"/>
                <w:szCs w:val="20"/>
              </w:rPr>
            </w:pPr>
            <w:r w:rsidRPr="00BF2B0E">
              <w:rPr>
                <w:rFonts w:eastAsia="Times New Roman" w:cs="Arial"/>
                <w:sz w:val="20"/>
                <w:szCs w:val="20"/>
              </w:rPr>
              <w:t>134</w:t>
            </w:r>
            <w:r>
              <w:rPr>
                <w:rFonts w:eastAsia="Times New Roman" w:cs="Arial"/>
                <w:sz w:val="20"/>
                <w:szCs w:val="20"/>
              </w:rPr>
              <w:t>2</w:t>
            </w:r>
          </w:p>
        </w:tc>
        <w:tc>
          <w:tcPr>
            <w:tcW w:w="1049" w:type="dxa"/>
          </w:tcPr>
          <w:p w14:paraId="40A8F091" w14:textId="77777777" w:rsidR="00F61D64" w:rsidRPr="00BF2B0E" w:rsidRDefault="00F61D64" w:rsidP="003A31ED">
            <w:pPr>
              <w:spacing w:after="0"/>
              <w:ind w:right="34"/>
              <w:jc w:val="center"/>
              <w:rPr>
                <w:rFonts w:eastAsia="Times New Roman" w:cs="Arial"/>
                <w:sz w:val="20"/>
                <w:szCs w:val="20"/>
              </w:rPr>
            </w:pPr>
            <w:r>
              <w:rPr>
                <w:rFonts w:eastAsia="Times New Roman" w:cs="Arial"/>
                <w:sz w:val="20"/>
                <w:szCs w:val="20"/>
              </w:rPr>
              <w:t>1482 to 1817</w:t>
            </w:r>
          </w:p>
        </w:tc>
        <w:tc>
          <w:tcPr>
            <w:tcW w:w="1050" w:type="dxa"/>
            <w:shd w:val="clear" w:color="auto" w:fill="FAE2D5" w:themeFill="accent2" w:themeFillTint="33"/>
          </w:tcPr>
          <w:p w14:paraId="2C21BE26" w14:textId="77777777" w:rsidR="00F61D64" w:rsidRPr="00BF2B0E" w:rsidRDefault="00F61D64" w:rsidP="003A31ED">
            <w:pPr>
              <w:spacing w:after="0"/>
              <w:ind w:right="34"/>
              <w:jc w:val="center"/>
              <w:rPr>
                <w:rFonts w:eastAsia="Times New Roman" w:cs="Arial"/>
                <w:sz w:val="20"/>
                <w:szCs w:val="20"/>
              </w:rPr>
            </w:pPr>
            <w:r>
              <w:rPr>
                <w:rFonts w:eastAsia="Times New Roman" w:cs="Arial"/>
                <w:sz w:val="20"/>
                <w:szCs w:val="20"/>
              </w:rPr>
              <w:t>1769 to 2066</w:t>
            </w:r>
          </w:p>
        </w:tc>
        <w:tc>
          <w:tcPr>
            <w:tcW w:w="1049" w:type="dxa"/>
            <w:shd w:val="clear" w:color="auto" w:fill="FAE2D5" w:themeFill="accent2" w:themeFillTint="33"/>
          </w:tcPr>
          <w:p w14:paraId="2588789F" w14:textId="77777777" w:rsidR="00F61D64" w:rsidRPr="00BF2B0E" w:rsidRDefault="00F61D64" w:rsidP="003A31ED">
            <w:pPr>
              <w:spacing w:after="0"/>
              <w:ind w:right="34"/>
              <w:jc w:val="center"/>
              <w:rPr>
                <w:rFonts w:eastAsia="Times New Roman" w:cs="Arial"/>
                <w:sz w:val="20"/>
                <w:szCs w:val="20"/>
              </w:rPr>
            </w:pPr>
            <w:r>
              <w:rPr>
                <w:rFonts w:eastAsia="Times New Roman" w:cs="Arial"/>
                <w:sz w:val="20"/>
                <w:szCs w:val="20"/>
              </w:rPr>
              <w:t xml:space="preserve">1933 to 2421 </w:t>
            </w:r>
          </w:p>
        </w:tc>
        <w:tc>
          <w:tcPr>
            <w:tcW w:w="1050" w:type="dxa"/>
            <w:shd w:val="clear" w:color="auto" w:fill="FAE2D5" w:themeFill="accent2" w:themeFillTint="33"/>
          </w:tcPr>
          <w:p w14:paraId="7F8823CE" w14:textId="77777777" w:rsidR="00F61D64" w:rsidRPr="00BF2B0E" w:rsidRDefault="00F61D64" w:rsidP="003A31ED">
            <w:pPr>
              <w:spacing w:after="0"/>
              <w:ind w:right="34"/>
              <w:jc w:val="center"/>
              <w:rPr>
                <w:rFonts w:eastAsia="Times New Roman" w:cs="Arial"/>
                <w:sz w:val="20"/>
                <w:szCs w:val="20"/>
              </w:rPr>
            </w:pPr>
            <w:r w:rsidRPr="00827123">
              <w:rPr>
                <w:rFonts w:eastAsia="Times New Roman" w:cs="Arial"/>
                <w:sz w:val="20"/>
                <w:szCs w:val="20"/>
              </w:rPr>
              <w:t>20</w:t>
            </w:r>
            <w:r>
              <w:rPr>
                <w:rFonts w:eastAsia="Times New Roman" w:cs="Arial"/>
                <w:sz w:val="20"/>
                <w:szCs w:val="20"/>
              </w:rPr>
              <w:t>18 to 2576</w:t>
            </w:r>
          </w:p>
        </w:tc>
      </w:tr>
      <w:tr w:rsidR="00F61D64" w:rsidRPr="006A14E9" w14:paraId="1348AE9B" w14:textId="77777777" w:rsidTr="003A31ED">
        <w:tc>
          <w:tcPr>
            <w:tcW w:w="802" w:type="dxa"/>
            <w:vAlign w:val="center"/>
          </w:tcPr>
          <w:p w14:paraId="3D0F582D" w14:textId="77777777" w:rsidR="00F61D64" w:rsidRPr="006A14E9" w:rsidRDefault="00F61D64" w:rsidP="003A31ED">
            <w:pPr>
              <w:spacing w:after="0"/>
              <w:ind w:right="-1346"/>
              <w:rPr>
                <w:rFonts w:eastAsia="Times New Roman" w:cs="Arial"/>
                <w:sz w:val="20"/>
                <w:szCs w:val="20"/>
              </w:rPr>
            </w:pPr>
            <w:r w:rsidRPr="006A14E9">
              <w:rPr>
                <w:rFonts w:eastAsia="Times New Roman" w:cs="Arial"/>
                <w:sz w:val="20"/>
                <w:szCs w:val="20"/>
              </w:rPr>
              <w:t>70+ yr</w:t>
            </w:r>
          </w:p>
        </w:tc>
        <w:tc>
          <w:tcPr>
            <w:tcW w:w="1018" w:type="dxa"/>
            <w:vMerge/>
            <w:vAlign w:val="center"/>
          </w:tcPr>
          <w:p w14:paraId="10B67C09" w14:textId="77777777" w:rsidR="00F61D64" w:rsidRPr="006A14E9" w:rsidRDefault="00F61D64" w:rsidP="003A31ED">
            <w:pPr>
              <w:spacing w:after="0"/>
              <w:ind w:right="38"/>
              <w:rPr>
                <w:rFonts w:eastAsia="Times New Roman" w:cs="Arial"/>
                <w:sz w:val="20"/>
                <w:szCs w:val="20"/>
              </w:rPr>
            </w:pPr>
          </w:p>
        </w:tc>
        <w:tc>
          <w:tcPr>
            <w:tcW w:w="1010" w:type="dxa"/>
            <w:vMerge/>
            <w:vAlign w:val="center"/>
          </w:tcPr>
          <w:p w14:paraId="43C115E6" w14:textId="77777777" w:rsidR="00F61D64" w:rsidRPr="006A14E9" w:rsidRDefault="00F61D64" w:rsidP="003A31ED">
            <w:pPr>
              <w:spacing w:after="0"/>
              <w:ind w:right="-115"/>
              <w:rPr>
                <w:rFonts w:eastAsia="Times New Roman" w:cs="Arial"/>
                <w:sz w:val="20"/>
                <w:szCs w:val="20"/>
              </w:rPr>
            </w:pPr>
          </w:p>
        </w:tc>
        <w:tc>
          <w:tcPr>
            <w:tcW w:w="1058" w:type="dxa"/>
            <w:vMerge/>
            <w:shd w:val="clear" w:color="auto" w:fill="FAE2D5" w:themeFill="accent2" w:themeFillTint="33"/>
            <w:vAlign w:val="center"/>
          </w:tcPr>
          <w:p w14:paraId="6171EDF9" w14:textId="77777777" w:rsidR="00F61D64" w:rsidRPr="006A14E9" w:rsidRDefault="00F61D64" w:rsidP="003A31ED">
            <w:pPr>
              <w:spacing w:after="0"/>
              <w:ind w:right="-115"/>
              <w:rPr>
                <w:rFonts w:eastAsia="Times New Roman" w:cs="Arial"/>
                <w:sz w:val="20"/>
                <w:szCs w:val="20"/>
              </w:rPr>
            </w:pPr>
          </w:p>
        </w:tc>
        <w:tc>
          <w:tcPr>
            <w:tcW w:w="699" w:type="dxa"/>
            <w:vAlign w:val="center"/>
          </w:tcPr>
          <w:p w14:paraId="6AC345FE" w14:textId="77777777" w:rsidR="00F61D64" w:rsidRPr="006A14E9" w:rsidRDefault="00F61D64" w:rsidP="003A31ED">
            <w:pPr>
              <w:spacing w:after="0"/>
              <w:ind w:right="-115"/>
              <w:jc w:val="center"/>
              <w:rPr>
                <w:rFonts w:eastAsia="Times New Roman" w:cs="Arial"/>
                <w:sz w:val="20"/>
                <w:szCs w:val="20"/>
              </w:rPr>
            </w:pPr>
            <w:r w:rsidRPr="000C356C">
              <w:rPr>
                <w:rFonts w:eastAsia="Times New Roman" w:cs="Arial"/>
                <w:sz w:val="20"/>
                <w:szCs w:val="20"/>
              </w:rPr>
              <w:t>1178</w:t>
            </w:r>
          </w:p>
        </w:tc>
        <w:tc>
          <w:tcPr>
            <w:tcW w:w="699" w:type="dxa"/>
            <w:vAlign w:val="center"/>
          </w:tcPr>
          <w:p w14:paraId="606107A0" w14:textId="77777777" w:rsidR="00F61D64" w:rsidRPr="006A14E9" w:rsidRDefault="00F61D64" w:rsidP="003A31ED">
            <w:pPr>
              <w:spacing w:after="0"/>
              <w:ind w:right="-115"/>
              <w:rPr>
                <w:rFonts w:eastAsia="Times New Roman" w:cs="Arial"/>
                <w:sz w:val="20"/>
                <w:szCs w:val="20"/>
              </w:rPr>
            </w:pPr>
            <w:r w:rsidRPr="00BF2B0E">
              <w:rPr>
                <w:rFonts w:eastAsia="Times New Roman" w:cs="Arial"/>
                <w:sz w:val="20"/>
                <w:szCs w:val="20"/>
              </w:rPr>
              <w:t>1265</w:t>
            </w:r>
          </w:p>
        </w:tc>
        <w:tc>
          <w:tcPr>
            <w:tcW w:w="699" w:type="dxa"/>
            <w:vAlign w:val="center"/>
          </w:tcPr>
          <w:p w14:paraId="056E639D" w14:textId="77777777" w:rsidR="00F61D64" w:rsidRPr="006A14E9" w:rsidRDefault="00F61D64" w:rsidP="003A31ED">
            <w:pPr>
              <w:spacing w:after="0"/>
              <w:ind w:right="-115"/>
              <w:jc w:val="center"/>
              <w:rPr>
                <w:rFonts w:eastAsia="Times New Roman" w:cs="Arial"/>
                <w:sz w:val="20"/>
                <w:szCs w:val="20"/>
              </w:rPr>
            </w:pPr>
            <w:r w:rsidRPr="00BF2B0E">
              <w:rPr>
                <w:rFonts w:eastAsia="Times New Roman" w:cs="Arial"/>
                <w:sz w:val="20"/>
                <w:szCs w:val="20"/>
              </w:rPr>
              <w:t>1014</w:t>
            </w:r>
          </w:p>
        </w:tc>
        <w:tc>
          <w:tcPr>
            <w:tcW w:w="699" w:type="dxa"/>
            <w:vAlign w:val="center"/>
          </w:tcPr>
          <w:p w14:paraId="76F03362" w14:textId="77777777" w:rsidR="00F61D64" w:rsidRPr="006A14E9" w:rsidRDefault="00F61D64" w:rsidP="003A31ED">
            <w:pPr>
              <w:spacing w:after="0"/>
              <w:ind w:right="-115"/>
              <w:jc w:val="center"/>
              <w:rPr>
                <w:rFonts w:eastAsia="Times New Roman" w:cs="Arial"/>
                <w:sz w:val="20"/>
                <w:szCs w:val="20"/>
              </w:rPr>
            </w:pPr>
            <w:r w:rsidRPr="00BF2B0E">
              <w:rPr>
                <w:rFonts w:eastAsia="Times New Roman" w:cs="Arial"/>
                <w:sz w:val="20"/>
                <w:szCs w:val="20"/>
              </w:rPr>
              <w:t>9</w:t>
            </w:r>
            <w:r>
              <w:rPr>
                <w:rFonts w:eastAsia="Times New Roman" w:cs="Arial"/>
                <w:sz w:val="20"/>
                <w:szCs w:val="20"/>
              </w:rPr>
              <w:t>80</w:t>
            </w:r>
          </w:p>
        </w:tc>
        <w:tc>
          <w:tcPr>
            <w:tcW w:w="699" w:type="dxa"/>
            <w:vAlign w:val="center"/>
          </w:tcPr>
          <w:p w14:paraId="77F01D07" w14:textId="77777777" w:rsidR="00F61D64" w:rsidRPr="006A14E9" w:rsidRDefault="00F61D64" w:rsidP="003A31ED">
            <w:pPr>
              <w:spacing w:after="0"/>
              <w:ind w:right="27"/>
              <w:jc w:val="center"/>
              <w:rPr>
                <w:rFonts w:eastAsia="Times New Roman" w:cs="Arial"/>
                <w:sz w:val="20"/>
                <w:szCs w:val="20"/>
              </w:rPr>
            </w:pPr>
            <w:r w:rsidRPr="00BF2B0E">
              <w:rPr>
                <w:rFonts w:eastAsia="Times New Roman" w:cs="Arial"/>
                <w:sz w:val="20"/>
                <w:szCs w:val="20"/>
              </w:rPr>
              <w:t>988</w:t>
            </w:r>
          </w:p>
        </w:tc>
        <w:tc>
          <w:tcPr>
            <w:tcW w:w="699" w:type="dxa"/>
            <w:vAlign w:val="center"/>
          </w:tcPr>
          <w:p w14:paraId="51967B12" w14:textId="77777777" w:rsidR="00F61D64" w:rsidRPr="006A14E9" w:rsidRDefault="00F61D64" w:rsidP="003A31ED">
            <w:pPr>
              <w:spacing w:after="0"/>
              <w:ind w:right="-115"/>
              <w:jc w:val="center"/>
              <w:rPr>
                <w:rFonts w:eastAsia="Times New Roman" w:cs="Arial"/>
                <w:sz w:val="20"/>
                <w:szCs w:val="20"/>
              </w:rPr>
            </w:pPr>
            <w:r w:rsidRPr="00BF2B0E">
              <w:rPr>
                <w:rFonts w:eastAsia="Times New Roman" w:cs="Arial"/>
                <w:sz w:val="20"/>
                <w:szCs w:val="20"/>
              </w:rPr>
              <w:t>120</w:t>
            </w:r>
            <w:r>
              <w:rPr>
                <w:rFonts w:eastAsia="Times New Roman" w:cs="Arial"/>
                <w:sz w:val="20"/>
                <w:szCs w:val="20"/>
              </w:rPr>
              <w:t>8</w:t>
            </w:r>
          </w:p>
        </w:tc>
        <w:tc>
          <w:tcPr>
            <w:tcW w:w="699" w:type="dxa"/>
            <w:vAlign w:val="center"/>
          </w:tcPr>
          <w:p w14:paraId="14FC402D" w14:textId="77777777" w:rsidR="00F61D64" w:rsidRPr="006A14E9" w:rsidRDefault="00F61D64" w:rsidP="003A31ED">
            <w:pPr>
              <w:spacing w:after="0"/>
              <w:ind w:right="-115"/>
              <w:jc w:val="center"/>
              <w:rPr>
                <w:rFonts w:eastAsia="Times New Roman" w:cs="Arial"/>
                <w:sz w:val="20"/>
                <w:szCs w:val="20"/>
              </w:rPr>
            </w:pPr>
            <w:r w:rsidRPr="00BF2B0E">
              <w:rPr>
                <w:rFonts w:eastAsia="Times New Roman" w:cs="Arial"/>
                <w:sz w:val="20"/>
                <w:szCs w:val="20"/>
              </w:rPr>
              <w:t>1265</w:t>
            </w:r>
          </w:p>
        </w:tc>
        <w:tc>
          <w:tcPr>
            <w:tcW w:w="700" w:type="dxa"/>
            <w:vAlign w:val="center"/>
          </w:tcPr>
          <w:p w14:paraId="2C36C1A3" w14:textId="77777777" w:rsidR="00F61D64" w:rsidRPr="006A14E9" w:rsidRDefault="00F61D64" w:rsidP="003A31ED">
            <w:pPr>
              <w:spacing w:after="0"/>
              <w:ind w:right="-115"/>
              <w:jc w:val="center"/>
              <w:rPr>
                <w:rFonts w:eastAsia="Times New Roman" w:cs="Arial"/>
                <w:sz w:val="20"/>
                <w:szCs w:val="20"/>
              </w:rPr>
            </w:pPr>
            <w:r w:rsidRPr="00BF2B0E">
              <w:rPr>
                <w:rFonts w:eastAsia="Times New Roman" w:cs="Arial"/>
                <w:sz w:val="20"/>
                <w:szCs w:val="20"/>
              </w:rPr>
              <w:t>117</w:t>
            </w:r>
            <w:r>
              <w:rPr>
                <w:rFonts w:eastAsia="Times New Roman" w:cs="Arial"/>
                <w:sz w:val="20"/>
                <w:szCs w:val="20"/>
              </w:rPr>
              <w:t>6</w:t>
            </w:r>
          </w:p>
        </w:tc>
        <w:tc>
          <w:tcPr>
            <w:tcW w:w="1049" w:type="dxa"/>
          </w:tcPr>
          <w:p w14:paraId="4BAF4209" w14:textId="77777777" w:rsidR="00F61D64" w:rsidRPr="00BF2B0E" w:rsidRDefault="00F61D64" w:rsidP="003A31ED">
            <w:pPr>
              <w:spacing w:after="0"/>
              <w:ind w:right="-115"/>
              <w:jc w:val="center"/>
              <w:rPr>
                <w:rFonts w:eastAsia="Times New Roman" w:cs="Arial"/>
                <w:sz w:val="20"/>
                <w:szCs w:val="20"/>
              </w:rPr>
            </w:pPr>
            <w:r>
              <w:rPr>
                <w:rFonts w:eastAsia="Times New Roman" w:cs="Arial"/>
                <w:sz w:val="20"/>
                <w:szCs w:val="20"/>
              </w:rPr>
              <w:t>1444 to 1602</w:t>
            </w:r>
          </w:p>
        </w:tc>
        <w:tc>
          <w:tcPr>
            <w:tcW w:w="1050" w:type="dxa"/>
            <w:shd w:val="clear" w:color="auto" w:fill="FAE2D5" w:themeFill="accent2" w:themeFillTint="33"/>
          </w:tcPr>
          <w:p w14:paraId="1D853979" w14:textId="77777777" w:rsidR="00F61D64" w:rsidRPr="00BF2B0E" w:rsidRDefault="00F61D64" w:rsidP="003A31ED">
            <w:pPr>
              <w:spacing w:after="0"/>
              <w:ind w:right="-115"/>
              <w:jc w:val="center"/>
              <w:rPr>
                <w:rFonts w:eastAsia="Times New Roman" w:cs="Arial"/>
                <w:sz w:val="20"/>
                <w:szCs w:val="20"/>
              </w:rPr>
            </w:pPr>
            <w:r w:rsidRPr="008B7BE3">
              <w:rPr>
                <w:rFonts w:eastAsia="Times New Roman" w:cs="Arial"/>
                <w:sz w:val="20"/>
                <w:szCs w:val="20"/>
              </w:rPr>
              <w:t>150</w:t>
            </w:r>
            <w:r>
              <w:rPr>
                <w:rFonts w:eastAsia="Times New Roman" w:cs="Arial"/>
                <w:sz w:val="20"/>
                <w:szCs w:val="20"/>
              </w:rPr>
              <w:t>7 to 2025</w:t>
            </w:r>
          </w:p>
        </w:tc>
        <w:tc>
          <w:tcPr>
            <w:tcW w:w="1049" w:type="dxa"/>
            <w:shd w:val="clear" w:color="auto" w:fill="FAE2D5" w:themeFill="accent2" w:themeFillTint="33"/>
          </w:tcPr>
          <w:p w14:paraId="1AFAA782" w14:textId="77777777" w:rsidR="00F61D64" w:rsidRPr="00BF2B0E" w:rsidRDefault="00F61D64" w:rsidP="003A31ED">
            <w:pPr>
              <w:spacing w:after="0"/>
              <w:ind w:right="-115"/>
              <w:jc w:val="center"/>
              <w:rPr>
                <w:rFonts w:eastAsia="Times New Roman" w:cs="Arial"/>
                <w:sz w:val="20"/>
                <w:szCs w:val="20"/>
              </w:rPr>
            </w:pPr>
            <w:r>
              <w:rPr>
                <w:rFonts w:eastAsia="Times New Roman" w:cs="Arial"/>
                <w:sz w:val="20"/>
                <w:szCs w:val="20"/>
              </w:rPr>
              <w:t>1877 to 2142</w:t>
            </w:r>
          </w:p>
        </w:tc>
        <w:tc>
          <w:tcPr>
            <w:tcW w:w="1050" w:type="dxa"/>
            <w:shd w:val="clear" w:color="auto" w:fill="FAE2D5" w:themeFill="accent2" w:themeFillTint="33"/>
          </w:tcPr>
          <w:p w14:paraId="1CF8E3D2" w14:textId="77777777" w:rsidR="00F61D64" w:rsidRPr="00BF2B0E" w:rsidRDefault="00F61D64" w:rsidP="003A31ED">
            <w:pPr>
              <w:spacing w:after="0"/>
              <w:ind w:right="-115"/>
              <w:jc w:val="center"/>
              <w:rPr>
                <w:rFonts w:eastAsia="Times New Roman" w:cs="Arial"/>
                <w:sz w:val="20"/>
                <w:szCs w:val="20"/>
              </w:rPr>
            </w:pPr>
            <w:r>
              <w:rPr>
                <w:rFonts w:eastAsia="Times New Roman" w:cs="Arial"/>
                <w:sz w:val="20"/>
                <w:szCs w:val="20"/>
              </w:rPr>
              <w:t>1949 to 2365</w:t>
            </w:r>
          </w:p>
        </w:tc>
      </w:tr>
    </w:tbl>
    <w:p w14:paraId="665F3671" w14:textId="77777777" w:rsidR="00F61D64" w:rsidRDefault="00F61D64" w:rsidP="00F61D64">
      <w:pPr>
        <w:spacing w:before="120"/>
        <w:ind w:right="172"/>
        <w:rPr>
          <w:rFonts w:eastAsia="Times New Roman" w:cs="Arial"/>
          <w:sz w:val="20"/>
          <w:szCs w:val="20"/>
        </w:rPr>
      </w:pPr>
      <w:r>
        <w:rPr>
          <w:rFonts w:eastAsia="Times New Roman" w:cs="Arial"/>
        </w:rPr>
        <w:t xml:space="preserve"> </w:t>
      </w:r>
      <w:r w:rsidRPr="0019392A">
        <w:rPr>
          <w:rFonts w:eastAsia="Times New Roman" w:cs="Arial"/>
          <w:sz w:val="20"/>
          <w:szCs w:val="20"/>
        </w:rPr>
        <w:t>F = Females; M= Males; ^AGTHE98 age groupings were 19-60y and 60y+</w:t>
      </w:r>
    </w:p>
    <w:p w14:paraId="6DB8677D" w14:textId="77777777"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Resource impacts</w:t>
      </w:r>
    </w:p>
    <w:p w14:paraId="56670977" w14:textId="77777777" w:rsidR="00F61D64" w:rsidRDefault="00F61D64" w:rsidP="00F61D64">
      <w:pPr>
        <w:rPr>
          <w:rFonts w:eastAsia="Times New Roman" w:cs="Arial"/>
          <w:iCs/>
          <w:szCs w:val="20"/>
        </w:rPr>
      </w:pPr>
      <w:r w:rsidRPr="003F785D">
        <w:rPr>
          <w:rFonts w:eastAsia="Times New Roman" w:cs="Arial"/>
          <w:iCs/>
          <w:szCs w:val="20"/>
        </w:rPr>
        <w:t xml:space="preserve">Retaining the </w:t>
      </w:r>
      <w:r>
        <w:rPr>
          <w:rFonts w:eastAsia="Times New Roman" w:cs="Arial"/>
          <w:iCs/>
          <w:szCs w:val="20"/>
        </w:rPr>
        <w:t xml:space="preserve">level for CDRR (formerly SDT) </w:t>
      </w:r>
      <w:r w:rsidRPr="003F785D">
        <w:rPr>
          <w:rFonts w:eastAsia="Times New Roman" w:cs="Arial"/>
          <w:iCs/>
          <w:szCs w:val="20"/>
        </w:rPr>
        <w:t xml:space="preserve">values for adults has no material </w:t>
      </w:r>
      <w:r>
        <w:rPr>
          <w:rFonts w:eastAsia="Times New Roman" w:cs="Arial"/>
          <w:iCs/>
          <w:szCs w:val="20"/>
        </w:rPr>
        <w:t>resource implications</w:t>
      </w:r>
      <w:r w:rsidRPr="003F785D">
        <w:rPr>
          <w:rFonts w:eastAsia="Times New Roman" w:cs="Arial"/>
          <w:iCs/>
          <w:szCs w:val="20"/>
        </w:rPr>
        <w:t xml:space="preserve">. Although adult age groupings are being adjusted to align with new NRVs age groupings (see Methodological Framework; NHMRC 2025), the </w:t>
      </w:r>
      <w:r>
        <w:rPr>
          <w:rFonts w:eastAsia="Times New Roman" w:cs="Arial"/>
          <w:iCs/>
          <w:szCs w:val="20"/>
        </w:rPr>
        <w:t xml:space="preserve">CDRR value is </w:t>
      </w:r>
      <w:r w:rsidRPr="003F785D">
        <w:rPr>
          <w:rFonts w:eastAsia="Times New Roman" w:cs="Arial"/>
          <w:iCs/>
          <w:szCs w:val="20"/>
        </w:rPr>
        <w:t xml:space="preserve">the same for all </w:t>
      </w:r>
      <w:r>
        <w:rPr>
          <w:rFonts w:eastAsia="Times New Roman" w:cs="Arial"/>
          <w:iCs/>
          <w:szCs w:val="20"/>
        </w:rPr>
        <w:t>adult</w:t>
      </w:r>
      <w:r w:rsidRPr="003F785D">
        <w:rPr>
          <w:rFonts w:eastAsia="Times New Roman" w:cs="Arial"/>
          <w:iCs/>
          <w:szCs w:val="20"/>
        </w:rPr>
        <w:t xml:space="preserve"> groups so there is no material impact of this change. Consequently, this minor change to age groupings should have no implications for regulators, including FSANZ (food and food products) and TGA (supplements).</w:t>
      </w:r>
    </w:p>
    <w:p w14:paraId="49E2F92A" w14:textId="77777777" w:rsidR="00F61D64" w:rsidRDefault="00F61D64" w:rsidP="00F61D64">
      <w:pPr>
        <w:spacing w:after="120"/>
        <w:ind w:right="28"/>
        <w:rPr>
          <w:rFonts w:eastAsia="Times New Roman" w:cs="Arial"/>
          <w:iCs/>
        </w:rPr>
      </w:pPr>
      <w:r>
        <w:rPr>
          <w:rFonts w:eastAsia="Times New Roman" w:cs="Arial"/>
          <w:iCs/>
        </w:rPr>
        <w:t>In contrast, a</w:t>
      </w:r>
      <w:r w:rsidRPr="00BB0551">
        <w:rPr>
          <w:rFonts w:eastAsia="Times New Roman" w:cs="Arial"/>
          <w:iCs/>
        </w:rPr>
        <w:t xml:space="preserve">ny change to the CDRR (SDT) </w:t>
      </w:r>
      <w:r>
        <w:rPr>
          <w:rFonts w:eastAsia="Times New Roman" w:cs="Arial"/>
          <w:iCs/>
        </w:rPr>
        <w:t xml:space="preserve">value </w:t>
      </w:r>
      <w:r w:rsidRPr="00BB0551">
        <w:rPr>
          <w:rFonts w:eastAsia="Times New Roman" w:cs="Arial"/>
          <w:iCs/>
        </w:rPr>
        <w:t xml:space="preserve">may have implications for regulators, including FSANZ (food and food products) and the TGA (supplements). It may also have implications for evaluation of public health </w:t>
      </w:r>
      <w:r>
        <w:rPr>
          <w:rFonts w:eastAsia="Times New Roman" w:cs="Arial"/>
          <w:iCs/>
        </w:rPr>
        <w:t xml:space="preserve">policy, </w:t>
      </w:r>
      <w:r w:rsidRPr="00BB0551">
        <w:rPr>
          <w:rFonts w:eastAsia="Times New Roman" w:cs="Arial"/>
          <w:iCs/>
        </w:rPr>
        <w:t>programs</w:t>
      </w:r>
      <w:r>
        <w:rPr>
          <w:rFonts w:eastAsia="Times New Roman" w:cs="Arial"/>
          <w:iCs/>
        </w:rPr>
        <w:t xml:space="preserve"> and interventions</w:t>
      </w:r>
      <w:r w:rsidRPr="00BB0551">
        <w:rPr>
          <w:rFonts w:eastAsia="Times New Roman" w:cs="Arial"/>
          <w:iCs/>
        </w:rPr>
        <w:t>, such as the Healthy Food Partnership Reformulation Program.</w:t>
      </w:r>
      <w:r>
        <w:rPr>
          <w:rFonts w:eastAsia="Times New Roman" w:cs="Arial"/>
          <w:iCs/>
        </w:rPr>
        <w:t xml:space="preserve"> If this option is pursued, v</w:t>
      </w:r>
      <w:r w:rsidRPr="00BB0551">
        <w:rPr>
          <w:rFonts w:eastAsia="Times New Roman" w:cs="Arial"/>
          <w:iCs/>
        </w:rPr>
        <w:t>iews</w:t>
      </w:r>
      <w:r>
        <w:rPr>
          <w:rFonts w:eastAsia="Times New Roman" w:cs="Arial"/>
          <w:iCs/>
        </w:rPr>
        <w:t xml:space="preserve"> on the resource impacts</w:t>
      </w:r>
      <w:r w:rsidRPr="00BB0551">
        <w:rPr>
          <w:rFonts w:eastAsia="Times New Roman" w:cs="Arial"/>
          <w:iCs/>
        </w:rPr>
        <w:t xml:space="preserve"> </w:t>
      </w:r>
      <w:r>
        <w:rPr>
          <w:rFonts w:eastAsia="Times New Roman" w:cs="Arial"/>
          <w:iCs/>
        </w:rPr>
        <w:t xml:space="preserve">should </w:t>
      </w:r>
      <w:r w:rsidRPr="00BB0551">
        <w:rPr>
          <w:rFonts w:eastAsia="Times New Roman" w:cs="Arial"/>
          <w:iCs/>
        </w:rPr>
        <w:t>be sought during targeted/stakeholder consultation and considered when determining final NRVs.</w:t>
      </w:r>
    </w:p>
    <w:p w14:paraId="237D9F6B" w14:textId="77777777"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lastRenderedPageBreak/>
        <w:t>Other factors (health equity impacts, sustainability, nutrient interactions</w:t>
      </w:r>
      <w:r>
        <w:rPr>
          <w:rFonts w:ascii="Gotham Medium" w:eastAsia="SimHei" w:hAnsi="Gotham Medium" w:cs="Arial"/>
          <w:i/>
          <w:iCs/>
          <w:color w:val="FFFFFF"/>
          <w:kern w:val="0"/>
          <w:lang w:eastAsia="en-AU"/>
          <w14:ligatures w14:val="none"/>
        </w:rPr>
        <w:t xml:space="preserve"> or other nutrient considerations</w:t>
      </w:r>
      <w:r w:rsidRPr="00104BD2">
        <w:rPr>
          <w:rFonts w:ascii="Gotham Medium" w:eastAsia="SimHei" w:hAnsi="Gotham Medium" w:cs="Arial"/>
          <w:i/>
          <w:iCs/>
          <w:color w:val="FFFFFF"/>
          <w:kern w:val="0"/>
          <w:lang w:eastAsia="en-AU"/>
          <w14:ligatures w14:val="none"/>
        </w:rPr>
        <w:t>)</w:t>
      </w:r>
    </w:p>
    <w:p w14:paraId="25599993" w14:textId="77777777" w:rsidR="00F61D64" w:rsidRDefault="00F61D64" w:rsidP="00F61D64">
      <w:pPr>
        <w:pStyle w:val="Heading4"/>
      </w:pPr>
      <w:r>
        <w:t>Equity impacts</w:t>
      </w:r>
    </w:p>
    <w:p w14:paraId="79655DBD" w14:textId="77777777" w:rsidR="00F61D64" w:rsidRDefault="00F61D64" w:rsidP="00F61D64">
      <w:pPr>
        <w:spacing w:after="120"/>
        <w:ind w:right="172"/>
        <w:rPr>
          <w:rFonts w:eastAsia="Times New Roman" w:cs="Arial"/>
          <w:iCs/>
        </w:rPr>
      </w:pPr>
      <w:r>
        <w:rPr>
          <w:rFonts w:eastAsia="Times New Roman" w:cs="Arial"/>
          <w:iCs/>
        </w:rPr>
        <w:t>Available data from a range of sources including dietary recall, urinary sodium excretion measures and modelling approaches suggests that s</w:t>
      </w:r>
      <w:r w:rsidRPr="00293951">
        <w:rPr>
          <w:rFonts w:eastAsia="Times New Roman" w:cs="Arial"/>
          <w:iCs/>
        </w:rPr>
        <w:t>odium intakes are higher among population groups experiencing social and health disadvantage</w:t>
      </w:r>
      <w:r>
        <w:rPr>
          <w:rFonts w:eastAsia="Times New Roman" w:cs="Arial"/>
          <w:iCs/>
        </w:rPr>
        <w:t>,</w:t>
      </w:r>
      <w:r w:rsidRPr="00293951">
        <w:rPr>
          <w:rFonts w:eastAsia="Times New Roman" w:cs="Arial"/>
          <w:iCs/>
        </w:rPr>
        <w:t xml:space="preserve"> including</w:t>
      </w:r>
      <w:r>
        <w:rPr>
          <w:rFonts w:eastAsia="Times New Roman" w:cs="Arial"/>
          <w:iCs/>
        </w:rPr>
        <w:t xml:space="preserve"> Indigenous Australians, </w:t>
      </w:r>
      <w:r w:rsidRPr="00293951">
        <w:rPr>
          <w:rFonts w:eastAsia="Times New Roman" w:cs="Arial"/>
          <w:iCs/>
        </w:rPr>
        <w:t xml:space="preserve">adults from lower socioeconomic backgrounds, and Pacific populations in New Zealand. These groups are more likely to exceed recommended intake levels and have a higher burden of cardiovascular disease. </w:t>
      </w:r>
      <w:r>
        <w:rPr>
          <w:rFonts w:eastAsia="Times New Roman" w:cs="Arial"/>
          <w:iCs/>
        </w:rPr>
        <w:t xml:space="preserve">No </w:t>
      </w:r>
      <w:r w:rsidRPr="00293951">
        <w:rPr>
          <w:rFonts w:eastAsia="Times New Roman" w:cs="Arial"/>
          <w:iCs/>
        </w:rPr>
        <w:t xml:space="preserve">intake data are available for Māori populations, although </w:t>
      </w:r>
      <w:r>
        <w:rPr>
          <w:rFonts w:eastAsia="Times New Roman" w:cs="Arial"/>
          <w:iCs/>
        </w:rPr>
        <w:t>t</w:t>
      </w:r>
      <w:r w:rsidRPr="00012811">
        <w:rPr>
          <w:rFonts w:eastAsia="Times New Roman" w:cs="Arial"/>
          <w:iCs/>
        </w:rPr>
        <w:t>hey experience a substantially higher burden of cardiovascular disease</w:t>
      </w:r>
      <w:r>
        <w:rPr>
          <w:rFonts w:eastAsia="Times New Roman" w:cs="Arial"/>
          <w:iCs/>
        </w:rPr>
        <w:t xml:space="preserve"> for which dietary risk factors are a major contributor.  </w:t>
      </w:r>
      <w:r w:rsidRPr="00B22C8D">
        <w:rPr>
          <w:rFonts w:eastAsia="Times New Roman" w:cs="Arial"/>
          <w:iCs/>
        </w:rPr>
        <w:t xml:space="preserve">Across both countries, these </w:t>
      </w:r>
      <w:r>
        <w:rPr>
          <w:rFonts w:eastAsia="Times New Roman" w:cs="Arial"/>
          <w:iCs/>
        </w:rPr>
        <w:t xml:space="preserve">priority </w:t>
      </w:r>
      <w:r w:rsidRPr="00B22C8D">
        <w:rPr>
          <w:rFonts w:eastAsia="Times New Roman" w:cs="Arial"/>
          <w:iCs/>
        </w:rPr>
        <w:t xml:space="preserve">groups also experience higher rates of cardiovascular disease and related risk factors, including hypertension, meaning that higher sodium exposure may contribute to existing health inequities. </w:t>
      </w:r>
      <w:r>
        <w:rPr>
          <w:rFonts w:eastAsia="Times New Roman" w:cs="Arial"/>
          <w:iCs/>
        </w:rPr>
        <w:t xml:space="preserve">Evidence also suggests there are </w:t>
      </w:r>
      <w:r w:rsidRPr="008218C0">
        <w:rPr>
          <w:rFonts w:eastAsia="Times New Roman" w:cs="Arial"/>
          <w:iCs/>
        </w:rPr>
        <w:t>racial disparities in salt-sensitive blood pressure</w:t>
      </w:r>
      <w:r>
        <w:rPr>
          <w:rFonts w:eastAsia="Times New Roman" w:cs="Arial"/>
          <w:iCs/>
        </w:rPr>
        <w:t xml:space="preserve">, although the mechanism for this effect is not well understood </w:t>
      </w:r>
      <w:r>
        <w:rPr>
          <w:rFonts w:eastAsia="Times New Roman" w:cs="Arial"/>
          <w:iCs/>
        </w:rPr>
        <w:fldChar w:fldCharType="begin"/>
      </w:r>
      <w:r>
        <w:rPr>
          <w:rFonts w:eastAsia="Times New Roman" w:cs="Arial"/>
          <w:iCs/>
        </w:rPr>
        <w:instrText xml:space="preserve"> ADDIN EN.CITE &lt;EndNote&gt;&lt;Cite&gt;&lt;Author&gt;Jeong&lt;/Author&gt;&lt;Year&gt;2024&lt;/Year&gt;&lt;RecNum&gt;4733&lt;/RecNum&gt;&lt;DisplayText&gt;(Jeong et al., 2024)&lt;/DisplayText&gt;&lt;record&gt;&lt;rec-number&gt;4733&lt;/rec-number&gt;&lt;foreign-keys&gt;&lt;key app="EN" db-id="wwsdv2wwp29fenerv0kx5tw9zxtx2fdrprx2" timestamp="1780378694"&gt;4733&lt;/key&gt;&lt;/foreign-keys&gt;&lt;ref-type name="Journal Article"&gt;17&lt;/ref-type&gt;&lt;contributors&gt;&lt;authors&gt;&lt;author&gt;Jeong, Soolim&lt;/author&gt;&lt;author&gt;Hunter, Stacy D.&lt;/author&gt;&lt;author&gt;Cook, Marc D.&lt;/author&gt;&lt;author&gt;Grosicki, Gregory J.&lt;/author&gt;&lt;author&gt;Robinson, Austin T.&lt;/author&gt;&lt;/authors&gt;&lt;/contributors&gt;&lt;titles&gt;&lt;title&gt;Salty Subjects: Unpacking Racial Differences in Salt-Sensitive Hypertension&lt;/title&gt;&lt;secondary-title&gt;Current Hypertension Reports&lt;/secondary-title&gt;&lt;/titles&gt;&lt;periodical&gt;&lt;full-title&gt;Current Hypertension Reports&lt;/full-title&gt;&lt;/periodical&gt;&lt;pages&gt;43-58&lt;/pages&gt;&lt;volume&gt;26&lt;/volume&gt;&lt;number&gt;1&lt;/number&gt;&lt;dates&gt;&lt;year&gt;2024&lt;/year&gt;&lt;pub-dates&gt;&lt;date&gt;2024/01/01&lt;/date&gt;&lt;/pub-dates&gt;&lt;/dates&gt;&lt;isbn&gt;1534-3111&lt;/isbn&gt;&lt;urls&gt;&lt;related-urls&gt;&lt;url&gt;https://doi.org/10.1007/s11906-023-01275-z&lt;/url&gt;&lt;/related-urls&gt;&lt;/urls&gt;&lt;electronic-resource-num&gt;10.1007/s11906-023-01275-z&lt;/electronic-resource-num&gt;&lt;/record&gt;&lt;/Cite&gt;&lt;/EndNote&gt;</w:instrText>
      </w:r>
      <w:r>
        <w:rPr>
          <w:rFonts w:eastAsia="Times New Roman" w:cs="Arial"/>
          <w:iCs/>
        </w:rPr>
        <w:fldChar w:fldCharType="separate"/>
      </w:r>
      <w:r>
        <w:rPr>
          <w:rFonts w:eastAsia="Times New Roman" w:cs="Arial"/>
          <w:iCs/>
          <w:noProof/>
        </w:rPr>
        <w:t>(Jeong et al., 2024)</w:t>
      </w:r>
      <w:r>
        <w:rPr>
          <w:rFonts w:eastAsia="Times New Roman" w:cs="Arial"/>
          <w:iCs/>
        </w:rPr>
        <w:fldChar w:fldCharType="end"/>
      </w:r>
      <w:r>
        <w:rPr>
          <w:rFonts w:eastAsia="Times New Roman" w:cs="Arial"/>
          <w:iCs/>
        </w:rPr>
        <w:t xml:space="preserve">. </w:t>
      </w:r>
    </w:p>
    <w:p w14:paraId="40CA047C" w14:textId="77777777" w:rsidR="00F61D64" w:rsidRPr="00302FFE" w:rsidRDefault="00F61D64" w:rsidP="00F61D64">
      <w:pPr>
        <w:spacing w:after="120"/>
        <w:ind w:right="172"/>
        <w:rPr>
          <w:rFonts w:eastAsia="Times New Roman" w:cs="Arial"/>
          <w:iCs/>
        </w:rPr>
      </w:pPr>
      <w:r w:rsidRPr="00B22C8D">
        <w:rPr>
          <w:rFonts w:eastAsia="Times New Roman" w:cs="Arial"/>
          <w:iCs/>
        </w:rPr>
        <w:t xml:space="preserve">Collectively, this evidence highlights the need </w:t>
      </w:r>
      <w:r>
        <w:rPr>
          <w:rFonts w:eastAsia="Times New Roman" w:cs="Arial"/>
          <w:iCs/>
        </w:rPr>
        <w:t xml:space="preserve">to ensure that </w:t>
      </w:r>
      <w:r w:rsidRPr="00B22C8D">
        <w:rPr>
          <w:rFonts w:eastAsia="Times New Roman" w:cs="Arial"/>
          <w:iCs/>
        </w:rPr>
        <w:t xml:space="preserve">sodium recommendations support </w:t>
      </w:r>
      <w:r>
        <w:rPr>
          <w:rFonts w:eastAsia="Times New Roman" w:cs="Arial"/>
          <w:iCs/>
        </w:rPr>
        <w:t xml:space="preserve">ongoing </w:t>
      </w:r>
      <w:r w:rsidRPr="00B22C8D">
        <w:rPr>
          <w:rFonts w:eastAsia="Times New Roman" w:cs="Arial"/>
          <w:iCs/>
        </w:rPr>
        <w:t>reductions in intake among populations with the greatest exposure and highest disease burden.</w:t>
      </w:r>
    </w:p>
    <w:p w14:paraId="211AE762" w14:textId="77777777" w:rsidR="00F61D64" w:rsidRPr="00857B0C" w:rsidRDefault="00F61D64" w:rsidP="00F61D64">
      <w:pPr>
        <w:pStyle w:val="Heading4"/>
      </w:pPr>
      <w:r w:rsidRPr="00857B0C">
        <w:t>Other nutrients</w:t>
      </w:r>
    </w:p>
    <w:p w14:paraId="202B6861" w14:textId="77777777" w:rsidR="00F61D64" w:rsidRDefault="00F61D64" w:rsidP="00F61D64">
      <w:pPr>
        <w:spacing w:after="120"/>
        <w:ind w:right="172"/>
        <w:rPr>
          <w:rFonts w:eastAsia="Times New Roman" w:cs="Arial"/>
          <w:iCs/>
        </w:rPr>
      </w:pPr>
      <w:r w:rsidRPr="0076257F">
        <w:rPr>
          <w:rFonts w:eastAsia="Times New Roman" w:cs="Arial"/>
          <w:iCs/>
        </w:rPr>
        <w:t xml:space="preserve">Government guidance and modelling for institutional meal provision indicate that achieving </w:t>
      </w:r>
      <w:r>
        <w:rPr>
          <w:rFonts w:eastAsia="Times New Roman" w:cs="Arial"/>
          <w:iCs/>
        </w:rPr>
        <w:t xml:space="preserve">nutritionally balanced meals with </w:t>
      </w:r>
      <w:r w:rsidRPr="0076257F">
        <w:rPr>
          <w:rFonts w:eastAsia="Times New Roman" w:cs="Arial"/>
          <w:iCs/>
        </w:rPr>
        <w:t>sodium intakes aligned with current recommendations may be challenging within existing food systems</w:t>
      </w:r>
      <w:r>
        <w:rPr>
          <w:rFonts w:eastAsia="Times New Roman" w:cs="Arial"/>
          <w:iCs/>
        </w:rPr>
        <w:t xml:space="preserve"> </w:t>
      </w:r>
      <w:r>
        <w:rPr>
          <w:rFonts w:eastAsia="Times New Roman" w:cs="Arial"/>
          <w:iCs/>
        </w:rPr>
        <w:fldChar w:fldCharType="begin"/>
      </w:r>
      <w:r>
        <w:rPr>
          <w:rFonts w:eastAsia="Times New Roman" w:cs="Arial"/>
          <w:iCs/>
        </w:rPr>
        <w:instrText xml:space="preserve"> ADDIN EN.CITE &lt;EndNote&gt;&lt;Cite ExcludeAuth="1"&gt;&lt;Author&gt;Health&lt;/Author&gt;&lt;Year&gt;2022&lt;/Year&gt;&lt;RecNum&gt;4730&lt;/RecNum&gt;&lt;Prefix&gt;Queensland Health`, &lt;/Prefix&gt;&lt;DisplayText&gt;(Queensland Health, 2022; NSW Government Agency for Clincal Innovation, 2026)&lt;/DisplayText&gt;&lt;record&gt;&lt;rec-number&gt;4730&lt;/rec-number&gt;&lt;foreign-keys&gt;&lt;key app="EN" db-id="wwsdv2wwp29fenerv0kx5tw9zxtx2fdrprx2" timestamp="1780281223"&gt;4730&lt;/key&gt;&lt;/foreign-keys&gt;&lt;ref-type name="Government Document"&gt;46&lt;/ref-type&gt;&lt;contributors&gt;&lt;authors&gt;&lt;author&gt;Queensland Department of Health&lt;/author&gt;&lt;/authors&gt;&lt;secondary-authors&gt;&lt;author&gt;Queensland Health&lt;/author&gt;&lt;/secondary-authors&gt;&lt;/contributors&gt;&lt;titles&gt;&lt;title&gt;Nutrition Standards for Meals and Menus (Revised 2022)&lt;/title&gt;&lt;/titles&gt;&lt;edition&gt;January 2022&lt;/edition&gt;&lt;dates&gt;&lt;year&gt;2022&lt;/year&gt;&lt;/dates&gt;&lt;publisher&gt;Statewide Foodservices Network&lt;/publisher&gt;&lt;urls&gt;&lt;related-urls&gt;&lt;url&gt;https://www.health.qld.gov.au/__data/assets/pdf_file/0030/156288/qh-nutrition-standards.pdf#:~:text=The%20Queensland%20Health%20Nutrition%20Standards,the%20nutritional%20requirements%20of%20patients%2C&lt;/url&gt;&lt;/related-urls&gt;&lt;/urls&gt;&lt;/record&gt;&lt;/Cite&gt;&lt;Cite&gt;&lt;Author&gt;NSW Government Agency for Clincal Innovation&lt;/Author&gt;&lt;Year&gt;2026&lt;/Year&gt;&lt;RecNum&gt;4734&lt;/RecNum&gt;&lt;record&gt;&lt;rec-number&gt;4734&lt;/rec-number&gt;&lt;foreign-keys&gt;&lt;key app="EN" db-id="wwsdv2wwp29fenerv0kx5tw9zxtx2fdrprx2" timestamp="1780379213"&gt;4734&lt;/key&gt;&lt;/foreign-keys&gt;&lt;ref-type name="Government Document"&gt;46&lt;/ref-type&gt;&lt;contributors&gt;&lt;authors&gt;&lt;author&gt;NSW Government Agency for Clincal Innovation,&lt;/author&gt;&lt;/authors&gt;&lt;secondary-authors&gt;&lt;author&gt;NSW Government Agency for Clincal Innovation&lt;/author&gt;&lt;/secondary-authors&gt;&lt;/contributors&gt;&lt;titles&gt;&lt;title&gt;Nutrient Goal Standard for adult patients&lt;/title&gt;&lt;/titles&gt;&lt;dates&gt;&lt;year&gt;2026&lt;/year&gt;&lt;/dates&gt;&lt;urls&gt;&lt;related-urls&gt;&lt;url&gt;https://aci.health.nsw.gov.au/projects/nutrition-standards/adult/nutrient-goals#sodium&lt;/url&gt;&lt;/related-urls&gt;&lt;/urls&gt;&lt;/record&gt;&lt;/Cite&gt;&lt;/EndNote&gt;</w:instrText>
      </w:r>
      <w:r>
        <w:rPr>
          <w:rFonts w:eastAsia="Times New Roman" w:cs="Arial"/>
          <w:iCs/>
        </w:rPr>
        <w:fldChar w:fldCharType="separate"/>
      </w:r>
      <w:r>
        <w:rPr>
          <w:rFonts w:eastAsia="Times New Roman" w:cs="Arial"/>
          <w:iCs/>
          <w:noProof/>
        </w:rPr>
        <w:t>(Queensland Health, 2022; NSW Government Agency for Clincal Innovation, 2026)</w:t>
      </w:r>
      <w:r>
        <w:rPr>
          <w:rFonts w:eastAsia="Times New Roman" w:cs="Arial"/>
          <w:iCs/>
        </w:rPr>
        <w:fldChar w:fldCharType="end"/>
      </w:r>
      <w:r w:rsidRPr="0076257F">
        <w:rPr>
          <w:rFonts w:eastAsia="Times New Roman" w:cs="Arial"/>
          <w:iCs/>
        </w:rPr>
        <w:t xml:space="preserve">. </w:t>
      </w:r>
    </w:p>
    <w:p w14:paraId="3C50198B" w14:textId="77777777" w:rsidR="00F61D64" w:rsidRDefault="00F61D64" w:rsidP="00F61D64">
      <w:pPr>
        <w:spacing w:after="120"/>
        <w:ind w:right="172"/>
        <w:rPr>
          <w:rFonts w:eastAsia="Times New Roman" w:cs="Arial"/>
          <w:iCs/>
        </w:rPr>
      </w:pPr>
      <w:r>
        <w:rPr>
          <w:rFonts w:eastAsia="Times New Roman" w:cs="Arial"/>
          <w:iCs/>
        </w:rPr>
        <w:t xml:space="preserve">Although sodium interacts closely with potassium, chloride and calcium, these nutrient interactions are not sufficiently characterised to inform sodium NRV establishment </w:t>
      </w:r>
      <w:r>
        <w:rPr>
          <w:rFonts w:eastAsia="Times New Roman" w:cs="Arial"/>
          <w:iCs/>
        </w:rPr>
        <w:fldChar w:fldCharType="begin"/>
      </w:r>
      <w:r>
        <w:rPr>
          <w:rFonts w:eastAsia="Times New Roman" w:cs="Arial"/>
          <w:iCs/>
        </w:rPr>
        <w:instrText xml:space="preserve"> ADDIN EN.CITE &lt;EndNote&gt;&lt;Cite ExcludeAuth="1"&gt;&lt;Author&gt;European Food Safety Authority&lt;/Author&gt;&lt;Year&gt;2019&lt;/Year&gt;&lt;RecNum&gt;4610&lt;/RecNum&gt;&lt;Prefix&gt;EFSA`, &lt;/Prefix&gt;&lt;DisplayText&gt;(EFSA, 2019; NASEM, 2019)&lt;/DisplayText&gt;&lt;record&gt;&lt;rec-number&gt;4610&lt;/rec-number&gt;&lt;foreign-keys&gt;&lt;key app="EN" db-id="wwsdv2wwp29fenerv0kx5tw9zxtx2fdrprx2" timestamp="1774919605"&gt;4610&lt;/key&gt;&lt;/foreign-keys&gt;&lt;ref-type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Cite ExcludeAuth="1"&gt;&lt;Author&gt;National Academies of Sciences&lt;/Author&gt;&lt;Year&gt;2019&lt;/Year&gt;&lt;RecNum&gt;4618&lt;/RecNum&gt;&lt;Prefix&gt;NASEM`, &lt;/Prefix&gt;&lt;record&gt;&lt;rec-number&gt;4618&lt;/rec-number&gt;&lt;foreign-keys&gt;&lt;key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Pr>
          <w:rFonts w:eastAsia="Times New Roman" w:cs="Arial"/>
          <w:iCs/>
        </w:rPr>
        <w:fldChar w:fldCharType="separate"/>
      </w:r>
      <w:r>
        <w:rPr>
          <w:rFonts w:eastAsia="Times New Roman" w:cs="Arial"/>
          <w:iCs/>
          <w:noProof/>
        </w:rPr>
        <w:t>(EFSA, 2019; NASEM, 2019)</w:t>
      </w:r>
      <w:r>
        <w:rPr>
          <w:rFonts w:eastAsia="Times New Roman" w:cs="Arial"/>
          <w:iCs/>
        </w:rPr>
        <w:fldChar w:fldCharType="end"/>
      </w:r>
      <w:r>
        <w:rPr>
          <w:rFonts w:eastAsia="Times New Roman" w:cs="Arial"/>
          <w:iCs/>
        </w:rPr>
        <w:t xml:space="preserve">. </w:t>
      </w:r>
    </w:p>
    <w:p w14:paraId="67F0CE33" w14:textId="77777777"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Decision</w:t>
      </w:r>
    </w:p>
    <w:p w14:paraId="1C23592A" w14:textId="77777777" w:rsidR="00F61D64" w:rsidRDefault="00F61D64" w:rsidP="00F61D64">
      <w:pPr>
        <w:rPr>
          <w:rFonts w:eastAsia="Times New Roman" w:cs="Arial"/>
          <w:iCs/>
        </w:rPr>
      </w:pPr>
      <w:r>
        <w:rPr>
          <w:rFonts w:eastAsia="Times New Roman" w:cs="Arial"/>
          <w:iCs/>
        </w:rPr>
        <w:t xml:space="preserve">Retain current CDRR (formerly SDT) of 2,000mg/day in adults (including during pregnancy and lactation). </w:t>
      </w:r>
    </w:p>
    <w:p w14:paraId="1320638C" w14:textId="77777777" w:rsidR="00F61D64" w:rsidRDefault="00F61D64" w:rsidP="00F61D64">
      <w:pPr>
        <w:rPr>
          <w:rFonts w:eastAsiaTheme="majorEastAsia" w:cstheme="majorBidi"/>
          <w:color w:val="0F4761" w:themeColor="accent1" w:themeShade="BF"/>
          <w:sz w:val="24"/>
          <w:szCs w:val="28"/>
        </w:rPr>
      </w:pPr>
      <w:r>
        <w:rPr>
          <w:rFonts w:eastAsia="Times New Roman" w:cs="Arial"/>
          <w:iCs/>
        </w:rPr>
        <w:t>The evidence review suggests that the evidence for the relationship between sodium intake and chronic disease risk remains largely unchanged from the last date of review (2017). Retaining the current CDRR of 2,000mg/day maintains consistent public health messaging about the need to reduce sodium intakes to reduce chronic disease risk, aligns with values from comparable international jurisdictions, and is feasible to achieve from Australian and New Zealand diets.</w:t>
      </w:r>
      <w:r>
        <w:br w:type="page"/>
      </w:r>
    </w:p>
    <w:p w14:paraId="5C97A9AE" w14:textId="77777777" w:rsidR="00F61D64" w:rsidRPr="003435D4" w:rsidRDefault="00F61D64" w:rsidP="00F61D64">
      <w:pPr>
        <w:pStyle w:val="Heading4"/>
        <w:pBdr>
          <w:top w:val="single" w:sz="4" w:space="1" w:color="auto"/>
          <w:left w:val="single" w:sz="4" w:space="4" w:color="auto"/>
          <w:bottom w:val="single" w:sz="4" w:space="1" w:color="auto"/>
          <w:right w:val="single" w:sz="4" w:space="4" w:color="auto"/>
        </w:pBdr>
        <w:spacing w:after="0"/>
        <w:rPr>
          <w:i w:val="0"/>
          <w:iCs w:val="0"/>
          <w:sz w:val="28"/>
          <w:szCs w:val="28"/>
        </w:rPr>
      </w:pPr>
      <w:bookmarkStart w:id="183" w:name="_Toc228804634"/>
      <w:bookmarkEnd w:id="178"/>
      <w:r>
        <w:rPr>
          <w:i w:val="0"/>
          <w:iCs w:val="0"/>
          <w:sz w:val="28"/>
          <w:szCs w:val="28"/>
        </w:rPr>
        <w:lastRenderedPageBreak/>
        <w:t>PREGNANCY</w:t>
      </w:r>
    </w:p>
    <w:p w14:paraId="41555E6A" w14:textId="77777777" w:rsidR="00F61D64" w:rsidRPr="00974EB9" w:rsidRDefault="00F61D64" w:rsidP="00F61D64">
      <w:pPr>
        <w:spacing w:after="120"/>
        <w:ind w:right="172"/>
        <w:rPr>
          <w:rFonts w:eastAsia="Times New Roman" w:cs="Arial"/>
          <w:iCs/>
        </w:rPr>
      </w:pPr>
      <w:r>
        <w:rPr>
          <w:rFonts w:eastAsia="Times New Roman" w:cs="Arial"/>
          <w:iCs/>
        </w:rPr>
        <w:t xml:space="preserve">Chronic hypertension increases the risk of hypertensive disorders during pregnancy, and consequently the risk of adverse pregnancy and birth outcomes. </w:t>
      </w:r>
      <w:r w:rsidRPr="00470FDD">
        <w:rPr>
          <w:rFonts w:eastAsia="Times New Roman" w:cs="Arial"/>
          <w:iCs/>
        </w:rPr>
        <w:t>Australian clinical guidance recommends that individuals planning pregnancy optimise blood pressure prior to conception through management of modifiable risk factors including weight, diet, physical activity and smoking</w:t>
      </w:r>
      <w:r>
        <w:rPr>
          <w:rFonts w:eastAsia="Times New Roman" w:cs="Arial"/>
          <w:iCs/>
        </w:rPr>
        <w:t xml:space="preserve">. Although </w:t>
      </w:r>
      <w:r w:rsidRPr="00470FDD">
        <w:rPr>
          <w:rFonts w:eastAsia="Times New Roman" w:cs="Arial"/>
          <w:iCs/>
        </w:rPr>
        <w:t>some guidance notes the importance of maintaining a low</w:t>
      </w:r>
      <w:r>
        <w:rPr>
          <w:rFonts w:eastAsia="Times New Roman" w:cs="Arial"/>
          <w:iCs/>
        </w:rPr>
        <w:t>er</w:t>
      </w:r>
      <w:r w:rsidRPr="00470FDD">
        <w:rPr>
          <w:rFonts w:eastAsia="Times New Roman" w:cs="Arial"/>
          <w:iCs/>
        </w:rPr>
        <w:t xml:space="preserve"> dietary sodium intake as part of cardiovascular risk reduction, this advice is not specific to pregnancy and reflects standard management recommendations for individuals with chronic hypertension rather than pregnancy-specific dietary requirements.</w:t>
      </w:r>
      <w:r>
        <w:rPr>
          <w:rFonts w:eastAsia="Times New Roman" w:cs="Arial"/>
          <w:iCs/>
        </w:rPr>
        <w:t xml:space="preserve"> There is no current </w:t>
      </w:r>
      <w:r w:rsidRPr="00974EB9">
        <w:rPr>
          <w:rFonts w:eastAsia="Times New Roman" w:cs="Arial"/>
          <w:iCs/>
        </w:rPr>
        <w:t xml:space="preserve">recommendation for pregnant individuals </w:t>
      </w:r>
      <w:r>
        <w:rPr>
          <w:rFonts w:eastAsia="Times New Roman" w:cs="Arial"/>
          <w:iCs/>
        </w:rPr>
        <w:t xml:space="preserve">with high blood pressure </w:t>
      </w:r>
      <w:r w:rsidRPr="00974EB9">
        <w:rPr>
          <w:rFonts w:eastAsia="Times New Roman" w:cs="Arial"/>
          <w:iCs/>
        </w:rPr>
        <w:t>to re</w:t>
      </w:r>
      <w:r>
        <w:rPr>
          <w:rFonts w:eastAsia="Times New Roman" w:cs="Arial"/>
          <w:iCs/>
        </w:rPr>
        <w:t xml:space="preserve">strict </w:t>
      </w:r>
      <w:r w:rsidRPr="00974EB9">
        <w:rPr>
          <w:rFonts w:eastAsia="Times New Roman" w:cs="Arial"/>
          <w:iCs/>
        </w:rPr>
        <w:t xml:space="preserve">sodium intake during pregnancy </w:t>
      </w:r>
      <w:r>
        <w:rPr>
          <w:rFonts w:eastAsia="Times New Roman" w:cs="Arial"/>
          <w:iCs/>
        </w:rPr>
        <w:t xml:space="preserve">for the </w:t>
      </w:r>
      <w:r w:rsidRPr="00974EB9">
        <w:rPr>
          <w:rFonts w:eastAsia="Times New Roman" w:cs="Arial"/>
          <w:iCs/>
        </w:rPr>
        <w:t>prevention or management of hypertensive disorders, and available evidence on the effect of sodium reduction on these outcomes in pregnancy is limited and uncertain.</w:t>
      </w:r>
      <w:r>
        <w:rPr>
          <w:rFonts w:eastAsia="Times New Roman" w:cs="Arial"/>
          <w:iCs/>
        </w:rPr>
        <w:fldChar w:fldCharType="begin"/>
      </w:r>
      <w:r>
        <w:rPr>
          <w:rFonts w:eastAsia="Times New Roman" w:cs="Arial"/>
          <w:iCs/>
        </w:rPr>
        <w:instrText xml:space="preserve"> ADDIN EN.CITE &lt;EndNote&gt;&lt;Cite&gt;&lt;Author&gt;Lowe&lt;/Author&gt;&lt;Year&gt;2014&lt;/Year&gt;&lt;RecNum&gt;4732&lt;/RecNum&gt;&lt;DisplayText&gt;(Lowe et al., 2014)&lt;/DisplayText&gt;&lt;record&gt;&lt;rec-number&gt;4732&lt;/rec-number&gt;&lt;foreign-keys&gt;&lt;key app="EN" db-id="wwsdv2wwp29fenerv0kx5tw9zxtx2fdrprx2" timestamp="1780364534"&gt;4732&lt;/key&gt;&lt;/foreign-keys&gt;&lt;ref-type name="Report"&gt;27&lt;/ref-type&gt;&lt;contributors&gt;&lt;authors&gt;&lt;author&gt;Lowe, SA.&lt;/author&gt;&lt;author&gt;Bowyer, L&lt;/author&gt;&lt;author&gt;Lust, K&lt;/author&gt;&lt;author&gt;McMahon, LP&lt;/author&gt;&lt;author&gt;Morton, M&lt;/author&gt;&lt;author&gt;North, RA&lt;/author&gt;&lt;author&gt;Paech, M&lt;/author&gt;&lt;author&gt;Said, JM&lt;/author&gt;&lt;/authors&gt;&lt;secondary-authors&gt;&lt;author&gt;Society of Obstetric Medicine of Australia and New Zealand,&lt;/author&gt;&lt;/secondary-authors&gt;&lt;/contributors&gt;&lt;titles&gt;&lt;title&gt;Guideline for the Management of Hypertensive Disorders of Pregnancy&lt;/title&gt;&lt;/titles&gt;&lt;dates&gt;&lt;year&gt;2014&lt;/year&gt;&lt;/dates&gt;&lt;publisher&gt;Society of Obstetric Medicine of Australia and New Zealand,&lt;/publisher&gt;&lt;urls&gt;&lt;related-urls&gt;&lt;url&gt;https://ranzcog.edu.au/wp-content/uploads/SOMANZ-Hypertensive-Disorders-Pregnancy.pdf&lt;/url&gt;&lt;/related-urls&gt;&lt;/urls&gt;&lt;/record&gt;&lt;/Cite&gt;&lt;/EndNote&gt;</w:instrText>
      </w:r>
      <w:r>
        <w:rPr>
          <w:rFonts w:eastAsia="Times New Roman" w:cs="Arial"/>
          <w:iCs/>
        </w:rPr>
        <w:fldChar w:fldCharType="separate"/>
      </w:r>
      <w:r>
        <w:rPr>
          <w:rFonts w:eastAsia="Times New Roman" w:cs="Arial"/>
          <w:iCs/>
          <w:noProof/>
        </w:rPr>
        <w:t>(Lowe et al., 2014)</w:t>
      </w:r>
      <w:r>
        <w:rPr>
          <w:rFonts w:eastAsia="Times New Roman" w:cs="Arial"/>
          <w:iCs/>
        </w:rPr>
        <w:fldChar w:fldCharType="end"/>
      </w:r>
    </w:p>
    <w:p w14:paraId="0313D90F" w14:textId="77777777" w:rsidR="00F61D64" w:rsidRPr="00C33341" w:rsidRDefault="00F61D64" w:rsidP="00F61D64">
      <w:pPr>
        <w:rPr>
          <w:lang w:eastAsia="en-AU"/>
        </w:rPr>
      </w:pPr>
      <w:r>
        <w:rPr>
          <w:lang w:eastAsia="en-AU"/>
        </w:rPr>
        <w:t xml:space="preserve">There is no evidence to suggest that pregnant adults differ in sensitivity to sodium exposure compared with non-pregnant adults. Consistent with the NASEM (2019) and EFSA (2019) recommendations, the CDRR for pregnant adults is </w:t>
      </w:r>
      <w:r w:rsidRPr="00B9618C">
        <w:rPr>
          <w:lang w:eastAsia="en-AU"/>
        </w:rPr>
        <w:t>aligned with those for the general adult population.</w:t>
      </w:r>
    </w:p>
    <w:p w14:paraId="2B7AD20B" w14:textId="77777777" w:rsidR="00F61D64" w:rsidRPr="003435D4" w:rsidRDefault="00F61D64" w:rsidP="00F61D64">
      <w:pPr>
        <w:pStyle w:val="Heading4"/>
        <w:pBdr>
          <w:top w:val="single" w:sz="4" w:space="1" w:color="auto"/>
          <w:left w:val="single" w:sz="4" w:space="4" w:color="auto"/>
          <w:bottom w:val="single" w:sz="4" w:space="1" w:color="auto"/>
          <w:right w:val="single" w:sz="4" w:space="4" w:color="auto"/>
        </w:pBdr>
        <w:spacing w:after="0"/>
        <w:rPr>
          <w:i w:val="0"/>
          <w:iCs w:val="0"/>
          <w:sz w:val="28"/>
          <w:szCs w:val="28"/>
        </w:rPr>
      </w:pPr>
      <w:bookmarkStart w:id="184" w:name="_Toc228804635"/>
      <w:bookmarkEnd w:id="183"/>
      <w:r>
        <w:rPr>
          <w:i w:val="0"/>
          <w:iCs w:val="0"/>
          <w:sz w:val="28"/>
          <w:szCs w:val="28"/>
        </w:rPr>
        <w:t>LACTATION</w:t>
      </w:r>
    </w:p>
    <w:bookmarkEnd w:id="184"/>
    <w:p w14:paraId="21D8AF51" w14:textId="77777777" w:rsidR="00F61D64" w:rsidRPr="00C33341" w:rsidRDefault="00F61D64" w:rsidP="00F61D64">
      <w:pPr>
        <w:rPr>
          <w:lang w:eastAsia="en-AU"/>
        </w:rPr>
      </w:pPr>
      <w:r>
        <w:rPr>
          <w:lang w:eastAsia="en-AU"/>
        </w:rPr>
        <w:t xml:space="preserve">There is no evidence that sensitivity to sodium exposure differs during lactation compared with non-lactating adults. Consistent with the NASEM (2019) and EFSA (2019) recommendations, the CDRR for lactating adults is </w:t>
      </w:r>
      <w:r w:rsidRPr="00B9618C">
        <w:rPr>
          <w:lang w:eastAsia="en-AU"/>
        </w:rPr>
        <w:t>aligned with those for the general adult population.</w:t>
      </w:r>
    </w:p>
    <w:p w14:paraId="10CA6D34" w14:textId="77777777" w:rsidR="00F61D64" w:rsidRDefault="00F61D64" w:rsidP="00F61D64">
      <w:r>
        <w:br w:type="page"/>
      </w:r>
    </w:p>
    <w:p w14:paraId="40CC0EE6" w14:textId="77777777" w:rsidR="00F61D64" w:rsidRPr="003435D4" w:rsidRDefault="00F61D64" w:rsidP="00F61D64">
      <w:pPr>
        <w:pStyle w:val="Heading4"/>
        <w:pBdr>
          <w:top w:val="single" w:sz="4" w:space="1" w:color="auto"/>
          <w:left w:val="single" w:sz="4" w:space="4" w:color="auto"/>
          <w:bottom w:val="single" w:sz="4" w:space="1" w:color="auto"/>
          <w:right w:val="single" w:sz="4" w:space="4" w:color="auto"/>
        </w:pBdr>
        <w:spacing w:after="0"/>
        <w:rPr>
          <w:i w:val="0"/>
          <w:iCs w:val="0"/>
          <w:sz w:val="28"/>
          <w:szCs w:val="28"/>
        </w:rPr>
      </w:pPr>
      <w:r>
        <w:rPr>
          <w:i w:val="0"/>
          <w:iCs w:val="0"/>
          <w:sz w:val="28"/>
          <w:szCs w:val="28"/>
        </w:rPr>
        <w:lastRenderedPageBreak/>
        <w:t>CHILDREN AND ADOLESCENTS</w:t>
      </w:r>
    </w:p>
    <w:p w14:paraId="6F64716E" w14:textId="77777777" w:rsidR="00F61D64" w:rsidRPr="00C33341" w:rsidRDefault="00F61D64" w:rsidP="00F61D64">
      <w:pPr>
        <w:spacing w:after="0" w:line="280" w:lineRule="atLeast"/>
        <w:ind w:left="1151" w:right="1151"/>
        <w:rPr>
          <w:rFonts w:ascii="Arial" w:eastAsia="SimHei" w:hAnsi="Arial" w:cs="Arial"/>
          <w:iCs/>
          <w:color w:val="77BCD9"/>
          <w:kern w:val="0"/>
          <w:sz w:val="20"/>
          <w:szCs w:val="18"/>
          <w:lang w:eastAsia="en-AU"/>
          <w14:ligatures w14:val="none"/>
        </w:rPr>
      </w:pPr>
    </w:p>
    <w:p w14:paraId="7B608E08" w14:textId="77777777" w:rsidR="00F61D64" w:rsidRPr="00C33341" w:rsidRDefault="00F61D64" w:rsidP="00F61D64">
      <w:pPr>
        <w:keepNext/>
        <w:keepLines/>
        <w:shd w:val="clear" w:color="auto" w:fill="005F85"/>
        <w:spacing w:after="120" w:line="280" w:lineRule="atLeast"/>
        <w:outlineLvl w:val="4"/>
        <w:rPr>
          <w:rFonts w:ascii="Gotham Medium" w:eastAsia="SimHei" w:hAnsi="Gotham Medium" w:cs="Arial"/>
          <w:i/>
          <w:iCs/>
          <w:color w:val="FFFFFF"/>
          <w:kern w:val="0"/>
          <w:lang w:eastAsia="en-AU"/>
          <w14:ligatures w14:val="none"/>
        </w:rPr>
      </w:pPr>
      <w:r>
        <w:rPr>
          <w:rFonts w:ascii="Gotham Medium" w:eastAsia="SimHei" w:hAnsi="Gotham Medium" w:cs="Arial"/>
          <w:i/>
          <w:iCs/>
          <w:color w:val="FFFFFF"/>
          <w:kern w:val="0"/>
          <w:lang w:eastAsia="en-AU"/>
          <w14:ligatures w14:val="none"/>
        </w:rPr>
        <w:t>Options for recommendations under 0consideration</w:t>
      </w:r>
    </w:p>
    <w:tbl>
      <w:tblPr>
        <w:tblStyle w:val="DefaultTable12"/>
        <w:tblW w:w="5000" w:type="pc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7"/>
        <w:gridCol w:w="2080"/>
        <w:gridCol w:w="2227"/>
        <w:gridCol w:w="3268"/>
        <w:gridCol w:w="2080"/>
        <w:gridCol w:w="1916"/>
      </w:tblGrid>
      <w:tr w:rsidR="00F61D64" w:rsidRPr="00C12A6C" w14:paraId="44451602" w14:textId="77777777" w:rsidTr="003A3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4" w:type="pct"/>
            <w:gridSpan w:val="3"/>
            <w:tcBorders>
              <w:top w:val="single" w:sz="4" w:space="0" w:color="156082" w:themeColor="accent1"/>
              <w:left w:val="single" w:sz="4" w:space="0" w:color="156082" w:themeColor="accent1"/>
              <w:bottom w:val="single" w:sz="4" w:space="0" w:color="156082" w:themeColor="accent1"/>
              <w:right w:val="single" w:sz="4" w:space="0" w:color="A6A6A6"/>
            </w:tcBorders>
            <w:shd w:val="clear" w:color="auto" w:fill="C8E4EF"/>
          </w:tcPr>
          <w:p w14:paraId="4235B986" w14:textId="77777777" w:rsidR="00F61D64" w:rsidRPr="00C12A6C" w:rsidRDefault="00F61D64" w:rsidP="003A31ED">
            <w:pPr>
              <w:spacing w:line="276" w:lineRule="auto"/>
              <w:ind w:left="142"/>
              <w:rPr>
                <w:rFonts w:ascii="Gotham Book" w:eastAsia="Times New Roman" w:hAnsi="Gotham Book" w:cs="Times New Roman"/>
                <w:color w:val="004663"/>
                <w:sz w:val="20"/>
                <w:szCs w:val="20"/>
              </w:rPr>
            </w:pPr>
            <w:r w:rsidRPr="00C12A6C">
              <w:rPr>
                <w:rFonts w:ascii="Gotham Book" w:eastAsia="Times New Roman" w:hAnsi="Gotham Book" w:cs="Arial"/>
                <w:color w:val="004663"/>
                <w:sz w:val="20"/>
                <w:szCs w:val="20"/>
                <w:u w:val="single"/>
              </w:rPr>
              <w:t>OPTION 1</w:t>
            </w:r>
            <w:r w:rsidRPr="00C12A6C">
              <w:rPr>
                <w:rFonts w:ascii="Gotham Book" w:eastAsia="Times New Roman" w:hAnsi="Gotham Book" w:cs="Arial"/>
                <w:color w:val="004663"/>
                <w:sz w:val="20"/>
                <w:szCs w:val="20"/>
              </w:rPr>
              <w:t>:</w:t>
            </w:r>
            <w:r w:rsidRPr="00C12A6C">
              <w:rPr>
                <w:rFonts w:ascii="Gotham Book" w:eastAsia="Times New Roman" w:hAnsi="Gotham Book" w:cs="Times New Roman"/>
                <w:color w:val="004663"/>
                <w:sz w:val="20"/>
                <w:szCs w:val="20"/>
              </w:rPr>
              <w:t xml:space="preserve"> </w:t>
            </w:r>
          </w:p>
          <w:p w14:paraId="221B23D2" w14:textId="77777777" w:rsidR="00F61D64" w:rsidRPr="00C12A6C" w:rsidRDefault="00F61D64" w:rsidP="003A31ED">
            <w:pPr>
              <w:spacing w:line="276" w:lineRule="auto"/>
              <w:ind w:left="142"/>
              <w:rPr>
                <w:rFonts w:ascii="Gotham Book" w:eastAsia="Arial" w:hAnsi="Gotham Book" w:cs="Arial"/>
                <w:color w:val="004663"/>
                <w:sz w:val="20"/>
              </w:rPr>
            </w:pPr>
            <w:r>
              <w:rPr>
                <w:rFonts w:ascii="Gotham Book" w:eastAsia="Times New Roman" w:hAnsi="Gotham Book" w:cs="Arial"/>
                <w:color w:val="004663"/>
                <w:sz w:val="20"/>
                <w:szCs w:val="20"/>
              </w:rPr>
              <w:t>Extrapolate a CDRR based on the adult CDRR (current or increased value), with recommendations for current and alternative school age groupings</w:t>
            </w:r>
          </w:p>
        </w:tc>
        <w:tc>
          <w:tcPr>
            <w:tcW w:w="2476" w:type="pct"/>
            <w:gridSpan w:val="3"/>
            <w:tcBorders>
              <w:top w:val="single" w:sz="4" w:space="0" w:color="156082" w:themeColor="accent1"/>
              <w:bottom w:val="single" w:sz="4" w:space="0" w:color="156082" w:themeColor="accent1"/>
              <w:right w:val="single" w:sz="4" w:space="0" w:color="156082" w:themeColor="accent1"/>
            </w:tcBorders>
            <w:shd w:val="clear" w:color="auto" w:fill="C8E4EF"/>
          </w:tcPr>
          <w:p w14:paraId="0639F67A" w14:textId="77777777" w:rsidR="00F61D64" w:rsidRPr="00C12A6C" w:rsidRDefault="00F61D64" w:rsidP="003A31ED">
            <w:pPr>
              <w:spacing w:line="276" w:lineRule="auto"/>
              <w:ind w:left="136" w:right="119"/>
              <w:cnfStyle w:val="100000000000" w:firstRow="1" w:lastRow="0" w:firstColumn="0" w:lastColumn="0" w:oddVBand="0" w:evenVBand="0" w:oddHBand="0" w:evenHBand="0" w:firstRowFirstColumn="0" w:firstRowLastColumn="0" w:lastRowFirstColumn="0" w:lastRowLastColumn="0"/>
              <w:rPr>
                <w:rFonts w:ascii="Gotham Book" w:eastAsia="Times New Roman" w:hAnsi="Gotham Book" w:cs="Arial"/>
                <w:color w:val="004663"/>
                <w:sz w:val="20"/>
                <w:szCs w:val="20"/>
              </w:rPr>
            </w:pPr>
            <w:r w:rsidRPr="00C12A6C">
              <w:rPr>
                <w:rFonts w:ascii="Gotham Book" w:eastAsia="Times New Roman" w:hAnsi="Gotham Book" w:cs="Arial"/>
                <w:color w:val="004663"/>
                <w:sz w:val="20"/>
                <w:szCs w:val="20"/>
                <w:u w:val="single"/>
              </w:rPr>
              <w:t>OPTION 2</w:t>
            </w:r>
            <w:r w:rsidRPr="00C12A6C">
              <w:rPr>
                <w:rFonts w:ascii="Gotham Book" w:eastAsia="Times New Roman" w:hAnsi="Gotham Book" w:cs="Arial"/>
                <w:color w:val="004663"/>
                <w:sz w:val="20"/>
                <w:szCs w:val="20"/>
              </w:rPr>
              <w:t>:</w:t>
            </w:r>
          </w:p>
          <w:p w14:paraId="78B148DC" w14:textId="77777777" w:rsidR="00F61D64" w:rsidRPr="00C12A6C" w:rsidRDefault="00F61D64" w:rsidP="003A31ED">
            <w:pPr>
              <w:spacing w:line="276" w:lineRule="auto"/>
              <w:ind w:left="136" w:right="119"/>
              <w:cnfStyle w:val="100000000000" w:firstRow="1" w:lastRow="0" w:firstColumn="0" w:lastColumn="0" w:oddVBand="0" w:evenVBand="0" w:oddHBand="0" w:evenHBand="0" w:firstRowFirstColumn="0" w:firstRowLastColumn="0" w:lastRowFirstColumn="0" w:lastRowLastColumn="0"/>
              <w:rPr>
                <w:rFonts w:ascii="Gotham Book" w:eastAsia="Arial" w:hAnsi="Gotham Book" w:cs="Arial"/>
                <w:color w:val="004663"/>
                <w:sz w:val="20"/>
              </w:rPr>
            </w:pPr>
            <w:r>
              <w:rPr>
                <w:rFonts w:ascii="Gotham Book" w:eastAsia="Times New Roman" w:hAnsi="Gotham Book" w:cs="Arial"/>
                <w:color w:val="004663"/>
                <w:sz w:val="20"/>
                <w:szCs w:val="20"/>
              </w:rPr>
              <w:t>Maintain the current UL and include recommendations for current and alternative school age groupings.</w:t>
            </w:r>
          </w:p>
        </w:tc>
      </w:tr>
      <w:tr w:rsidR="00F61D64" w:rsidRPr="00C12A6C" w14:paraId="63417F69"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296A2EC2" w14:textId="77777777" w:rsidR="00F61D64" w:rsidRPr="00053541" w:rsidRDefault="00F61D64" w:rsidP="003A31ED">
            <w:pPr>
              <w:spacing w:line="280" w:lineRule="atLeast"/>
              <w:ind w:left="142"/>
              <w:rPr>
                <w:rFonts w:ascii="Gotham Book" w:eastAsia="Times New Roman" w:hAnsi="Gotham Book" w:cs="Arial"/>
                <w:color w:val="000000" w:themeColor="text1"/>
                <w:sz w:val="20"/>
                <w:szCs w:val="20"/>
              </w:rPr>
            </w:pP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9908EC2" w14:textId="77777777" w:rsidR="00F61D64" w:rsidRPr="00C12A6C" w:rsidRDefault="00F61D64" w:rsidP="003A31ED">
            <w:pPr>
              <w:spacing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Pr>
                <w:rFonts w:ascii="Gotham Book" w:eastAsia="Arial" w:hAnsi="Gotham Book" w:cs="Arial"/>
                <w:b/>
                <w:sz w:val="20"/>
                <w:szCs w:val="20"/>
              </w:rPr>
              <w:t>CDRR</w:t>
            </w:r>
            <w:r w:rsidRPr="00A91CEA">
              <w:rPr>
                <w:rFonts w:ascii="Gotham Book" w:eastAsia="Arial" w:hAnsi="Gotham Book" w:cs="Arial"/>
                <w:b/>
                <w:sz w:val="20"/>
                <w:szCs w:val="20"/>
              </w:rPr>
              <w:t xml:space="preserve"> (mg/day)</w:t>
            </w:r>
          </w:p>
        </w:tc>
        <w:tc>
          <w:tcPr>
            <w:tcW w:w="75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9C190D9" w14:textId="77777777" w:rsidR="00F61D64" w:rsidRPr="00C12A6C" w:rsidRDefault="00F61D64" w:rsidP="003A31ED">
            <w:pPr>
              <w:spacing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Pr>
                <w:rFonts w:ascii="Gotham Book" w:eastAsia="Arial" w:hAnsi="Gotham Book" w:cs="Arial"/>
                <w:b/>
                <w:sz w:val="20"/>
                <w:szCs w:val="20"/>
              </w:rPr>
              <w:t>CDRR</w:t>
            </w:r>
            <w:r w:rsidRPr="00A91CEA">
              <w:rPr>
                <w:rFonts w:ascii="Gotham Book" w:eastAsia="Arial" w:hAnsi="Gotham Book" w:cs="Arial"/>
                <w:b/>
                <w:sz w:val="20"/>
                <w:szCs w:val="20"/>
              </w:rPr>
              <w:t xml:space="preserve"> (mmol/day)</w:t>
            </w:r>
          </w:p>
        </w:tc>
        <w:tc>
          <w:tcPr>
            <w:tcW w:w="111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41DED602" w14:textId="77777777" w:rsidR="00F61D64" w:rsidRPr="00C12A6C" w:rsidRDefault="00F61D64" w:rsidP="003A31ED">
            <w:pPr>
              <w:spacing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Times New Roman" w:hAnsi="Gotham Book" w:cs="Arial"/>
                <w:b/>
                <w:sz w:val="20"/>
                <w:szCs w:val="20"/>
              </w:rPr>
            </w:pP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CC4EA43" w14:textId="77777777" w:rsidR="00F61D64" w:rsidRDefault="00F61D64" w:rsidP="003A31ED">
            <w:pPr>
              <w:spacing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b/>
                <w:sz w:val="20"/>
              </w:rPr>
            </w:pPr>
            <w:r>
              <w:rPr>
                <w:rFonts w:ascii="Gotham Book" w:eastAsia="Arial" w:hAnsi="Gotham Book" w:cs="Arial"/>
                <w:b/>
                <w:sz w:val="20"/>
                <w:szCs w:val="20"/>
              </w:rPr>
              <w:t>UL</w:t>
            </w:r>
            <w:r w:rsidRPr="00A91CEA">
              <w:rPr>
                <w:rFonts w:ascii="Gotham Book" w:eastAsia="Arial" w:hAnsi="Gotham Book" w:cs="Arial"/>
                <w:b/>
                <w:sz w:val="20"/>
                <w:szCs w:val="20"/>
              </w:rPr>
              <w:t xml:space="preserve"> (mg/day)</w:t>
            </w:r>
          </w:p>
        </w:tc>
        <w:tc>
          <w:tcPr>
            <w:tcW w:w="65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495BD685" w14:textId="77777777" w:rsidR="00F61D64" w:rsidRPr="00C12A6C" w:rsidRDefault="00F61D64" w:rsidP="003A31ED">
            <w:pPr>
              <w:spacing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sz w:val="20"/>
              </w:rPr>
            </w:pPr>
            <w:r>
              <w:rPr>
                <w:rFonts w:ascii="Gotham Book" w:eastAsia="Arial" w:hAnsi="Gotham Book" w:cs="Arial"/>
                <w:b/>
                <w:sz w:val="20"/>
                <w:szCs w:val="20"/>
              </w:rPr>
              <w:t>UL</w:t>
            </w:r>
            <w:r w:rsidRPr="00A91CEA">
              <w:rPr>
                <w:rFonts w:ascii="Gotham Book" w:eastAsia="Arial" w:hAnsi="Gotham Book" w:cs="Arial"/>
                <w:b/>
                <w:sz w:val="20"/>
                <w:szCs w:val="20"/>
              </w:rPr>
              <w:t xml:space="preserve"> (</w:t>
            </w:r>
            <w:r>
              <w:rPr>
                <w:rFonts w:ascii="Gotham Book" w:eastAsia="Arial" w:hAnsi="Gotham Book" w:cs="Arial"/>
                <w:b/>
                <w:sz w:val="20"/>
                <w:szCs w:val="20"/>
              </w:rPr>
              <w:t>mmol/day)</w:t>
            </w:r>
          </w:p>
        </w:tc>
      </w:tr>
      <w:tr w:rsidR="00F61D64" w:rsidRPr="00C12A6C" w14:paraId="4F33BB9B"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62C1C9D7" w14:textId="77777777" w:rsidR="00F61D64" w:rsidRPr="00053541" w:rsidRDefault="00F61D64" w:rsidP="007F63E7">
            <w:pPr>
              <w:spacing w:before="0" w:after="0" w:line="280" w:lineRule="atLeast"/>
              <w:ind w:left="142"/>
              <w:rPr>
                <w:rFonts w:ascii="Gotham Book" w:eastAsia="Times New Roman" w:hAnsi="Gotham Book" w:cs="Arial"/>
                <w:color w:val="000000" w:themeColor="text1"/>
                <w:sz w:val="20"/>
                <w:szCs w:val="20"/>
              </w:rPr>
            </w:pPr>
            <w:r w:rsidRPr="00A91CEA">
              <w:rPr>
                <w:rFonts w:ascii="Gotham Book" w:eastAsia="Times New Roman" w:hAnsi="Gotham Book" w:cs="Arial"/>
                <w:b w:val="0"/>
                <w:bCs w:val="0"/>
                <w:color w:val="000000" w:themeColor="text1"/>
                <w:sz w:val="20"/>
                <w:szCs w:val="20"/>
              </w:rPr>
              <w:t xml:space="preserve">1 to under 4 years </w:t>
            </w: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3F69301F" w14:textId="77777777" w:rsidR="00F61D64" w:rsidRPr="0088021F" w:rsidRDefault="00F61D64" w:rsidP="007F63E7">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sidRPr="0088021F">
              <w:rPr>
                <w:rFonts w:ascii="Gotham Book" w:eastAsia="Arial" w:hAnsi="Gotham Book" w:cs="Arial"/>
                <w:i/>
                <w:sz w:val="20"/>
              </w:rPr>
              <w:t>950</w:t>
            </w:r>
          </w:p>
        </w:tc>
        <w:tc>
          <w:tcPr>
            <w:tcW w:w="75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4167E822" w14:textId="77777777" w:rsidR="00F61D64" w:rsidRPr="006F5452" w:rsidRDefault="00F61D64" w:rsidP="007F63E7">
            <w:pPr>
              <w:spacing w:before="0" w:after="0"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sidRPr="006F5452">
              <w:rPr>
                <w:rFonts w:ascii="Gotham Book" w:eastAsia="Arial" w:hAnsi="Gotham Book" w:cs="Arial"/>
                <w:i/>
                <w:sz w:val="20"/>
              </w:rPr>
              <w:t>41</w:t>
            </w:r>
          </w:p>
        </w:tc>
        <w:tc>
          <w:tcPr>
            <w:tcW w:w="111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4A413625" w14:textId="77777777" w:rsidR="00F61D64" w:rsidRPr="00C12A6C" w:rsidRDefault="00F61D64" w:rsidP="007F63E7">
            <w:pPr>
              <w:spacing w:before="0" w:after="0" w:line="280" w:lineRule="atLeast"/>
              <w:ind w:left="136"/>
              <w:cnfStyle w:val="000000010000" w:firstRow="0" w:lastRow="0" w:firstColumn="0" w:lastColumn="0" w:oddVBand="0" w:evenVBand="0" w:oddHBand="0" w:evenHBand="1" w:firstRowFirstColumn="0" w:firstRowLastColumn="0" w:lastRowFirstColumn="0" w:lastRowLastColumn="0"/>
              <w:rPr>
                <w:rFonts w:ascii="Gotham Book" w:eastAsia="Times New Roman" w:hAnsi="Gotham Book" w:cs="Arial"/>
                <w:b/>
                <w:sz w:val="20"/>
                <w:szCs w:val="20"/>
              </w:rPr>
            </w:pPr>
            <w:r w:rsidRPr="00A91CEA">
              <w:rPr>
                <w:rFonts w:ascii="Gotham Book" w:eastAsia="Times New Roman" w:hAnsi="Gotham Book" w:cs="Arial"/>
                <w:color w:val="000000" w:themeColor="text1"/>
                <w:sz w:val="20"/>
                <w:szCs w:val="20"/>
              </w:rPr>
              <w:t xml:space="preserve">1 to under 4 years </w:t>
            </w: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42C70275" w14:textId="77777777" w:rsidR="00F61D64" w:rsidRPr="006B21BC" w:rsidRDefault="00F61D64" w:rsidP="007F63E7">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sidRPr="006B21BC">
              <w:rPr>
                <w:rFonts w:ascii="Gotham Book" w:eastAsia="Arial" w:hAnsi="Gotham Book" w:cs="Arial"/>
                <w:i/>
                <w:sz w:val="20"/>
              </w:rPr>
              <w:t>1</w:t>
            </w:r>
            <w:r>
              <w:rPr>
                <w:rFonts w:ascii="Gotham Book" w:eastAsia="Arial" w:hAnsi="Gotham Book" w:cs="Arial"/>
                <w:i/>
                <w:sz w:val="20"/>
              </w:rPr>
              <w:t>,</w:t>
            </w:r>
            <w:r w:rsidRPr="006B21BC">
              <w:rPr>
                <w:rFonts w:ascii="Gotham Book" w:eastAsia="Arial" w:hAnsi="Gotham Book" w:cs="Arial"/>
                <w:i/>
                <w:sz w:val="20"/>
              </w:rPr>
              <w:t>000</w:t>
            </w:r>
          </w:p>
        </w:tc>
        <w:tc>
          <w:tcPr>
            <w:tcW w:w="65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hemeFill="background1"/>
          </w:tcPr>
          <w:p w14:paraId="67B61440" w14:textId="77777777" w:rsidR="00F61D64" w:rsidRPr="006B21BC" w:rsidRDefault="00F61D64" w:rsidP="007F63E7">
            <w:pPr>
              <w:spacing w:before="0" w:after="0"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sidRPr="006B21BC">
              <w:rPr>
                <w:rFonts w:ascii="Gotham Book" w:eastAsia="Arial" w:hAnsi="Gotham Book" w:cs="Arial"/>
                <w:i/>
                <w:sz w:val="20"/>
              </w:rPr>
              <w:t>43</w:t>
            </w:r>
          </w:p>
        </w:tc>
      </w:tr>
      <w:tr w:rsidR="00F61D64" w:rsidRPr="00C12A6C" w14:paraId="0AE3E59B"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0EB119C7" w14:textId="77777777" w:rsidR="00F61D64" w:rsidRPr="00766A24" w:rsidRDefault="00F61D64" w:rsidP="007F63E7">
            <w:pPr>
              <w:spacing w:before="0" w:after="0" w:line="280" w:lineRule="atLeast"/>
              <w:ind w:left="142"/>
              <w:rPr>
                <w:rFonts w:ascii="Gotham Book" w:eastAsia="Times New Roman" w:hAnsi="Gotham Book" w:cs="Arial"/>
                <w:b w:val="0"/>
                <w:bCs w:val="0"/>
                <w:color w:val="000000" w:themeColor="text1"/>
                <w:sz w:val="20"/>
                <w:szCs w:val="20"/>
              </w:rPr>
            </w:pPr>
            <w:r w:rsidRPr="00A91CEA">
              <w:rPr>
                <w:rFonts w:ascii="Gotham Book" w:eastAsia="Times New Roman" w:hAnsi="Gotham Book" w:cs="Arial"/>
                <w:b w:val="0"/>
                <w:bCs w:val="0"/>
                <w:color w:val="000000" w:themeColor="text1"/>
                <w:sz w:val="20"/>
                <w:szCs w:val="20"/>
              </w:rPr>
              <w:t>4 to under 9 years</w:t>
            </w: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vAlign w:val="center"/>
          </w:tcPr>
          <w:p w14:paraId="3B36B36C" w14:textId="77777777" w:rsidR="00F61D64" w:rsidRPr="00D75B31" w:rsidRDefault="00F61D64" w:rsidP="007F63E7">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rPr>
            </w:pPr>
            <w:r>
              <w:rPr>
                <w:rFonts w:ascii="Gotham Book" w:eastAsia="Arial" w:hAnsi="Gotham Book" w:cs="Arial"/>
                <w:i/>
                <w:sz w:val="20"/>
              </w:rPr>
              <w:t>1,250</w:t>
            </w:r>
          </w:p>
        </w:tc>
        <w:tc>
          <w:tcPr>
            <w:tcW w:w="75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vAlign w:val="center"/>
          </w:tcPr>
          <w:p w14:paraId="3C8DFEB1" w14:textId="77777777" w:rsidR="00F61D64" w:rsidRPr="00D75B31" w:rsidRDefault="00F61D64" w:rsidP="007F63E7">
            <w:pPr>
              <w:spacing w:before="0" w:after="0"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rPr>
            </w:pPr>
            <w:r>
              <w:rPr>
                <w:rFonts w:ascii="Gotham Book" w:eastAsia="Arial" w:hAnsi="Gotham Book" w:cs="Arial"/>
                <w:i/>
                <w:sz w:val="20"/>
              </w:rPr>
              <w:t>54</w:t>
            </w:r>
          </w:p>
        </w:tc>
        <w:tc>
          <w:tcPr>
            <w:tcW w:w="111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2E709894" w14:textId="77777777" w:rsidR="00F61D64" w:rsidRPr="00C12A6C" w:rsidRDefault="00F61D64" w:rsidP="007F63E7">
            <w:pPr>
              <w:spacing w:before="0" w:after="0"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Times New Roman" w:hAnsi="Gotham Book" w:cs="Arial"/>
                <w:sz w:val="20"/>
                <w:szCs w:val="20"/>
              </w:rPr>
            </w:pPr>
            <w:r w:rsidRPr="00A91CEA">
              <w:rPr>
                <w:rFonts w:ascii="Gotham Book" w:eastAsia="Times New Roman" w:hAnsi="Gotham Book" w:cs="Arial"/>
                <w:color w:val="000000" w:themeColor="text1"/>
                <w:sz w:val="20"/>
                <w:szCs w:val="20"/>
              </w:rPr>
              <w:t>4 to under 9 years</w:t>
            </w: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309A3C29" w14:textId="77777777" w:rsidR="00F61D64" w:rsidRPr="006B21BC" w:rsidRDefault="00F61D64" w:rsidP="007F63E7">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rPr>
            </w:pPr>
            <w:r w:rsidRPr="006B21BC">
              <w:rPr>
                <w:rFonts w:ascii="Gotham Book" w:eastAsia="Arial" w:hAnsi="Gotham Book" w:cs="Arial"/>
                <w:i/>
                <w:sz w:val="20"/>
              </w:rPr>
              <w:t>1</w:t>
            </w:r>
            <w:r>
              <w:rPr>
                <w:rFonts w:ascii="Gotham Book" w:eastAsia="Arial" w:hAnsi="Gotham Book" w:cs="Arial"/>
                <w:i/>
                <w:sz w:val="20"/>
              </w:rPr>
              <w:t>,</w:t>
            </w:r>
            <w:r w:rsidRPr="006B21BC">
              <w:rPr>
                <w:rFonts w:ascii="Gotham Book" w:eastAsia="Arial" w:hAnsi="Gotham Book" w:cs="Arial"/>
                <w:i/>
                <w:sz w:val="20"/>
              </w:rPr>
              <w:t>400</w:t>
            </w:r>
          </w:p>
        </w:tc>
        <w:tc>
          <w:tcPr>
            <w:tcW w:w="65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2802B4EE" w14:textId="77777777" w:rsidR="00F61D64" w:rsidRPr="006B21BC" w:rsidRDefault="00F61D64" w:rsidP="007F63E7">
            <w:pPr>
              <w:spacing w:before="0" w:after="0"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rPr>
            </w:pPr>
            <w:r w:rsidRPr="006B21BC">
              <w:rPr>
                <w:rFonts w:ascii="Gotham Book" w:eastAsia="Arial" w:hAnsi="Gotham Book" w:cs="Arial"/>
                <w:i/>
                <w:sz w:val="20"/>
              </w:rPr>
              <w:t>60</w:t>
            </w:r>
          </w:p>
        </w:tc>
      </w:tr>
      <w:tr w:rsidR="00F61D64" w:rsidRPr="00C12A6C" w14:paraId="009DAD7F"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63EC284C" w14:textId="77777777" w:rsidR="00F61D64" w:rsidRPr="00766A24" w:rsidRDefault="00F61D64" w:rsidP="007F63E7">
            <w:pPr>
              <w:spacing w:before="0" w:after="0" w:line="280" w:lineRule="atLeast"/>
              <w:ind w:left="142"/>
              <w:rPr>
                <w:rFonts w:ascii="Gotham Book" w:eastAsia="Times New Roman" w:hAnsi="Gotham Book" w:cs="Arial"/>
                <w:color w:val="000000" w:themeColor="text1"/>
                <w:sz w:val="20"/>
                <w:szCs w:val="20"/>
              </w:rPr>
            </w:pPr>
            <w:r w:rsidRPr="00A91CEA">
              <w:rPr>
                <w:rFonts w:ascii="Gotham Book" w:eastAsia="Times New Roman" w:hAnsi="Gotham Book" w:cs="Arial"/>
                <w:b w:val="0"/>
                <w:bCs w:val="0"/>
                <w:color w:val="000000" w:themeColor="text1"/>
                <w:sz w:val="20"/>
                <w:szCs w:val="20"/>
              </w:rPr>
              <w:t>9 to under 14 years</w:t>
            </w: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vAlign w:val="center"/>
          </w:tcPr>
          <w:p w14:paraId="75D2E644" w14:textId="77777777" w:rsidR="00F61D64" w:rsidRPr="00D75B31" w:rsidRDefault="00F61D64" w:rsidP="007F63E7">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Pr>
                <w:rFonts w:ascii="Gotham Book" w:eastAsia="Arial" w:hAnsi="Gotham Book" w:cs="Arial"/>
                <w:i/>
                <w:sz w:val="20"/>
              </w:rPr>
              <w:t>1,750</w:t>
            </w:r>
          </w:p>
        </w:tc>
        <w:tc>
          <w:tcPr>
            <w:tcW w:w="75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vAlign w:val="center"/>
          </w:tcPr>
          <w:p w14:paraId="36D8A5CE" w14:textId="77777777" w:rsidR="00F61D64" w:rsidRPr="006B21BC" w:rsidRDefault="00F61D64" w:rsidP="007F63E7">
            <w:pPr>
              <w:spacing w:before="0" w:after="0"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Pr>
                <w:rFonts w:ascii="Gotham Book" w:eastAsia="Arial" w:hAnsi="Gotham Book" w:cs="Arial"/>
                <w:i/>
                <w:sz w:val="20"/>
              </w:rPr>
              <w:t>76</w:t>
            </w:r>
          </w:p>
        </w:tc>
        <w:tc>
          <w:tcPr>
            <w:tcW w:w="111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305DA747" w14:textId="77777777" w:rsidR="00F61D64" w:rsidRPr="00C12A6C" w:rsidRDefault="00F61D64" w:rsidP="007F63E7">
            <w:pPr>
              <w:spacing w:before="0" w:after="0" w:line="280" w:lineRule="atLeast"/>
              <w:ind w:left="136"/>
              <w:cnfStyle w:val="000000010000" w:firstRow="0" w:lastRow="0" w:firstColumn="0" w:lastColumn="0" w:oddVBand="0" w:evenVBand="0" w:oddHBand="0" w:evenHBand="1" w:firstRowFirstColumn="0" w:firstRowLastColumn="0" w:lastRowFirstColumn="0" w:lastRowLastColumn="0"/>
              <w:rPr>
                <w:rFonts w:ascii="Gotham Book" w:eastAsia="Times New Roman" w:hAnsi="Gotham Book" w:cs="Arial"/>
                <w:sz w:val="20"/>
                <w:szCs w:val="20"/>
              </w:rPr>
            </w:pPr>
            <w:r w:rsidRPr="00A91CEA">
              <w:rPr>
                <w:rFonts w:ascii="Gotham Book" w:eastAsia="Times New Roman" w:hAnsi="Gotham Book" w:cs="Arial"/>
                <w:color w:val="000000" w:themeColor="text1"/>
                <w:sz w:val="20"/>
                <w:szCs w:val="20"/>
              </w:rPr>
              <w:t>9 to under 14 years</w:t>
            </w: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13E727A9" w14:textId="77777777" w:rsidR="00F61D64" w:rsidRDefault="00F61D64" w:rsidP="007F63E7">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Pr>
                <w:rFonts w:ascii="Gotham Book" w:eastAsia="Arial" w:hAnsi="Gotham Book" w:cs="Arial"/>
                <w:i/>
                <w:sz w:val="20"/>
              </w:rPr>
              <w:t>2,000</w:t>
            </w:r>
          </w:p>
        </w:tc>
        <w:tc>
          <w:tcPr>
            <w:tcW w:w="65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25E94235" w14:textId="77777777" w:rsidR="00F61D64" w:rsidRDefault="00F61D64" w:rsidP="007F63E7">
            <w:pPr>
              <w:spacing w:before="0" w:after="0"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Pr>
                <w:rFonts w:ascii="Gotham Book" w:eastAsia="Arial" w:hAnsi="Gotham Book" w:cs="Arial"/>
                <w:i/>
                <w:sz w:val="20"/>
              </w:rPr>
              <w:t>86</w:t>
            </w:r>
          </w:p>
        </w:tc>
      </w:tr>
      <w:tr w:rsidR="00F61D64" w:rsidRPr="00C12A6C" w14:paraId="148AB10E"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3C158421" w14:textId="77777777" w:rsidR="00F61D64" w:rsidRPr="00766A24" w:rsidRDefault="00F61D64" w:rsidP="007F63E7">
            <w:pPr>
              <w:spacing w:before="0" w:after="0" w:line="280" w:lineRule="atLeast"/>
              <w:ind w:left="142"/>
              <w:rPr>
                <w:rFonts w:ascii="Gotham Book" w:eastAsia="Times New Roman" w:hAnsi="Gotham Book" w:cs="Arial"/>
                <w:color w:val="000000" w:themeColor="text1"/>
                <w:sz w:val="20"/>
                <w:szCs w:val="20"/>
              </w:rPr>
            </w:pPr>
            <w:r w:rsidRPr="00A91CEA">
              <w:rPr>
                <w:rFonts w:ascii="Gotham Book" w:eastAsia="Times New Roman" w:hAnsi="Gotham Book" w:cs="Arial"/>
                <w:b w:val="0"/>
                <w:bCs w:val="0"/>
                <w:color w:val="000000" w:themeColor="text1"/>
                <w:sz w:val="20"/>
                <w:szCs w:val="20"/>
              </w:rPr>
              <w:t>14 to under 18 years</w:t>
            </w: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vAlign w:val="center"/>
          </w:tcPr>
          <w:p w14:paraId="207AB929" w14:textId="77777777" w:rsidR="00F61D64" w:rsidRPr="00D75B31" w:rsidRDefault="00F61D64" w:rsidP="007F63E7">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rPr>
            </w:pPr>
            <w:r>
              <w:rPr>
                <w:rFonts w:ascii="Gotham Book" w:eastAsia="Arial" w:hAnsi="Gotham Book" w:cs="Arial"/>
                <w:i/>
                <w:sz w:val="20"/>
              </w:rPr>
              <w:t>2,000</w:t>
            </w:r>
          </w:p>
        </w:tc>
        <w:tc>
          <w:tcPr>
            <w:tcW w:w="75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vAlign w:val="center"/>
          </w:tcPr>
          <w:p w14:paraId="1F1E30AA" w14:textId="77777777" w:rsidR="00F61D64" w:rsidRPr="00D75B31" w:rsidRDefault="00F61D64" w:rsidP="007F63E7">
            <w:pPr>
              <w:spacing w:before="0" w:after="0"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rPr>
            </w:pPr>
            <w:r>
              <w:rPr>
                <w:rFonts w:ascii="Gotham Book" w:eastAsia="Arial" w:hAnsi="Gotham Book" w:cs="Arial"/>
                <w:i/>
                <w:sz w:val="20"/>
              </w:rPr>
              <w:t>86</w:t>
            </w:r>
          </w:p>
        </w:tc>
        <w:tc>
          <w:tcPr>
            <w:tcW w:w="111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643DAA45" w14:textId="77777777" w:rsidR="00F61D64" w:rsidRPr="00C12A6C" w:rsidRDefault="00F61D64" w:rsidP="007F63E7">
            <w:pPr>
              <w:spacing w:before="0" w:after="0"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Times New Roman" w:hAnsi="Gotham Book" w:cs="Arial"/>
                <w:sz w:val="20"/>
                <w:szCs w:val="20"/>
              </w:rPr>
            </w:pPr>
            <w:r w:rsidRPr="00A91CEA">
              <w:rPr>
                <w:rFonts w:ascii="Gotham Book" w:eastAsia="Times New Roman" w:hAnsi="Gotham Book" w:cs="Arial"/>
                <w:color w:val="000000" w:themeColor="text1"/>
                <w:sz w:val="20"/>
                <w:szCs w:val="20"/>
              </w:rPr>
              <w:t>14 to under 18 years</w:t>
            </w: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2CBA01F8" w14:textId="77777777" w:rsidR="00F61D64" w:rsidRDefault="00F61D64" w:rsidP="007F63E7">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rPr>
            </w:pPr>
            <w:r>
              <w:rPr>
                <w:rFonts w:ascii="Gotham Book" w:eastAsia="Arial" w:hAnsi="Gotham Book" w:cs="Arial"/>
                <w:i/>
                <w:sz w:val="20"/>
              </w:rPr>
              <w:t>2,300</w:t>
            </w:r>
          </w:p>
        </w:tc>
        <w:tc>
          <w:tcPr>
            <w:tcW w:w="65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76EA45F5" w14:textId="77777777" w:rsidR="00F61D64" w:rsidRDefault="00F61D64" w:rsidP="007F63E7">
            <w:pPr>
              <w:spacing w:before="0" w:after="0"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rPr>
            </w:pPr>
            <w:r>
              <w:rPr>
                <w:rFonts w:ascii="Gotham Book" w:eastAsia="Arial" w:hAnsi="Gotham Book" w:cs="Arial"/>
                <w:i/>
                <w:sz w:val="20"/>
              </w:rPr>
              <w:t>100</w:t>
            </w:r>
          </w:p>
        </w:tc>
      </w:tr>
      <w:tr w:rsidR="00F61D64" w:rsidRPr="00C12A6C" w14:paraId="0A6B91C4"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4" w:type="pct"/>
            <w:gridSpan w:val="3"/>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27B7330A" w14:textId="77777777" w:rsidR="00F61D64" w:rsidRPr="00D75B31" w:rsidRDefault="00F61D64" w:rsidP="007F63E7">
            <w:pPr>
              <w:spacing w:before="0" w:after="0" w:line="280" w:lineRule="atLeast"/>
              <w:ind w:left="142"/>
              <w:rPr>
                <w:rFonts w:ascii="Gotham Book" w:eastAsia="Arial" w:hAnsi="Gotham Book" w:cs="Arial"/>
                <w:i/>
                <w:sz w:val="20"/>
              </w:rPr>
            </w:pPr>
            <w:r w:rsidRPr="00A91CEA">
              <w:rPr>
                <w:rFonts w:ascii="Gotham Book" w:eastAsia="Times New Roman" w:hAnsi="Gotham Book" w:cs="Arial"/>
                <w:color w:val="000000" w:themeColor="text1"/>
                <w:sz w:val="20"/>
                <w:szCs w:val="20"/>
              </w:rPr>
              <w:t xml:space="preserve">Alternative school-age groupings </w:t>
            </w:r>
          </w:p>
        </w:tc>
        <w:tc>
          <w:tcPr>
            <w:tcW w:w="2476" w:type="pct"/>
            <w:gridSpan w:val="3"/>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3A2DCF04" w14:textId="77777777" w:rsidR="00F61D64" w:rsidRPr="006079E2" w:rsidRDefault="00F61D64" w:rsidP="007F63E7">
            <w:pPr>
              <w:spacing w:before="0" w:after="0" w:line="280" w:lineRule="atLeast"/>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b/>
                <w:bCs/>
                <w:i/>
                <w:sz w:val="20"/>
              </w:rPr>
            </w:pPr>
            <w:r w:rsidRPr="006079E2">
              <w:rPr>
                <w:rFonts w:ascii="Gotham Book" w:eastAsia="Times New Roman" w:hAnsi="Gotham Book" w:cs="Arial"/>
                <w:b/>
                <w:bCs/>
                <w:color w:val="000000" w:themeColor="text1"/>
                <w:sz w:val="20"/>
                <w:szCs w:val="20"/>
              </w:rPr>
              <w:t>Alternative school-age groupings</w:t>
            </w:r>
          </w:p>
        </w:tc>
      </w:tr>
      <w:tr w:rsidR="00F61D64" w:rsidRPr="00C12A6C" w14:paraId="45678209"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5BC3C05A" w14:textId="77777777" w:rsidR="00F61D64" w:rsidRPr="00766A24" w:rsidRDefault="00F61D64" w:rsidP="007F63E7">
            <w:pPr>
              <w:spacing w:before="0" w:after="0" w:line="280" w:lineRule="atLeast"/>
              <w:ind w:left="142"/>
              <w:rPr>
                <w:rFonts w:ascii="Gotham Book" w:eastAsia="Times New Roman" w:hAnsi="Gotham Book" w:cs="Arial"/>
                <w:color w:val="000000" w:themeColor="text1"/>
                <w:sz w:val="20"/>
                <w:szCs w:val="20"/>
              </w:rPr>
            </w:pPr>
            <w:r w:rsidRPr="00A91CEA">
              <w:rPr>
                <w:rFonts w:ascii="Gotham Book" w:eastAsia="Times New Roman" w:hAnsi="Gotham Book" w:cs="Arial"/>
                <w:b w:val="0"/>
                <w:bCs w:val="0"/>
                <w:color w:val="000000" w:themeColor="text1"/>
                <w:sz w:val="20"/>
                <w:szCs w:val="20"/>
              </w:rPr>
              <w:t xml:space="preserve">12 to under 24 months </w:t>
            </w: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7FB726B7" w14:textId="77777777" w:rsidR="00F61D64" w:rsidRPr="00D75B31" w:rsidRDefault="00F61D64" w:rsidP="007F63E7">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rPr>
            </w:pPr>
            <w:r>
              <w:rPr>
                <w:rFonts w:ascii="Gotham Book" w:eastAsia="Arial" w:hAnsi="Gotham Book" w:cs="Arial"/>
                <w:i/>
                <w:sz w:val="20"/>
              </w:rPr>
              <w:t>850</w:t>
            </w:r>
          </w:p>
        </w:tc>
        <w:tc>
          <w:tcPr>
            <w:tcW w:w="75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30553B82" w14:textId="77777777" w:rsidR="00F61D64" w:rsidRPr="00D75B31" w:rsidRDefault="00F61D64" w:rsidP="007F63E7">
            <w:pPr>
              <w:spacing w:before="0" w:after="0"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rPr>
            </w:pPr>
            <w:r>
              <w:rPr>
                <w:rFonts w:ascii="Gotham Book" w:eastAsia="Arial" w:hAnsi="Gotham Book" w:cs="Arial"/>
                <w:i/>
                <w:sz w:val="20"/>
              </w:rPr>
              <w:t>37</w:t>
            </w:r>
          </w:p>
        </w:tc>
        <w:tc>
          <w:tcPr>
            <w:tcW w:w="111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0D8BBF9" w14:textId="77777777" w:rsidR="00F61D64" w:rsidRPr="00C12A6C" w:rsidRDefault="00F61D64" w:rsidP="007F63E7">
            <w:pPr>
              <w:spacing w:before="0" w:after="0"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Times New Roman" w:hAnsi="Gotham Book" w:cs="Arial"/>
                <w:sz w:val="20"/>
                <w:szCs w:val="20"/>
              </w:rPr>
            </w:pPr>
            <w:r w:rsidRPr="00A91CEA">
              <w:rPr>
                <w:rFonts w:ascii="Gotham Book" w:eastAsia="Times New Roman" w:hAnsi="Gotham Book" w:cs="Arial"/>
                <w:color w:val="000000" w:themeColor="text1"/>
                <w:sz w:val="20"/>
                <w:szCs w:val="20"/>
              </w:rPr>
              <w:t xml:space="preserve">12 to under 24 months </w:t>
            </w: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25B01FD1" w14:textId="77777777" w:rsidR="00F61D64" w:rsidRDefault="00F61D64" w:rsidP="007F63E7">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rPr>
            </w:pPr>
            <w:r>
              <w:rPr>
                <w:rFonts w:ascii="Gotham Book" w:eastAsia="Arial" w:hAnsi="Gotham Book" w:cs="Arial"/>
                <w:i/>
                <w:sz w:val="20"/>
              </w:rPr>
              <w:t>850</w:t>
            </w:r>
          </w:p>
        </w:tc>
        <w:tc>
          <w:tcPr>
            <w:tcW w:w="65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70C15F07" w14:textId="77777777" w:rsidR="00F61D64" w:rsidRDefault="00F61D64" w:rsidP="007F63E7">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rPr>
            </w:pPr>
            <w:r>
              <w:rPr>
                <w:rFonts w:ascii="Gotham Book" w:eastAsia="Arial" w:hAnsi="Gotham Book" w:cs="Arial"/>
                <w:i/>
                <w:sz w:val="20"/>
              </w:rPr>
              <w:t>37</w:t>
            </w:r>
          </w:p>
        </w:tc>
      </w:tr>
      <w:tr w:rsidR="00F61D64" w:rsidRPr="00C12A6C" w14:paraId="52629C59"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2EF45BBA" w14:textId="77777777" w:rsidR="00F61D64" w:rsidRPr="00053541" w:rsidRDefault="00F61D64" w:rsidP="007F63E7">
            <w:pPr>
              <w:spacing w:before="0" w:after="0" w:line="280" w:lineRule="atLeast"/>
              <w:ind w:left="142"/>
              <w:rPr>
                <w:rFonts w:ascii="Gotham Book" w:eastAsia="Times New Roman" w:hAnsi="Gotham Book" w:cs="Arial"/>
                <w:color w:val="000000" w:themeColor="text1"/>
                <w:sz w:val="20"/>
                <w:szCs w:val="20"/>
              </w:rPr>
            </w:pPr>
            <w:r w:rsidRPr="00A91CEA">
              <w:rPr>
                <w:rFonts w:ascii="Gotham Book" w:eastAsia="Times New Roman" w:hAnsi="Gotham Book" w:cs="Arial"/>
                <w:b w:val="0"/>
                <w:bCs w:val="0"/>
                <w:color w:val="000000" w:themeColor="text1"/>
                <w:sz w:val="20"/>
                <w:szCs w:val="20"/>
              </w:rPr>
              <w:t>2 to under 5 years</w:t>
            </w: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6F6FBAD8" w14:textId="77777777" w:rsidR="00F61D64" w:rsidRPr="0088021F" w:rsidRDefault="00F61D64" w:rsidP="007F63E7">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sidRPr="0088021F">
              <w:rPr>
                <w:rFonts w:ascii="Gotham Book" w:eastAsia="Arial" w:hAnsi="Gotham Book" w:cs="Arial"/>
                <w:i/>
                <w:sz w:val="20"/>
              </w:rPr>
              <w:t>1</w:t>
            </w:r>
            <w:r>
              <w:rPr>
                <w:rFonts w:ascii="Gotham Book" w:eastAsia="Arial" w:hAnsi="Gotham Book" w:cs="Arial"/>
                <w:i/>
                <w:sz w:val="20"/>
              </w:rPr>
              <w:t>,</w:t>
            </w:r>
            <w:r w:rsidRPr="0088021F">
              <w:rPr>
                <w:rFonts w:ascii="Gotham Book" w:eastAsia="Arial" w:hAnsi="Gotham Book" w:cs="Arial"/>
                <w:i/>
                <w:sz w:val="20"/>
              </w:rPr>
              <w:t>100</w:t>
            </w:r>
          </w:p>
        </w:tc>
        <w:tc>
          <w:tcPr>
            <w:tcW w:w="75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2C5FED3A" w14:textId="77777777" w:rsidR="00F61D64" w:rsidRPr="003B1122" w:rsidRDefault="00F61D64" w:rsidP="007F63E7">
            <w:pPr>
              <w:spacing w:before="0" w:after="0"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sidRPr="003B1122">
              <w:rPr>
                <w:rFonts w:ascii="Gotham Book" w:eastAsia="Arial" w:hAnsi="Gotham Book" w:cs="Arial"/>
                <w:i/>
                <w:sz w:val="20"/>
              </w:rPr>
              <w:t>48</w:t>
            </w:r>
          </w:p>
        </w:tc>
        <w:tc>
          <w:tcPr>
            <w:tcW w:w="111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771C8E2D" w14:textId="77777777" w:rsidR="00F61D64" w:rsidRPr="00C12A6C" w:rsidRDefault="00F61D64" w:rsidP="007F63E7">
            <w:pPr>
              <w:spacing w:before="0" w:after="0" w:line="280" w:lineRule="atLeast"/>
              <w:ind w:left="136"/>
              <w:cnfStyle w:val="000000010000" w:firstRow="0" w:lastRow="0" w:firstColumn="0" w:lastColumn="0" w:oddVBand="0" w:evenVBand="0" w:oddHBand="0" w:evenHBand="1" w:firstRowFirstColumn="0" w:firstRowLastColumn="0" w:lastRowFirstColumn="0" w:lastRowLastColumn="0"/>
              <w:rPr>
                <w:rFonts w:ascii="Gotham Book" w:eastAsia="Times New Roman" w:hAnsi="Gotham Book" w:cs="Arial"/>
                <w:b/>
                <w:sz w:val="20"/>
                <w:szCs w:val="20"/>
              </w:rPr>
            </w:pPr>
            <w:r w:rsidRPr="00A91CEA">
              <w:rPr>
                <w:rFonts w:ascii="Gotham Book" w:eastAsia="Times New Roman" w:hAnsi="Gotham Book" w:cs="Arial"/>
                <w:color w:val="000000" w:themeColor="text1"/>
                <w:sz w:val="20"/>
                <w:szCs w:val="20"/>
              </w:rPr>
              <w:t>2 to under 5 years</w:t>
            </w: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1D8758D3" w14:textId="77777777" w:rsidR="00F61D64" w:rsidRPr="005342B9" w:rsidRDefault="00F61D64" w:rsidP="007F63E7">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sidRPr="005342B9">
              <w:rPr>
                <w:rFonts w:ascii="Gotham Book" w:eastAsia="Arial" w:hAnsi="Gotham Book" w:cs="Arial"/>
                <w:i/>
                <w:sz w:val="20"/>
              </w:rPr>
              <w:t>1</w:t>
            </w:r>
            <w:r>
              <w:rPr>
                <w:rFonts w:ascii="Gotham Book" w:eastAsia="Arial" w:hAnsi="Gotham Book" w:cs="Arial"/>
                <w:i/>
                <w:sz w:val="20"/>
              </w:rPr>
              <w:t>,</w:t>
            </w:r>
            <w:r w:rsidRPr="005342B9">
              <w:rPr>
                <w:rFonts w:ascii="Gotham Book" w:eastAsia="Arial" w:hAnsi="Gotham Book" w:cs="Arial"/>
                <w:i/>
                <w:sz w:val="20"/>
              </w:rPr>
              <w:t>150</w:t>
            </w:r>
          </w:p>
        </w:tc>
        <w:tc>
          <w:tcPr>
            <w:tcW w:w="65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6C674F85" w14:textId="77777777" w:rsidR="00F61D64" w:rsidRPr="005342B9" w:rsidRDefault="00F61D64" w:rsidP="007F63E7">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sidRPr="005342B9">
              <w:rPr>
                <w:rFonts w:ascii="Gotham Book" w:eastAsia="Arial" w:hAnsi="Gotham Book" w:cs="Arial"/>
                <w:i/>
                <w:sz w:val="20"/>
              </w:rPr>
              <w:t>50</w:t>
            </w:r>
          </w:p>
        </w:tc>
      </w:tr>
      <w:tr w:rsidR="00F61D64" w:rsidRPr="00C12A6C" w14:paraId="564F5CEE" w14:textId="77777777" w:rsidTr="003A3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2C14E610" w14:textId="77777777" w:rsidR="00F61D64" w:rsidRPr="00766A24" w:rsidRDefault="00F61D64" w:rsidP="007F63E7">
            <w:pPr>
              <w:spacing w:before="0" w:after="0" w:line="280" w:lineRule="atLeast"/>
              <w:ind w:left="142"/>
              <w:rPr>
                <w:rFonts w:ascii="Gotham Book" w:eastAsia="Times New Roman" w:hAnsi="Gotham Book" w:cs="Arial"/>
                <w:color w:val="000000" w:themeColor="text1"/>
                <w:sz w:val="20"/>
                <w:szCs w:val="20"/>
              </w:rPr>
            </w:pPr>
            <w:r w:rsidRPr="00A91CEA">
              <w:rPr>
                <w:rFonts w:ascii="Gotham Book" w:eastAsia="Times New Roman" w:hAnsi="Gotham Book" w:cs="Arial"/>
                <w:b w:val="0"/>
                <w:bCs w:val="0"/>
                <w:color w:val="000000" w:themeColor="text1"/>
                <w:sz w:val="20"/>
                <w:szCs w:val="20"/>
              </w:rPr>
              <w:t>5 to under 12 years</w:t>
            </w: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38CAC496" w14:textId="77777777" w:rsidR="00F61D64" w:rsidRPr="00D75B31" w:rsidRDefault="00F61D64" w:rsidP="007F63E7">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rPr>
            </w:pPr>
            <w:r>
              <w:rPr>
                <w:rFonts w:ascii="Gotham Book" w:eastAsia="Arial" w:hAnsi="Gotham Book" w:cs="Arial"/>
                <w:i/>
                <w:sz w:val="20"/>
              </w:rPr>
              <w:t>1,500</w:t>
            </w:r>
          </w:p>
        </w:tc>
        <w:tc>
          <w:tcPr>
            <w:tcW w:w="75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55E480FD" w14:textId="77777777" w:rsidR="00F61D64" w:rsidRPr="00D75B31" w:rsidRDefault="00F61D64" w:rsidP="007F63E7">
            <w:pPr>
              <w:spacing w:before="0" w:after="0" w:line="280" w:lineRule="atLeast"/>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rPr>
            </w:pPr>
            <w:r>
              <w:rPr>
                <w:rFonts w:ascii="Gotham Book" w:eastAsia="Arial" w:hAnsi="Gotham Book" w:cs="Arial"/>
                <w:i/>
                <w:sz w:val="20"/>
              </w:rPr>
              <w:t>65</w:t>
            </w:r>
          </w:p>
        </w:tc>
        <w:tc>
          <w:tcPr>
            <w:tcW w:w="111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3A35433A" w14:textId="77777777" w:rsidR="00F61D64" w:rsidRPr="00C12A6C" w:rsidRDefault="00F61D64" w:rsidP="007F63E7">
            <w:pPr>
              <w:spacing w:before="0" w:after="0" w:line="280" w:lineRule="atLeast"/>
              <w:ind w:left="136"/>
              <w:cnfStyle w:val="000000100000" w:firstRow="0" w:lastRow="0" w:firstColumn="0" w:lastColumn="0" w:oddVBand="0" w:evenVBand="0" w:oddHBand="1" w:evenHBand="0" w:firstRowFirstColumn="0" w:firstRowLastColumn="0" w:lastRowFirstColumn="0" w:lastRowLastColumn="0"/>
              <w:rPr>
                <w:rFonts w:ascii="Gotham Book" w:eastAsia="Times New Roman" w:hAnsi="Gotham Book" w:cs="Arial"/>
                <w:sz w:val="20"/>
                <w:szCs w:val="20"/>
              </w:rPr>
            </w:pPr>
            <w:r w:rsidRPr="00A91CEA">
              <w:rPr>
                <w:rFonts w:ascii="Gotham Book" w:eastAsia="Times New Roman" w:hAnsi="Gotham Book" w:cs="Arial"/>
                <w:color w:val="000000" w:themeColor="text1"/>
                <w:sz w:val="20"/>
                <w:szCs w:val="20"/>
              </w:rPr>
              <w:t>5 to under 12 years</w:t>
            </w: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2860CF54" w14:textId="77777777" w:rsidR="00F61D64" w:rsidRDefault="00F61D64" w:rsidP="007F63E7">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rPr>
            </w:pPr>
            <w:r>
              <w:rPr>
                <w:rFonts w:ascii="Gotham Book" w:eastAsia="Arial" w:hAnsi="Gotham Book" w:cs="Arial"/>
                <w:i/>
                <w:sz w:val="20"/>
              </w:rPr>
              <w:t>1,600</w:t>
            </w:r>
          </w:p>
        </w:tc>
        <w:tc>
          <w:tcPr>
            <w:tcW w:w="65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24FE9964" w14:textId="77777777" w:rsidR="00F61D64" w:rsidRDefault="00F61D64" w:rsidP="007F63E7">
            <w:pPr>
              <w:spacing w:before="0" w:after="0" w:line="280" w:lineRule="atLeast"/>
              <w:ind w:left="142"/>
              <w:jc w:val="center"/>
              <w:cnfStyle w:val="000000100000" w:firstRow="0" w:lastRow="0" w:firstColumn="0" w:lastColumn="0" w:oddVBand="0" w:evenVBand="0" w:oddHBand="1" w:evenHBand="0" w:firstRowFirstColumn="0" w:firstRowLastColumn="0" w:lastRowFirstColumn="0" w:lastRowLastColumn="0"/>
              <w:rPr>
                <w:rFonts w:ascii="Gotham Book" w:eastAsia="Arial" w:hAnsi="Gotham Book" w:cs="Arial"/>
                <w:i/>
                <w:sz w:val="20"/>
              </w:rPr>
            </w:pPr>
            <w:r>
              <w:rPr>
                <w:rFonts w:ascii="Gotham Book" w:eastAsia="Arial" w:hAnsi="Gotham Book" w:cs="Arial"/>
                <w:i/>
                <w:sz w:val="20"/>
              </w:rPr>
              <w:t>70</w:t>
            </w:r>
          </w:p>
        </w:tc>
      </w:tr>
      <w:tr w:rsidR="00F61D64" w:rsidRPr="00C12A6C" w14:paraId="21AA4F70" w14:textId="77777777" w:rsidTr="003A31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3DACFADE" w14:textId="77777777" w:rsidR="00F61D64" w:rsidRPr="00766A24" w:rsidRDefault="00F61D64" w:rsidP="007F63E7">
            <w:pPr>
              <w:spacing w:before="0" w:after="0" w:line="280" w:lineRule="atLeast"/>
              <w:ind w:left="142"/>
              <w:rPr>
                <w:rFonts w:ascii="Gotham Book" w:eastAsia="Times New Roman" w:hAnsi="Gotham Book" w:cs="Arial"/>
                <w:color w:val="000000" w:themeColor="text1"/>
                <w:sz w:val="20"/>
                <w:szCs w:val="20"/>
              </w:rPr>
            </w:pPr>
            <w:r w:rsidRPr="00A91CEA">
              <w:rPr>
                <w:rFonts w:ascii="Gotham Book" w:eastAsia="Times New Roman" w:hAnsi="Gotham Book" w:cs="Arial"/>
                <w:b w:val="0"/>
                <w:bCs w:val="0"/>
                <w:color w:val="000000" w:themeColor="text1"/>
                <w:sz w:val="20"/>
                <w:szCs w:val="20"/>
              </w:rPr>
              <w:t>12 to under 18 years</w:t>
            </w: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3020D969" w14:textId="77777777" w:rsidR="00F61D64" w:rsidRPr="00D75B31" w:rsidRDefault="00F61D64" w:rsidP="007F63E7">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Pr>
                <w:rFonts w:ascii="Gotham Book" w:eastAsia="Arial" w:hAnsi="Gotham Book" w:cs="Arial"/>
                <w:i/>
                <w:sz w:val="20"/>
              </w:rPr>
              <w:t>1,950</w:t>
            </w:r>
          </w:p>
        </w:tc>
        <w:tc>
          <w:tcPr>
            <w:tcW w:w="75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774164E9" w14:textId="77777777" w:rsidR="00F61D64" w:rsidRPr="00D75B31" w:rsidRDefault="00F61D64" w:rsidP="007F63E7">
            <w:pPr>
              <w:spacing w:before="0" w:after="0" w:line="280" w:lineRule="atLeast"/>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Pr>
                <w:rFonts w:ascii="Gotham Book" w:eastAsia="Arial" w:hAnsi="Gotham Book" w:cs="Arial"/>
                <w:i/>
                <w:sz w:val="20"/>
              </w:rPr>
              <w:t xml:space="preserve">85 </w:t>
            </w:r>
          </w:p>
        </w:tc>
        <w:tc>
          <w:tcPr>
            <w:tcW w:w="1114"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E3F1F7"/>
          </w:tcPr>
          <w:p w14:paraId="22C941B2" w14:textId="77777777" w:rsidR="00F61D64" w:rsidRPr="00C12A6C" w:rsidRDefault="00F61D64" w:rsidP="007F63E7">
            <w:pPr>
              <w:spacing w:before="0" w:after="0" w:line="280" w:lineRule="atLeast"/>
              <w:ind w:left="136"/>
              <w:cnfStyle w:val="000000010000" w:firstRow="0" w:lastRow="0" w:firstColumn="0" w:lastColumn="0" w:oddVBand="0" w:evenVBand="0" w:oddHBand="0" w:evenHBand="1" w:firstRowFirstColumn="0" w:firstRowLastColumn="0" w:lastRowFirstColumn="0" w:lastRowLastColumn="0"/>
              <w:rPr>
                <w:rFonts w:ascii="Gotham Book" w:eastAsia="Times New Roman" w:hAnsi="Gotham Book" w:cs="Arial"/>
                <w:sz w:val="20"/>
                <w:szCs w:val="20"/>
              </w:rPr>
            </w:pPr>
            <w:r w:rsidRPr="00A91CEA">
              <w:rPr>
                <w:rFonts w:ascii="Gotham Book" w:eastAsia="Times New Roman" w:hAnsi="Gotham Book" w:cs="Arial"/>
                <w:color w:val="000000" w:themeColor="text1"/>
                <w:sz w:val="20"/>
                <w:szCs w:val="20"/>
              </w:rPr>
              <w:t>12 to under 18 years</w:t>
            </w:r>
          </w:p>
        </w:tc>
        <w:tc>
          <w:tcPr>
            <w:tcW w:w="70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1DEA17AB" w14:textId="77777777" w:rsidR="00F61D64" w:rsidRDefault="00F61D64" w:rsidP="007F63E7">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Pr>
                <w:rFonts w:ascii="Gotham Book" w:eastAsia="Arial" w:hAnsi="Gotham Book" w:cs="Arial"/>
                <w:i/>
                <w:sz w:val="20"/>
              </w:rPr>
              <w:t>2,200</w:t>
            </w:r>
          </w:p>
        </w:tc>
        <w:tc>
          <w:tcPr>
            <w:tcW w:w="653"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FFFFFF"/>
          </w:tcPr>
          <w:p w14:paraId="389AB1F8" w14:textId="77777777" w:rsidR="00F61D64" w:rsidRDefault="00F61D64" w:rsidP="007F63E7">
            <w:pPr>
              <w:spacing w:before="0" w:after="0" w:line="280" w:lineRule="atLeast"/>
              <w:ind w:left="142"/>
              <w:jc w:val="center"/>
              <w:cnfStyle w:val="000000010000" w:firstRow="0" w:lastRow="0" w:firstColumn="0" w:lastColumn="0" w:oddVBand="0" w:evenVBand="0" w:oddHBand="0" w:evenHBand="1" w:firstRowFirstColumn="0" w:firstRowLastColumn="0" w:lastRowFirstColumn="0" w:lastRowLastColumn="0"/>
              <w:rPr>
                <w:rFonts w:ascii="Gotham Book" w:eastAsia="Arial" w:hAnsi="Gotham Book" w:cs="Arial"/>
                <w:i/>
                <w:sz w:val="20"/>
              </w:rPr>
            </w:pPr>
            <w:r>
              <w:rPr>
                <w:rFonts w:ascii="Gotham Book" w:eastAsia="Arial" w:hAnsi="Gotham Book" w:cs="Arial"/>
                <w:i/>
                <w:sz w:val="20"/>
              </w:rPr>
              <w:t>96</w:t>
            </w:r>
          </w:p>
        </w:tc>
      </w:tr>
    </w:tbl>
    <w:p w14:paraId="34C24437" w14:textId="77777777"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Health evidence profile and supporting information</w:t>
      </w:r>
    </w:p>
    <w:p w14:paraId="1BBFB771" w14:textId="77777777" w:rsidR="00F61D64" w:rsidRDefault="00F61D64" w:rsidP="00F61D64">
      <w:pPr>
        <w:spacing w:line="276" w:lineRule="auto"/>
      </w:pPr>
      <w:r w:rsidRPr="006D5A7E">
        <w:t xml:space="preserve">Systematic reviews on the relationship between sodium and blood pressure in children and adolescents report </w:t>
      </w:r>
      <w:r>
        <w:t>inconsistent</w:t>
      </w:r>
      <w:r w:rsidRPr="006D5A7E">
        <w:t xml:space="preserve"> findings depending on the review inclusion criteria and analytical approach</w:t>
      </w:r>
      <w:r>
        <w:t xml:space="preserve"> adopted</w:t>
      </w:r>
      <w:r w:rsidRPr="006D5A7E">
        <w:t xml:space="preserve">. </w:t>
      </w:r>
      <w:r>
        <w:t xml:space="preserve">Both the </w:t>
      </w:r>
      <w:proofErr w:type="spellStart"/>
      <w:r>
        <w:t>Leyvraz</w:t>
      </w:r>
      <w:proofErr w:type="spellEnd"/>
      <w:r>
        <w:t xml:space="preserve"> (2018) and AHRQ (2018) reviews </w:t>
      </w:r>
      <w:r w:rsidRPr="006D5A7E">
        <w:t xml:space="preserve">included RCTs and </w:t>
      </w:r>
      <w:r>
        <w:t xml:space="preserve">controlled observational studies; </w:t>
      </w:r>
      <w:proofErr w:type="gramStart"/>
      <w:r>
        <w:t>however</w:t>
      </w:r>
      <w:proofErr w:type="gramEnd"/>
      <w:r>
        <w:t xml:space="preserve"> </w:t>
      </w:r>
      <w:r w:rsidRPr="006D5A7E">
        <w:t xml:space="preserve">the </w:t>
      </w:r>
      <w:proofErr w:type="spellStart"/>
      <w:r>
        <w:t>Leyvraz</w:t>
      </w:r>
      <w:proofErr w:type="spellEnd"/>
      <w:r>
        <w:t xml:space="preserve"> review included a broader range of study designs including cross-sectional studies and single-arm or shorter duration experimental studies. In contrast, the </w:t>
      </w:r>
      <w:r w:rsidRPr="006D5A7E">
        <w:t xml:space="preserve">AHRQ review </w:t>
      </w:r>
      <w:r>
        <w:t>restricted inclusion to interventions of at least 4 weeks duration, aligning with the a priori criteria for this evidence evaluation.</w:t>
      </w:r>
    </w:p>
    <w:p w14:paraId="24ED2C24" w14:textId="77777777" w:rsidR="00F61D64" w:rsidRDefault="00F61D64" w:rsidP="00F61D64">
      <w:r>
        <w:t xml:space="preserve">Although observational studies - including cross-sectional designs - were permitted as supportive evidence for children and adolescents in the current evidence evaluation, the quantitative pooling of fundamentally different study designs in the </w:t>
      </w:r>
      <w:proofErr w:type="spellStart"/>
      <w:r>
        <w:t>Leyvraz</w:t>
      </w:r>
      <w:proofErr w:type="spellEnd"/>
      <w:r>
        <w:t xml:space="preserve"> analysis limited the interpretability of findings. </w:t>
      </w:r>
      <w:r w:rsidRPr="006D5A7E">
        <w:t xml:space="preserve">Overall, </w:t>
      </w:r>
      <w:r w:rsidRPr="006D5A7E">
        <w:lastRenderedPageBreak/>
        <w:t>there is no co</w:t>
      </w:r>
      <w:r>
        <w:t xml:space="preserve">nsistent </w:t>
      </w:r>
      <w:r w:rsidRPr="006D5A7E">
        <w:t>evidence that lower sodium intake reduces blood pressure in children</w:t>
      </w:r>
      <w:r>
        <w:t>; further high-quality studies are required to clarify this relationship</w:t>
      </w:r>
      <w:r w:rsidRPr="006D5A7E">
        <w:t>.</w:t>
      </w:r>
    </w:p>
    <w:p w14:paraId="39C31C7F" w14:textId="77777777" w:rsidR="00F61D64" w:rsidRDefault="00F61D64" w:rsidP="00F61D64">
      <w:r>
        <w:t>Arterial stiffness in children was also identified as a primary outcome for this review. However, only a single cross-sectional study examining the relationship between sodium and arterial stiffness in children was identified. The evidence is therefore insufficient to derive an NRV.</w:t>
      </w:r>
    </w:p>
    <w:p w14:paraId="0D290F8D" w14:textId="77777777" w:rsidR="00F61D64" w:rsidRDefault="00F61D64" w:rsidP="00F61D64">
      <w:r>
        <w:t xml:space="preserve">Due to this lack of evidence, a CDRR for children and adolescents could be extrapolated from adult values. Consistent with previous approaches and the US NASEM (2019) methods, values for children and adolescents in Australia and New Zealand have been extrapolated </w:t>
      </w:r>
      <w:proofErr w:type="gramStart"/>
      <w:r>
        <w:t>on the basis of</w:t>
      </w:r>
      <w:proofErr w:type="gramEnd"/>
      <w:r>
        <w:t xml:space="preserve"> relative energy requirements, using the following formulas:</w:t>
      </w:r>
    </w:p>
    <w:p w14:paraId="7B465EC6" w14:textId="77777777" w:rsidR="00F61D64" w:rsidRDefault="00F61D64" w:rsidP="00F61D64">
      <w:proofErr w:type="spellStart"/>
      <w:r w:rsidRPr="00446CB1">
        <w:t>UL</w:t>
      </w:r>
      <w:r w:rsidRPr="00D15D15">
        <w:rPr>
          <w:vertAlign w:val="subscript"/>
        </w:rPr>
        <w:t>child</w:t>
      </w:r>
      <w:proofErr w:type="spellEnd"/>
      <w:r>
        <w:t xml:space="preserve"> = 2006 </w:t>
      </w:r>
      <w:proofErr w:type="spellStart"/>
      <w:r w:rsidRPr="00446CB1">
        <w:t>UL</w:t>
      </w:r>
      <w:r w:rsidRPr="00D15D15">
        <w:rPr>
          <w:vertAlign w:val="subscript"/>
        </w:rPr>
        <w:t>adult</w:t>
      </w:r>
      <w:proofErr w:type="spellEnd"/>
      <w:r>
        <w:t xml:space="preserve"> x (</w:t>
      </w:r>
      <w:proofErr w:type="spellStart"/>
      <w:r>
        <w:t>EER</w:t>
      </w:r>
      <w:r w:rsidRPr="00D15D15">
        <w:rPr>
          <w:vertAlign w:val="subscript"/>
        </w:rPr>
        <w:t>child</w:t>
      </w:r>
      <w:proofErr w:type="spellEnd"/>
      <w:r>
        <w:t xml:space="preserve">/ </w:t>
      </w:r>
      <w:proofErr w:type="spellStart"/>
      <w:r>
        <w:t>EER</w:t>
      </w:r>
      <w:r w:rsidRPr="00D15D15">
        <w:rPr>
          <w:vertAlign w:val="subscript"/>
        </w:rPr>
        <w:t>adult</w:t>
      </w:r>
      <w:proofErr w:type="spellEnd"/>
      <w:r>
        <w:t xml:space="preserve">)       or    </w:t>
      </w:r>
      <w:r>
        <w:tab/>
      </w:r>
      <w:proofErr w:type="spellStart"/>
      <w:r w:rsidRPr="00446CB1">
        <w:t>CDRR</w:t>
      </w:r>
      <w:r w:rsidRPr="00D15D15">
        <w:rPr>
          <w:vertAlign w:val="subscript"/>
        </w:rPr>
        <w:t>child</w:t>
      </w:r>
      <w:proofErr w:type="spellEnd"/>
      <w:r>
        <w:t xml:space="preserve"> = </w:t>
      </w:r>
      <w:proofErr w:type="spellStart"/>
      <w:r>
        <w:t>CDRR</w:t>
      </w:r>
      <w:r w:rsidRPr="00D15D15">
        <w:rPr>
          <w:vertAlign w:val="subscript"/>
        </w:rPr>
        <w:t>adult</w:t>
      </w:r>
      <w:proofErr w:type="spellEnd"/>
      <w:r>
        <w:t xml:space="preserve"> x (</w:t>
      </w:r>
      <w:proofErr w:type="spellStart"/>
      <w:r>
        <w:t>EER</w:t>
      </w:r>
      <w:r w:rsidRPr="00D15D15">
        <w:rPr>
          <w:vertAlign w:val="subscript"/>
        </w:rPr>
        <w:t>child</w:t>
      </w:r>
      <w:proofErr w:type="spellEnd"/>
      <w:r>
        <w:t xml:space="preserve">/ </w:t>
      </w:r>
      <w:proofErr w:type="spellStart"/>
      <w:r>
        <w:t>EER</w:t>
      </w:r>
      <w:r w:rsidRPr="00D15D15">
        <w:rPr>
          <w:vertAlign w:val="subscript"/>
        </w:rPr>
        <w:t>adult</w:t>
      </w:r>
      <w:proofErr w:type="spellEnd"/>
      <w:r>
        <w:t>)</w:t>
      </w:r>
    </w:p>
    <w:p w14:paraId="55AEC7DE" w14:textId="2F2CEE65" w:rsidR="00F61D64" w:rsidRDefault="00F61D64" w:rsidP="00F61D64">
      <w:r>
        <w:t xml:space="preserve">Calculations and resulting values (both un-rounded and rounded) are provided in </w:t>
      </w:r>
      <w:r>
        <w:fldChar w:fldCharType="begin"/>
      </w:r>
      <w:r>
        <w:instrText xml:space="preserve"> REF _Ref231328807 \h </w:instrText>
      </w:r>
      <w:r>
        <w:fldChar w:fldCharType="separate"/>
      </w:r>
      <w:r w:rsidR="00DA5876">
        <w:t xml:space="preserve">Table </w:t>
      </w:r>
      <w:r w:rsidR="00DA5876">
        <w:rPr>
          <w:noProof/>
        </w:rPr>
        <w:t>29</w:t>
      </w:r>
      <w:r>
        <w:fldChar w:fldCharType="end"/>
      </w:r>
      <w:r>
        <w:t xml:space="preserve"> below. This includes new alternative age groupings which are to be included in future NRV iterations to facilitate reporting of usual intake data from n</w:t>
      </w:r>
      <w:r w:rsidRPr="00FA6775">
        <w:t>ational nutrition survey results</w:t>
      </w:r>
      <w:r>
        <w:t xml:space="preserve"> against NRV recommendations. These recommendations will be presented in a separate appendix to prevent confusion amongst stakeholders about which are the prevailing recommendations for each age group.</w:t>
      </w:r>
    </w:p>
    <w:p w14:paraId="1AEFB84B" w14:textId="3CCFAA14" w:rsidR="00F61D64" w:rsidRDefault="00F61D64" w:rsidP="00F61D64">
      <w:pPr>
        <w:pStyle w:val="Caption"/>
        <w:keepNext/>
      </w:pPr>
      <w:bookmarkStart w:id="185" w:name="_Ref231328807"/>
      <w:r>
        <w:t xml:space="preserve">Table </w:t>
      </w:r>
      <w:r>
        <w:fldChar w:fldCharType="begin"/>
      </w:r>
      <w:r>
        <w:instrText>SEQ Table \* ARABIC</w:instrText>
      </w:r>
      <w:r>
        <w:fldChar w:fldCharType="separate"/>
      </w:r>
      <w:r w:rsidR="00B90577">
        <w:rPr>
          <w:noProof/>
        </w:rPr>
        <w:t>28</w:t>
      </w:r>
      <w:r>
        <w:fldChar w:fldCharType="end"/>
      </w:r>
      <w:bookmarkEnd w:id="185"/>
      <w:r>
        <w:t xml:space="preserve"> - Data inputs and resulting extrapolation of adult values (current vs proposed) to children and adolescents</w:t>
      </w:r>
    </w:p>
    <w:tbl>
      <w:tblPr>
        <w:tblStyle w:val="TableGrid"/>
        <w:tblW w:w="14380" w:type="dxa"/>
        <w:tblInd w:w="-147" w:type="dxa"/>
        <w:tblLook w:val="04A0" w:firstRow="1" w:lastRow="0" w:firstColumn="1" w:lastColumn="0" w:noHBand="0" w:noVBand="1"/>
      </w:tblPr>
      <w:tblGrid>
        <w:gridCol w:w="1418"/>
        <w:gridCol w:w="1037"/>
        <w:gridCol w:w="1217"/>
        <w:gridCol w:w="1143"/>
        <w:gridCol w:w="880"/>
        <w:gridCol w:w="857"/>
        <w:gridCol w:w="1332"/>
        <w:gridCol w:w="1222"/>
        <w:gridCol w:w="1394"/>
        <w:gridCol w:w="1311"/>
        <w:gridCol w:w="1332"/>
        <w:gridCol w:w="1231"/>
        <w:gridCol w:w="6"/>
      </w:tblGrid>
      <w:tr w:rsidR="00F61D64" w:rsidRPr="001B39CA" w14:paraId="6FBC528F" w14:textId="77777777" w:rsidTr="003A31ED">
        <w:trPr>
          <w:gridAfter w:val="1"/>
          <w:wAfter w:w="6" w:type="dxa"/>
        </w:trPr>
        <w:tc>
          <w:tcPr>
            <w:tcW w:w="1418" w:type="dxa"/>
            <w:vMerge w:val="restart"/>
            <w:shd w:val="clear" w:color="auto" w:fill="156082" w:themeFill="accent1"/>
            <w:vAlign w:val="bottom"/>
          </w:tcPr>
          <w:p w14:paraId="797DCE43" w14:textId="77777777" w:rsidR="00F61D64" w:rsidRPr="00D75259" w:rsidRDefault="00F61D64" w:rsidP="003A31ED">
            <w:pPr>
              <w:jc w:val="center"/>
              <w:rPr>
                <w:rFonts w:ascii="Aptos" w:hAnsi="Aptos"/>
                <w:b/>
                <w:bCs/>
                <w:color w:val="FFFFFF" w:themeColor="background1"/>
                <w:sz w:val="20"/>
                <w:szCs w:val="20"/>
              </w:rPr>
            </w:pPr>
            <w:r w:rsidRPr="00D75259">
              <w:rPr>
                <w:rFonts w:ascii="Aptos" w:hAnsi="Aptos"/>
                <w:b/>
                <w:bCs/>
                <w:color w:val="FFFFFF" w:themeColor="background1"/>
                <w:kern w:val="2"/>
                <w:sz w:val="20"/>
                <w:szCs w:val="20"/>
                <w14:ligatures w14:val="standardContextual"/>
              </w:rPr>
              <w:t>Age group</w:t>
            </w:r>
          </w:p>
        </w:tc>
        <w:tc>
          <w:tcPr>
            <w:tcW w:w="1037" w:type="dxa"/>
            <w:shd w:val="clear" w:color="auto" w:fill="156082" w:themeFill="accent1"/>
          </w:tcPr>
          <w:p w14:paraId="6A5EE94E" w14:textId="77777777" w:rsidR="00F61D64" w:rsidRPr="00D75259" w:rsidRDefault="00F61D64"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A</w:t>
            </w:r>
          </w:p>
        </w:tc>
        <w:tc>
          <w:tcPr>
            <w:tcW w:w="1217" w:type="dxa"/>
            <w:shd w:val="clear" w:color="auto" w:fill="156082" w:themeFill="accent1"/>
          </w:tcPr>
          <w:p w14:paraId="56295709" w14:textId="77777777" w:rsidR="00F61D64" w:rsidRPr="00D75259" w:rsidRDefault="00F61D64"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B</w:t>
            </w:r>
          </w:p>
        </w:tc>
        <w:tc>
          <w:tcPr>
            <w:tcW w:w="1143" w:type="dxa"/>
            <w:shd w:val="clear" w:color="auto" w:fill="156082" w:themeFill="accent1"/>
          </w:tcPr>
          <w:p w14:paraId="0AFCDE39" w14:textId="77777777" w:rsidR="00F61D64" w:rsidRPr="00D75259"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C</w:t>
            </w:r>
          </w:p>
        </w:tc>
        <w:tc>
          <w:tcPr>
            <w:tcW w:w="880" w:type="dxa"/>
            <w:shd w:val="clear" w:color="auto" w:fill="156082" w:themeFill="accent1"/>
          </w:tcPr>
          <w:p w14:paraId="21E5DE0A" w14:textId="77777777" w:rsidR="00F61D64" w:rsidRPr="00D75259"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D</w:t>
            </w:r>
          </w:p>
        </w:tc>
        <w:tc>
          <w:tcPr>
            <w:tcW w:w="857" w:type="dxa"/>
            <w:shd w:val="clear" w:color="auto" w:fill="156082" w:themeFill="accent1"/>
          </w:tcPr>
          <w:p w14:paraId="0A83FB5B" w14:textId="77777777" w:rsidR="00F61D64" w:rsidRPr="00D75259"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E</w:t>
            </w:r>
          </w:p>
        </w:tc>
        <w:tc>
          <w:tcPr>
            <w:tcW w:w="1332" w:type="dxa"/>
            <w:shd w:val="clear" w:color="auto" w:fill="156082" w:themeFill="accent1"/>
          </w:tcPr>
          <w:p w14:paraId="044E7DBF" w14:textId="77777777" w:rsidR="00F61D64" w:rsidRPr="00D75259"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F</w:t>
            </w:r>
            <w:r w:rsidRPr="00D75259">
              <w:rPr>
                <w:rFonts w:ascii="Aptos" w:hAnsi="Aptos"/>
                <w:b/>
                <w:bCs/>
                <w:color w:val="FFFFFF" w:themeColor="background1"/>
                <w:sz w:val="20"/>
                <w:szCs w:val="20"/>
              </w:rPr>
              <w:t xml:space="preserve"> = A x (</w:t>
            </w:r>
            <w:r>
              <w:rPr>
                <w:rFonts w:ascii="Aptos" w:hAnsi="Aptos"/>
                <w:b/>
                <w:bCs/>
                <w:color w:val="FFFFFF" w:themeColor="background1"/>
                <w:sz w:val="20"/>
                <w:szCs w:val="20"/>
              </w:rPr>
              <w:t>D</w:t>
            </w:r>
            <w:r w:rsidRPr="00D75259">
              <w:rPr>
                <w:rFonts w:ascii="Aptos" w:hAnsi="Aptos"/>
                <w:b/>
                <w:bCs/>
                <w:color w:val="FFFFFF" w:themeColor="background1"/>
                <w:sz w:val="20"/>
                <w:szCs w:val="20"/>
              </w:rPr>
              <w:t>/</w:t>
            </w:r>
            <w:r>
              <w:rPr>
                <w:rFonts w:ascii="Aptos" w:hAnsi="Aptos"/>
                <w:b/>
                <w:bCs/>
                <w:color w:val="FFFFFF" w:themeColor="background1"/>
                <w:sz w:val="20"/>
                <w:szCs w:val="20"/>
              </w:rPr>
              <w:t>E</w:t>
            </w:r>
            <w:r w:rsidRPr="00D75259">
              <w:rPr>
                <w:rFonts w:ascii="Aptos" w:hAnsi="Aptos"/>
                <w:b/>
                <w:bCs/>
                <w:color w:val="FFFFFF" w:themeColor="background1"/>
                <w:sz w:val="20"/>
                <w:szCs w:val="20"/>
              </w:rPr>
              <w:t>)</w:t>
            </w:r>
          </w:p>
        </w:tc>
        <w:tc>
          <w:tcPr>
            <w:tcW w:w="1222" w:type="dxa"/>
            <w:shd w:val="clear" w:color="auto" w:fill="156082" w:themeFill="accent1"/>
          </w:tcPr>
          <w:p w14:paraId="523AB7E4" w14:textId="77777777" w:rsidR="00F61D64" w:rsidRPr="00D75259"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G</w:t>
            </w:r>
            <w:r w:rsidRPr="00D75259">
              <w:rPr>
                <w:rFonts w:ascii="Aptos" w:hAnsi="Aptos"/>
                <w:b/>
                <w:bCs/>
                <w:color w:val="FFFFFF" w:themeColor="background1"/>
                <w:sz w:val="20"/>
                <w:szCs w:val="20"/>
              </w:rPr>
              <w:t xml:space="preserve"> = </w:t>
            </w:r>
            <w:r>
              <w:rPr>
                <w:rFonts w:ascii="Aptos" w:hAnsi="Aptos"/>
                <w:b/>
                <w:bCs/>
                <w:color w:val="FFFFFF" w:themeColor="background1"/>
                <w:sz w:val="20"/>
                <w:szCs w:val="20"/>
              </w:rPr>
              <w:t>F</w:t>
            </w:r>
            <w:r w:rsidRPr="00D75259">
              <w:rPr>
                <w:rFonts w:ascii="Aptos" w:hAnsi="Aptos"/>
                <w:b/>
                <w:bCs/>
                <w:color w:val="FFFFFF" w:themeColor="background1"/>
                <w:sz w:val="20"/>
                <w:szCs w:val="20"/>
              </w:rPr>
              <w:t xml:space="preserve"> + rounding</w:t>
            </w:r>
          </w:p>
        </w:tc>
        <w:tc>
          <w:tcPr>
            <w:tcW w:w="1394" w:type="dxa"/>
            <w:shd w:val="clear" w:color="auto" w:fill="156082" w:themeFill="accent1"/>
          </w:tcPr>
          <w:p w14:paraId="31AD85D0" w14:textId="77777777" w:rsidR="00F61D64" w:rsidRPr="00D75259"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H</w:t>
            </w:r>
            <w:r w:rsidRPr="00D75259">
              <w:rPr>
                <w:rFonts w:ascii="Aptos" w:hAnsi="Aptos"/>
                <w:b/>
                <w:bCs/>
                <w:color w:val="FFFFFF" w:themeColor="background1"/>
                <w:sz w:val="20"/>
                <w:szCs w:val="20"/>
              </w:rPr>
              <w:t xml:space="preserve"> = B x (</w:t>
            </w:r>
            <w:r>
              <w:rPr>
                <w:rFonts w:ascii="Aptos" w:hAnsi="Aptos"/>
                <w:b/>
                <w:bCs/>
                <w:color w:val="FFFFFF" w:themeColor="background1"/>
                <w:sz w:val="20"/>
                <w:szCs w:val="20"/>
              </w:rPr>
              <w:t>D/E</w:t>
            </w:r>
            <w:r w:rsidRPr="00D75259">
              <w:rPr>
                <w:rFonts w:ascii="Aptos" w:hAnsi="Aptos"/>
                <w:b/>
                <w:bCs/>
                <w:color w:val="FFFFFF" w:themeColor="background1"/>
                <w:sz w:val="20"/>
                <w:szCs w:val="20"/>
              </w:rPr>
              <w:t>)</w:t>
            </w:r>
          </w:p>
        </w:tc>
        <w:tc>
          <w:tcPr>
            <w:tcW w:w="1311" w:type="dxa"/>
            <w:shd w:val="clear" w:color="auto" w:fill="156082" w:themeFill="accent1"/>
          </w:tcPr>
          <w:p w14:paraId="68F34A30" w14:textId="77777777" w:rsidR="00F61D64" w:rsidRPr="00D75259" w:rsidRDefault="00F61D64"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H = G + rounding</w:t>
            </w:r>
          </w:p>
        </w:tc>
        <w:tc>
          <w:tcPr>
            <w:tcW w:w="1332" w:type="dxa"/>
            <w:shd w:val="clear" w:color="auto" w:fill="156082" w:themeFill="accent1"/>
          </w:tcPr>
          <w:p w14:paraId="5871F42B" w14:textId="77777777" w:rsidR="00F61D64" w:rsidRPr="00D75259"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I = C x (D/E)</w:t>
            </w:r>
          </w:p>
        </w:tc>
        <w:tc>
          <w:tcPr>
            <w:tcW w:w="1231" w:type="dxa"/>
            <w:shd w:val="clear" w:color="auto" w:fill="156082" w:themeFill="accent1"/>
          </w:tcPr>
          <w:p w14:paraId="26B10292" w14:textId="77777777" w:rsidR="00F61D64" w:rsidRPr="00D75259"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J = I + rounding</w:t>
            </w:r>
          </w:p>
        </w:tc>
      </w:tr>
      <w:tr w:rsidR="00F61D64" w:rsidRPr="001B39CA" w14:paraId="57AA7085" w14:textId="77777777" w:rsidTr="003A31ED">
        <w:trPr>
          <w:gridAfter w:val="1"/>
          <w:wAfter w:w="6" w:type="dxa"/>
          <w:trHeight w:val="594"/>
        </w:trPr>
        <w:tc>
          <w:tcPr>
            <w:tcW w:w="1418" w:type="dxa"/>
            <w:vMerge/>
            <w:shd w:val="clear" w:color="auto" w:fill="156082" w:themeFill="accent1"/>
          </w:tcPr>
          <w:p w14:paraId="26B828A5" w14:textId="77777777" w:rsidR="00F61D64" w:rsidRPr="00D75259" w:rsidRDefault="00F61D64" w:rsidP="003A31ED">
            <w:pPr>
              <w:rPr>
                <w:rFonts w:ascii="Aptos" w:hAnsi="Aptos"/>
                <w:b/>
                <w:bCs/>
                <w:color w:val="FFFFFF" w:themeColor="background1"/>
                <w:sz w:val="20"/>
                <w:szCs w:val="20"/>
              </w:rPr>
            </w:pPr>
          </w:p>
        </w:tc>
        <w:tc>
          <w:tcPr>
            <w:tcW w:w="1037" w:type="dxa"/>
            <w:vMerge w:val="restart"/>
            <w:shd w:val="clear" w:color="auto" w:fill="156082" w:themeFill="accent1"/>
            <w:vAlign w:val="bottom"/>
          </w:tcPr>
          <w:p w14:paraId="01FBFC9D" w14:textId="77777777" w:rsidR="00F61D64" w:rsidRPr="00D75259" w:rsidRDefault="00F61D64"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 xml:space="preserve">Current </w:t>
            </w:r>
            <w:proofErr w:type="spellStart"/>
            <w:r>
              <w:rPr>
                <w:rFonts w:ascii="Aptos" w:hAnsi="Aptos"/>
                <w:b/>
                <w:bCs/>
                <w:color w:val="FFFFFF" w:themeColor="background1"/>
                <w:sz w:val="20"/>
                <w:szCs w:val="20"/>
              </w:rPr>
              <w:t>CDRR</w:t>
            </w:r>
            <w:r w:rsidRPr="00D75259">
              <w:rPr>
                <w:rFonts w:ascii="Aptos" w:hAnsi="Aptos"/>
                <w:b/>
                <w:bCs/>
                <w:color w:val="FFFFFF" w:themeColor="background1"/>
                <w:sz w:val="20"/>
                <w:szCs w:val="20"/>
                <w:vertAlign w:val="subscript"/>
              </w:rPr>
              <w:t>adult</w:t>
            </w:r>
            <w:proofErr w:type="spellEnd"/>
          </w:p>
        </w:tc>
        <w:tc>
          <w:tcPr>
            <w:tcW w:w="1217" w:type="dxa"/>
            <w:vMerge w:val="restart"/>
            <w:shd w:val="clear" w:color="auto" w:fill="156082" w:themeFill="accent1"/>
            <w:vAlign w:val="bottom"/>
          </w:tcPr>
          <w:p w14:paraId="3B16CF21" w14:textId="77777777" w:rsidR="00F61D64" w:rsidRPr="00D75259" w:rsidRDefault="00F61D64" w:rsidP="003A31ED">
            <w:pPr>
              <w:jc w:val="center"/>
              <w:rPr>
                <w:rFonts w:ascii="Aptos" w:hAnsi="Aptos"/>
                <w:b/>
                <w:bCs/>
                <w:color w:val="FFFFFF" w:themeColor="background1"/>
                <w:sz w:val="20"/>
                <w:szCs w:val="20"/>
              </w:rPr>
            </w:pPr>
            <w:r w:rsidRPr="00D75259">
              <w:rPr>
                <w:rFonts w:ascii="Aptos" w:hAnsi="Aptos"/>
                <w:b/>
                <w:bCs/>
                <w:color w:val="FFFFFF" w:themeColor="background1"/>
                <w:sz w:val="20"/>
                <w:szCs w:val="20"/>
              </w:rPr>
              <w:t xml:space="preserve">Alternative </w:t>
            </w:r>
            <w:proofErr w:type="spellStart"/>
            <w:r>
              <w:rPr>
                <w:rFonts w:ascii="Aptos" w:hAnsi="Aptos"/>
                <w:b/>
                <w:bCs/>
                <w:color w:val="FFFFFF" w:themeColor="background1"/>
                <w:sz w:val="20"/>
                <w:szCs w:val="20"/>
              </w:rPr>
              <w:t>CDRR</w:t>
            </w:r>
            <w:r w:rsidRPr="00D75259">
              <w:rPr>
                <w:rFonts w:ascii="Aptos" w:hAnsi="Aptos"/>
                <w:b/>
                <w:bCs/>
                <w:color w:val="FFFFFF" w:themeColor="background1"/>
                <w:sz w:val="20"/>
                <w:szCs w:val="20"/>
                <w:vertAlign w:val="subscript"/>
              </w:rPr>
              <w:t>adult</w:t>
            </w:r>
            <w:proofErr w:type="spellEnd"/>
          </w:p>
        </w:tc>
        <w:tc>
          <w:tcPr>
            <w:tcW w:w="1143" w:type="dxa"/>
            <w:vMerge w:val="restart"/>
            <w:shd w:val="clear" w:color="auto" w:fill="156082" w:themeFill="accent1"/>
            <w:vAlign w:val="bottom"/>
          </w:tcPr>
          <w:p w14:paraId="7514F263" w14:textId="77777777" w:rsidR="00F61D64"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 xml:space="preserve">Former (2006) </w:t>
            </w:r>
          </w:p>
          <w:p w14:paraId="3FA3C929" w14:textId="77777777" w:rsidR="00F61D64" w:rsidRDefault="00F61D64" w:rsidP="003A31ED">
            <w:pPr>
              <w:jc w:val="center"/>
              <w:rPr>
                <w:rFonts w:ascii="Aptos" w:hAnsi="Aptos"/>
                <w:b/>
                <w:bCs/>
                <w:color w:val="FFFFFF" w:themeColor="background1"/>
                <w:sz w:val="20"/>
                <w:szCs w:val="20"/>
              </w:rPr>
            </w:pPr>
            <w:proofErr w:type="spellStart"/>
            <w:r>
              <w:rPr>
                <w:rFonts w:ascii="Aptos" w:hAnsi="Aptos"/>
                <w:b/>
                <w:bCs/>
                <w:color w:val="FFFFFF" w:themeColor="background1"/>
                <w:sz w:val="20"/>
                <w:szCs w:val="20"/>
              </w:rPr>
              <w:t>UL</w:t>
            </w:r>
            <w:r w:rsidRPr="00EA03F4">
              <w:rPr>
                <w:rFonts w:ascii="Aptos" w:hAnsi="Aptos"/>
                <w:b/>
                <w:bCs/>
                <w:color w:val="FFFFFF" w:themeColor="background1"/>
                <w:sz w:val="20"/>
                <w:szCs w:val="20"/>
                <w:vertAlign w:val="subscript"/>
              </w:rPr>
              <w:t>adult</w:t>
            </w:r>
            <w:proofErr w:type="spellEnd"/>
          </w:p>
        </w:tc>
        <w:tc>
          <w:tcPr>
            <w:tcW w:w="880" w:type="dxa"/>
            <w:vMerge w:val="restart"/>
            <w:shd w:val="clear" w:color="auto" w:fill="156082" w:themeFill="accent1"/>
            <w:vAlign w:val="bottom"/>
          </w:tcPr>
          <w:p w14:paraId="0968F3DA" w14:textId="77777777" w:rsidR="00F61D64" w:rsidRPr="00D75259" w:rsidRDefault="00F61D64" w:rsidP="003A31ED">
            <w:pPr>
              <w:jc w:val="center"/>
              <w:rPr>
                <w:rFonts w:ascii="Aptos" w:hAnsi="Aptos"/>
                <w:b/>
                <w:bCs/>
                <w:color w:val="FFFFFF" w:themeColor="background1"/>
                <w:sz w:val="20"/>
                <w:szCs w:val="20"/>
              </w:rPr>
            </w:pPr>
            <w:proofErr w:type="spellStart"/>
            <w:r w:rsidRPr="00D75259">
              <w:rPr>
                <w:rFonts w:ascii="Aptos" w:hAnsi="Aptos"/>
                <w:b/>
                <w:bCs/>
                <w:color w:val="FFFFFF" w:themeColor="background1"/>
                <w:sz w:val="20"/>
                <w:szCs w:val="20"/>
              </w:rPr>
              <w:t>EER</w:t>
            </w:r>
            <w:r w:rsidRPr="00D75259">
              <w:rPr>
                <w:rFonts w:ascii="Aptos" w:hAnsi="Aptos"/>
                <w:b/>
                <w:bCs/>
                <w:color w:val="FFFFFF" w:themeColor="background1"/>
                <w:sz w:val="20"/>
                <w:szCs w:val="20"/>
                <w:vertAlign w:val="subscript"/>
              </w:rPr>
              <w:t>child</w:t>
            </w:r>
            <w:proofErr w:type="spellEnd"/>
          </w:p>
        </w:tc>
        <w:tc>
          <w:tcPr>
            <w:tcW w:w="857" w:type="dxa"/>
            <w:vMerge w:val="restart"/>
            <w:shd w:val="clear" w:color="auto" w:fill="156082" w:themeFill="accent1"/>
            <w:vAlign w:val="bottom"/>
          </w:tcPr>
          <w:p w14:paraId="1A5FB063" w14:textId="77777777" w:rsidR="00F61D64" w:rsidRPr="00D75259" w:rsidRDefault="00F61D64" w:rsidP="003A31ED">
            <w:pPr>
              <w:jc w:val="center"/>
              <w:rPr>
                <w:rFonts w:ascii="Aptos" w:hAnsi="Aptos"/>
                <w:b/>
                <w:bCs/>
                <w:color w:val="FFFFFF" w:themeColor="background1"/>
                <w:sz w:val="20"/>
                <w:szCs w:val="20"/>
              </w:rPr>
            </w:pPr>
            <w:proofErr w:type="spellStart"/>
            <w:r w:rsidRPr="00D75259">
              <w:rPr>
                <w:rFonts w:ascii="Aptos" w:hAnsi="Aptos"/>
                <w:b/>
                <w:bCs/>
                <w:color w:val="FFFFFF" w:themeColor="background1"/>
                <w:sz w:val="20"/>
                <w:szCs w:val="20"/>
              </w:rPr>
              <w:t>EER</w:t>
            </w:r>
            <w:r w:rsidRPr="00D75259">
              <w:rPr>
                <w:rFonts w:ascii="Aptos" w:hAnsi="Aptos"/>
                <w:b/>
                <w:bCs/>
                <w:color w:val="FFFFFF" w:themeColor="background1"/>
                <w:sz w:val="20"/>
                <w:szCs w:val="20"/>
                <w:vertAlign w:val="subscript"/>
              </w:rPr>
              <w:t>adult</w:t>
            </w:r>
            <w:proofErr w:type="spellEnd"/>
          </w:p>
        </w:tc>
        <w:tc>
          <w:tcPr>
            <w:tcW w:w="2554" w:type="dxa"/>
            <w:gridSpan w:val="2"/>
            <w:shd w:val="clear" w:color="auto" w:fill="156082" w:themeFill="accent1"/>
            <w:vAlign w:val="center"/>
          </w:tcPr>
          <w:p w14:paraId="63FE96A9" w14:textId="77777777" w:rsidR="00F61D64"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Extrapolated from current CDRR</w:t>
            </w:r>
          </w:p>
          <w:p w14:paraId="38E6C349" w14:textId="77777777" w:rsidR="00F61D64"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(2,000 mg/day)</w:t>
            </w:r>
          </w:p>
        </w:tc>
        <w:tc>
          <w:tcPr>
            <w:tcW w:w="2705" w:type="dxa"/>
            <w:gridSpan w:val="2"/>
            <w:shd w:val="clear" w:color="auto" w:fill="156082" w:themeFill="accent1"/>
            <w:vAlign w:val="center"/>
          </w:tcPr>
          <w:p w14:paraId="07DEA4F5" w14:textId="77777777" w:rsidR="00F61D64"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Extrapolated from alternative CDRR</w:t>
            </w:r>
          </w:p>
          <w:p w14:paraId="036B11E4" w14:textId="77777777" w:rsidR="00F61D64"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(2,300 mg/day)</w:t>
            </w:r>
          </w:p>
        </w:tc>
        <w:tc>
          <w:tcPr>
            <w:tcW w:w="2563" w:type="dxa"/>
            <w:gridSpan w:val="2"/>
            <w:shd w:val="clear" w:color="auto" w:fill="156082" w:themeFill="accent1"/>
            <w:vAlign w:val="center"/>
          </w:tcPr>
          <w:p w14:paraId="3D9A04DC" w14:textId="77777777" w:rsidR="00F61D64"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Extrapolated from former adult UL</w:t>
            </w:r>
          </w:p>
          <w:p w14:paraId="58B94C21" w14:textId="77777777" w:rsidR="00F61D64"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(2,300 mg/day)</w:t>
            </w:r>
          </w:p>
        </w:tc>
      </w:tr>
      <w:tr w:rsidR="00F61D64" w:rsidRPr="001B39CA" w14:paraId="08A84860" w14:textId="77777777" w:rsidTr="003A31ED">
        <w:trPr>
          <w:gridAfter w:val="1"/>
          <w:wAfter w:w="6" w:type="dxa"/>
          <w:trHeight w:val="691"/>
        </w:trPr>
        <w:tc>
          <w:tcPr>
            <w:tcW w:w="1418" w:type="dxa"/>
            <w:vMerge/>
            <w:shd w:val="clear" w:color="auto" w:fill="156082" w:themeFill="accent1"/>
          </w:tcPr>
          <w:p w14:paraId="40AB72B0" w14:textId="77777777" w:rsidR="00F61D64" w:rsidRPr="00D75259" w:rsidRDefault="00F61D64" w:rsidP="003A31ED">
            <w:pPr>
              <w:rPr>
                <w:rFonts w:ascii="Aptos" w:hAnsi="Aptos"/>
                <w:b/>
                <w:bCs/>
                <w:color w:val="FFFFFF" w:themeColor="background1"/>
                <w:sz w:val="20"/>
                <w:szCs w:val="20"/>
              </w:rPr>
            </w:pPr>
          </w:p>
        </w:tc>
        <w:tc>
          <w:tcPr>
            <w:tcW w:w="1037" w:type="dxa"/>
            <w:vMerge/>
            <w:shd w:val="clear" w:color="auto" w:fill="156082" w:themeFill="accent1"/>
            <w:vAlign w:val="bottom"/>
          </w:tcPr>
          <w:p w14:paraId="0C5B91A6" w14:textId="77777777" w:rsidR="00F61D64" w:rsidRPr="00D75259" w:rsidRDefault="00F61D64" w:rsidP="003A31ED">
            <w:pPr>
              <w:jc w:val="center"/>
              <w:rPr>
                <w:rFonts w:ascii="Aptos" w:hAnsi="Aptos"/>
                <w:b/>
                <w:bCs/>
                <w:color w:val="FFFFFF" w:themeColor="background1"/>
                <w:sz w:val="20"/>
                <w:szCs w:val="20"/>
              </w:rPr>
            </w:pPr>
          </w:p>
        </w:tc>
        <w:tc>
          <w:tcPr>
            <w:tcW w:w="1217" w:type="dxa"/>
            <w:vMerge/>
            <w:shd w:val="clear" w:color="auto" w:fill="156082" w:themeFill="accent1"/>
            <w:vAlign w:val="bottom"/>
          </w:tcPr>
          <w:p w14:paraId="2FEF3A43" w14:textId="77777777" w:rsidR="00F61D64" w:rsidRPr="00D75259" w:rsidRDefault="00F61D64" w:rsidP="003A31ED">
            <w:pPr>
              <w:jc w:val="center"/>
              <w:rPr>
                <w:rFonts w:ascii="Aptos" w:hAnsi="Aptos"/>
                <w:b/>
                <w:bCs/>
                <w:color w:val="FFFFFF" w:themeColor="background1"/>
                <w:sz w:val="20"/>
                <w:szCs w:val="20"/>
              </w:rPr>
            </w:pPr>
          </w:p>
        </w:tc>
        <w:tc>
          <w:tcPr>
            <w:tcW w:w="1143" w:type="dxa"/>
            <w:vMerge/>
            <w:shd w:val="clear" w:color="auto" w:fill="156082" w:themeFill="accent1"/>
            <w:vAlign w:val="bottom"/>
          </w:tcPr>
          <w:p w14:paraId="079AF595" w14:textId="77777777" w:rsidR="00F61D64" w:rsidRPr="00D75259" w:rsidRDefault="00F61D64" w:rsidP="003A31ED">
            <w:pPr>
              <w:jc w:val="center"/>
              <w:rPr>
                <w:rFonts w:ascii="Aptos" w:hAnsi="Aptos"/>
                <w:b/>
                <w:bCs/>
                <w:color w:val="FFFFFF" w:themeColor="background1"/>
                <w:sz w:val="20"/>
                <w:szCs w:val="20"/>
              </w:rPr>
            </w:pPr>
          </w:p>
        </w:tc>
        <w:tc>
          <w:tcPr>
            <w:tcW w:w="880" w:type="dxa"/>
            <w:vMerge/>
            <w:shd w:val="clear" w:color="auto" w:fill="156082" w:themeFill="accent1"/>
            <w:vAlign w:val="bottom"/>
          </w:tcPr>
          <w:p w14:paraId="5ECC156A" w14:textId="77777777" w:rsidR="00F61D64" w:rsidRPr="00D75259" w:rsidRDefault="00F61D64" w:rsidP="003A31ED">
            <w:pPr>
              <w:jc w:val="center"/>
              <w:rPr>
                <w:rFonts w:ascii="Aptos" w:hAnsi="Aptos"/>
                <w:b/>
                <w:bCs/>
                <w:color w:val="FFFFFF" w:themeColor="background1"/>
                <w:sz w:val="20"/>
                <w:szCs w:val="20"/>
              </w:rPr>
            </w:pPr>
          </w:p>
        </w:tc>
        <w:tc>
          <w:tcPr>
            <w:tcW w:w="857" w:type="dxa"/>
            <w:vMerge/>
            <w:shd w:val="clear" w:color="auto" w:fill="156082" w:themeFill="accent1"/>
            <w:vAlign w:val="bottom"/>
          </w:tcPr>
          <w:p w14:paraId="565E7DDD" w14:textId="77777777" w:rsidR="00F61D64" w:rsidRPr="00D75259" w:rsidRDefault="00F61D64" w:rsidP="003A31ED">
            <w:pPr>
              <w:jc w:val="center"/>
              <w:rPr>
                <w:rFonts w:ascii="Aptos" w:hAnsi="Aptos"/>
                <w:b/>
                <w:bCs/>
                <w:color w:val="FFFFFF" w:themeColor="background1"/>
                <w:sz w:val="20"/>
                <w:szCs w:val="20"/>
              </w:rPr>
            </w:pPr>
          </w:p>
        </w:tc>
        <w:tc>
          <w:tcPr>
            <w:tcW w:w="1332" w:type="dxa"/>
            <w:shd w:val="clear" w:color="auto" w:fill="156082" w:themeFill="accent1"/>
            <w:vAlign w:val="bottom"/>
          </w:tcPr>
          <w:p w14:paraId="020F78E1" w14:textId="77777777" w:rsidR="00F61D64"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Calculated (unrounded)</w:t>
            </w:r>
          </w:p>
          <w:p w14:paraId="269D114D" w14:textId="77777777" w:rsidR="00F61D64" w:rsidRPr="00D75259" w:rsidRDefault="00F61D64" w:rsidP="003A31ED">
            <w:pPr>
              <w:jc w:val="center"/>
              <w:rPr>
                <w:rFonts w:ascii="Aptos" w:hAnsi="Aptos"/>
                <w:b/>
                <w:bCs/>
                <w:color w:val="FFFFFF" w:themeColor="background1"/>
                <w:sz w:val="20"/>
                <w:szCs w:val="20"/>
              </w:rPr>
            </w:pPr>
            <w:proofErr w:type="spellStart"/>
            <w:r>
              <w:rPr>
                <w:rFonts w:ascii="Aptos" w:hAnsi="Aptos"/>
                <w:b/>
                <w:bCs/>
                <w:color w:val="FFFFFF" w:themeColor="background1"/>
                <w:sz w:val="20"/>
                <w:szCs w:val="20"/>
              </w:rPr>
              <w:t>CDRR</w:t>
            </w:r>
            <w:r w:rsidRPr="00D75259">
              <w:rPr>
                <w:rFonts w:ascii="Aptos" w:hAnsi="Aptos"/>
                <w:b/>
                <w:bCs/>
                <w:color w:val="FFFFFF" w:themeColor="background1"/>
                <w:sz w:val="20"/>
                <w:szCs w:val="20"/>
                <w:vertAlign w:val="subscript"/>
              </w:rPr>
              <w:t>child</w:t>
            </w:r>
            <w:proofErr w:type="spellEnd"/>
          </w:p>
        </w:tc>
        <w:tc>
          <w:tcPr>
            <w:tcW w:w="1222" w:type="dxa"/>
            <w:shd w:val="clear" w:color="auto" w:fill="156082" w:themeFill="accent1"/>
            <w:vAlign w:val="bottom"/>
          </w:tcPr>
          <w:p w14:paraId="72AD8E57" w14:textId="77777777" w:rsidR="00F61D64" w:rsidRPr="00D75259"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Final (r</w:t>
            </w:r>
            <w:r w:rsidRPr="00D75259">
              <w:rPr>
                <w:rFonts w:ascii="Aptos" w:hAnsi="Aptos"/>
                <w:b/>
                <w:bCs/>
                <w:color w:val="FFFFFF" w:themeColor="background1"/>
                <w:sz w:val="20"/>
                <w:szCs w:val="20"/>
              </w:rPr>
              <w:t>ounded</w:t>
            </w:r>
            <w:r>
              <w:rPr>
                <w:rFonts w:ascii="Aptos" w:hAnsi="Aptos"/>
                <w:b/>
                <w:bCs/>
                <w:color w:val="FFFFFF" w:themeColor="background1"/>
                <w:sz w:val="20"/>
                <w:szCs w:val="20"/>
              </w:rPr>
              <w:t xml:space="preserve">) </w:t>
            </w:r>
            <w:proofErr w:type="spellStart"/>
            <w:r>
              <w:rPr>
                <w:rFonts w:ascii="Aptos" w:hAnsi="Aptos"/>
                <w:b/>
                <w:bCs/>
                <w:color w:val="FFFFFF" w:themeColor="background1"/>
                <w:sz w:val="20"/>
                <w:szCs w:val="20"/>
              </w:rPr>
              <w:t>CDRR</w:t>
            </w:r>
            <w:r w:rsidRPr="00D75259">
              <w:rPr>
                <w:rFonts w:ascii="Aptos" w:hAnsi="Aptos"/>
                <w:b/>
                <w:bCs/>
                <w:color w:val="FFFFFF" w:themeColor="background1"/>
                <w:sz w:val="20"/>
                <w:szCs w:val="20"/>
                <w:vertAlign w:val="subscript"/>
              </w:rPr>
              <w:t>child</w:t>
            </w:r>
            <w:proofErr w:type="spellEnd"/>
          </w:p>
        </w:tc>
        <w:tc>
          <w:tcPr>
            <w:tcW w:w="1394" w:type="dxa"/>
            <w:shd w:val="clear" w:color="auto" w:fill="156082" w:themeFill="accent1"/>
            <w:vAlign w:val="bottom"/>
          </w:tcPr>
          <w:p w14:paraId="073A8882" w14:textId="77777777" w:rsidR="00F61D64"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Calculated (unrounded)</w:t>
            </w:r>
          </w:p>
          <w:p w14:paraId="6B93A217" w14:textId="77777777" w:rsidR="00F61D64" w:rsidRPr="00D75259" w:rsidRDefault="00F61D64" w:rsidP="003A31ED">
            <w:pPr>
              <w:jc w:val="center"/>
              <w:rPr>
                <w:rFonts w:ascii="Aptos" w:hAnsi="Aptos"/>
                <w:b/>
                <w:bCs/>
                <w:color w:val="FFFFFF" w:themeColor="background1"/>
                <w:sz w:val="20"/>
                <w:szCs w:val="20"/>
              </w:rPr>
            </w:pPr>
            <w:proofErr w:type="spellStart"/>
            <w:r>
              <w:rPr>
                <w:rFonts w:ascii="Aptos" w:hAnsi="Aptos"/>
                <w:b/>
                <w:bCs/>
                <w:color w:val="FFFFFF" w:themeColor="background1"/>
                <w:sz w:val="20"/>
                <w:szCs w:val="20"/>
              </w:rPr>
              <w:t>CDRR</w:t>
            </w:r>
            <w:r w:rsidRPr="00D75259">
              <w:rPr>
                <w:rFonts w:ascii="Aptos" w:hAnsi="Aptos"/>
                <w:b/>
                <w:bCs/>
                <w:color w:val="FFFFFF" w:themeColor="background1"/>
                <w:sz w:val="20"/>
                <w:szCs w:val="20"/>
                <w:vertAlign w:val="subscript"/>
              </w:rPr>
              <w:t>child</w:t>
            </w:r>
            <w:proofErr w:type="spellEnd"/>
          </w:p>
        </w:tc>
        <w:tc>
          <w:tcPr>
            <w:tcW w:w="1311" w:type="dxa"/>
            <w:shd w:val="clear" w:color="auto" w:fill="156082" w:themeFill="accent1"/>
            <w:vAlign w:val="bottom"/>
          </w:tcPr>
          <w:p w14:paraId="19BE3568" w14:textId="77777777" w:rsidR="00F61D64" w:rsidRPr="00D75259"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Final (r</w:t>
            </w:r>
            <w:r w:rsidRPr="00D75259">
              <w:rPr>
                <w:rFonts w:ascii="Aptos" w:hAnsi="Aptos"/>
                <w:b/>
                <w:bCs/>
                <w:color w:val="FFFFFF" w:themeColor="background1"/>
                <w:sz w:val="20"/>
                <w:szCs w:val="20"/>
              </w:rPr>
              <w:t>ounded</w:t>
            </w:r>
            <w:r>
              <w:rPr>
                <w:rFonts w:ascii="Aptos" w:hAnsi="Aptos"/>
                <w:b/>
                <w:bCs/>
                <w:color w:val="FFFFFF" w:themeColor="background1"/>
                <w:sz w:val="20"/>
                <w:szCs w:val="20"/>
              </w:rPr>
              <w:t xml:space="preserve">) </w:t>
            </w:r>
            <w:proofErr w:type="spellStart"/>
            <w:r>
              <w:rPr>
                <w:rFonts w:ascii="Aptos" w:hAnsi="Aptos"/>
                <w:b/>
                <w:bCs/>
                <w:color w:val="FFFFFF" w:themeColor="background1"/>
                <w:sz w:val="20"/>
                <w:szCs w:val="20"/>
              </w:rPr>
              <w:t>CDRR</w:t>
            </w:r>
            <w:r w:rsidRPr="00D75259">
              <w:rPr>
                <w:rFonts w:ascii="Aptos" w:hAnsi="Aptos"/>
                <w:b/>
                <w:bCs/>
                <w:color w:val="FFFFFF" w:themeColor="background1"/>
                <w:sz w:val="20"/>
                <w:szCs w:val="20"/>
                <w:vertAlign w:val="subscript"/>
              </w:rPr>
              <w:t>child</w:t>
            </w:r>
            <w:proofErr w:type="spellEnd"/>
          </w:p>
        </w:tc>
        <w:tc>
          <w:tcPr>
            <w:tcW w:w="1332" w:type="dxa"/>
            <w:shd w:val="clear" w:color="auto" w:fill="156082" w:themeFill="accent1"/>
          </w:tcPr>
          <w:p w14:paraId="3113A3BC" w14:textId="77777777" w:rsidR="00F61D64"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Calculated (unrounded)</w:t>
            </w:r>
          </w:p>
          <w:p w14:paraId="597D2BAD" w14:textId="77777777" w:rsidR="00F61D64" w:rsidRDefault="00F61D64" w:rsidP="003A31ED">
            <w:pPr>
              <w:jc w:val="center"/>
              <w:rPr>
                <w:rFonts w:ascii="Aptos" w:hAnsi="Aptos"/>
                <w:b/>
                <w:bCs/>
                <w:color w:val="FFFFFF" w:themeColor="background1"/>
                <w:sz w:val="20"/>
                <w:szCs w:val="20"/>
              </w:rPr>
            </w:pPr>
            <w:proofErr w:type="spellStart"/>
            <w:r>
              <w:rPr>
                <w:rFonts w:ascii="Aptos" w:hAnsi="Aptos"/>
                <w:b/>
                <w:bCs/>
                <w:color w:val="FFFFFF" w:themeColor="background1"/>
                <w:sz w:val="20"/>
                <w:szCs w:val="20"/>
              </w:rPr>
              <w:t>UL</w:t>
            </w:r>
            <w:r w:rsidRPr="00AD3966">
              <w:rPr>
                <w:rFonts w:ascii="Aptos" w:hAnsi="Aptos"/>
                <w:b/>
                <w:bCs/>
                <w:color w:val="FFFFFF" w:themeColor="background1"/>
                <w:sz w:val="20"/>
                <w:szCs w:val="20"/>
                <w:vertAlign w:val="subscript"/>
              </w:rPr>
              <w:t>c</w:t>
            </w:r>
            <w:r w:rsidRPr="00D75259">
              <w:rPr>
                <w:rFonts w:ascii="Aptos" w:hAnsi="Aptos"/>
                <w:b/>
                <w:bCs/>
                <w:color w:val="FFFFFF" w:themeColor="background1"/>
                <w:sz w:val="20"/>
                <w:szCs w:val="20"/>
                <w:vertAlign w:val="subscript"/>
              </w:rPr>
              <w:t>hild</w:t>
            </w:r>
            <w:proofErr w:type="spellEnd"/>
          </w:p>
        </w:tc>
        <w:tc>
          <w:tcPr>
            <w:tcW w:w="1231" w:type="dxa"/>
            <w:shd w:val="clear" w:color="auto" w:fill="156082" w:themeFill="accent1"/>
          </w:tcPr>
          <w:p w14:paraId="32017785" w14:textId="77777777" w:rsidR="00F61D64"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Final</w:t>
            </w:r>
          </w:p>
          <w:p w14:paraId="7D5303D4" w14:textId="77777777" w:rsidR="00F61D64" w:rsidRDefault="00F61D64" w:rsidP="003A31ED">
            <w:pPr>
              <w:jc w:val="center"/>
              <w:rPr>
                <w:rFonts w:ascii="Aptos" w:hAnsi="Aptos"/>
                <w:b/>
                <w:bCs/>
                <w:color w:val="FFFFFF" w:themeColor="background1"/>
                <w:sz w:val="20"/>
                <w:szCs w:val="20"/>
              </w:rPr>
            </w:pPr>
            <w:r>
              <w:rPr>
                <w:rFonts w:ascii="Aptos" w:hAnsi="Aptos"/>
                <w:b/>
                <w:bCs/>
                <w:color w:val="FFFFFF" w:themeColor="background1"/>
                <w:sz w:val="20"/>
                <w:szCs w:val="20"/>
              </w:rPr>
              <w:t>(rounded)</w:t>
            </w:r>
          </w:p>
          <w:p w14:paraId="74C6C609" w14:textId="77777777" w:rsidR="00F61D64" w:rsidRDefault="00F61D64" w:rsidP="003A31ED">
            <w:pPr>
              <w:jc w:val="center"/>
              <w:rPr>
                <w:rFonts w:ascii="Aptos" w:hAnsi="Aptos"/>
                <w:b/>
                <w:bCs/>
                <w:color w:val="FFFFFF" w:themeColor="background1"/>
                <w:sz w:val="20"/>
                <w:szCs w:val="20"/>
              </w:rPr>
            </w:pPr>
            <w:proofErr w:type="spellStart"/>
            <w:r>
              <w:rPr>
                <w:rFonts w:ascii="Aptos" w:hAnsi="Aptos"/>
                <w:b/>
                <w:bCs/>
                <w:color w:val="FFFFFF" w:themeColor="background1"/>
                <w:sz w:val="20"/>
                <w:szCs w:val="20"/>
              </w:rPr>
              <w:t>UL</w:t>
            </w:r>
            <w:r w:rsidRPr="00AD3966">
              <w:rPr>
                <w:rFonts w:ascii="Aptos" w:hAnsi="Aptos"/>
                <w:b/>
                <w:bCs/>
                <w:color w:val="FFFFFF" w:themeColor="background1"/>
                <w:sz w:val="20"/>
                <w:szCs w:val="20"/>
                <w:vertAlign w:val="subscript"/>
              </w:rPr>
              <w:t>c</w:t>
            </w:r>
            <w:r w:rsidRPr="00D75259">
              <w:rPr>
                <w:rFonts w:ascii="Aptos" w:hAnsi="Aptos"/>
                <w:b/>
                <w:bCs/>
                <w:color w:val="FFFFFF" w:themeColor="background1"/>
                <w:sz w:val="20"/>
                <w:szCs w:val="20"/>
                <w:vertAlign w:val="subscript"/>
              </w:rPr>
              <w:t>hild</w:t>
            </w:r>
            <w:proofErr w:type="spellEnd"/>
          </w:p>
        </w:tc>
      </w:tr>
      <w:tr w:rsidR="00F61D64" w:rsidRPr="001B39CA" w14:paraId="4F2EE049" w14:textId="77777777" w:rsidTr="003A31ED">
        <w:trPr>
          <w:gridAfter w:val="1"/>
          <w:wAfter w:w="6" w:type="dxa"/>
        </w:trPr>
        <w:tc>
          <w:tcPr>
            <w:tcW w:w="1418" w:type="dxa"/>
          </w:tcPr>
          <w:p w14:paraId="3AED3D27" w14:textId="77777777" w:rsidR="00F61D64" w:rsidRPr="001B39CA" w:rsidRDefault="00F61D64" w:rsidP="003A31ED">
            <w:pPr>
              <w:rPr>
                <w:rFonts w:ascii="Aptos" w:hAnsi="Aptos"/>
                <w:sz w:val="20"/>
                <w:szCs w:val="20"/>
              </w:rPr>
            </w:pPr>
            <w:r w:rsidRPr="001B39CA">
              <w:rPr>
                <w:rFonts w:ascii="Aptos" w:hAnsi="Aptos"/>
                <w:sz w:val="20"/>
                <w:szCs w:val="20"/>
              </w:rPr>
              <w:t xml:space="preserve">1 to </w:t>
            </w:r>
            <w:r>
              <w:rPr>
                <w:rFonts w:ascii="Aptos" w:hAnsi="Aptos"/>
                <w:sz w:val="20"/>
                <w:szCs w:val="20"/>
              </w:rPr>
              <w:t>&lt;4</w:t>
            </w:r>
            <w:r w:rsidRPr="001B39CA">
              <w:rPr>
                <w:rFonts w:ascii="Aptos" w:hAnsi="Aptos"/>
                <w:sz w:val="20"/>
                <w:szCs w:val="20"/>
              </w:rPr>
              <w:t xml:space="preserve"> y</w:t>
            </w:r>
            <w:r>
              <w:rPr>
                <w:rFonts w:ascii="Aptos" w:hAnsi="Aptos"/>
                <w:sz w:val="20"/>
                <w:szCs w:val="20"/>
              </w:rPr>
              <w:t>r</w:t>
            </w:r>
          </w:p>
        </w:tc>
        <w:tc>
          <w:tcPr>
            <w:tcW w:w="1037" w:type="dxa"/>
            <w:vMerge w:val="restart"/>
            <w:vAlign w:val="center"/>
          </w:tcPr>
          <w:p w14:paraId="3A4FD670" w14:textId="77777777" w:rsidR="00F61D64" w:rsidRPr="001B39CA" w:rsidRDefault="00F61D64" w:rsidP="003A31ED">
            <w:pPr>
              <w:jc w:val="center"/>
              <w:rPr>
                <w:rFonts w:ascii="Aptos" w:hAnsi="Aptos"/>
                <w:sz w:val="20"/>
                <w:szCs w:val="20"/>
              </w:rPr>
            </w:pPr>
            <w:r>
              <w:rPr>
                <w:rFonts w:ascii="Aptos" w:hAnsi="Aptos"/>
                <w:sz w:val="20"/>
                <w:szCs w:val="20"/>
              </w:rPr>
              <w:t>2,000</w:t>
            </w:r>
          </w:p>
        </w:tc>
        <w:tc>
          <w:tcPr>
            <w:tcW w:w="1217" w:type="dxa"/>
            <w:vMerge w:val="restart"/>
            <w:vAlign w:val="center"/>
          </w:tcPr>
          <w:p w14:paraId="23E2554A" w14:textId="77777777" w:rsidR="00F61D64" w:rsidRPr="001B39CA" w:rsidRDefault="00F61D64" w:rsidP="003A31ED">
            <w:pPr>
              <w:jc w:val="center"/>
              <w:rPr>
                <w:rFonts w:ascii="Aptos" w:hAnsi="Aptos"/>
                <w:color w:val="000000"/>
                <w:sz w:val="20"/>
                <w:szCs w:val="20"/>
              </w:rPr>
            </w:pPr>
            <w:r>
              <w:rPr>
                <w:rFonts w:ascii="Aptos" w:hAnsi="Aptos"/>
                <w:color w:val="000000"/>
                <w:sz w:val="20"/>
                <w:szCs w:val="20"/>
              </w:rPr>
              <w:t>2,300</w:t>
            </w:r>
          </w:p>
        </w:tc>
        <w:tc>
          <w:tcPr>
            <w:tcW w:w="1143" w:type="dxa"/>
            <w:vMerge w:val="restart"/>
            <w:vAlign w:val="center"/>
          </w:tcPr>
          <w:p w14:paraId="3CEEC01D" w14:textId="77777777" w:rsidR="00F61D64" w:rsidRPr="001B39CA" w:rsidRDefault="00F61D64" w:rsidP="003A31ED">
            <w:pPr>
              <w:jc w:val="center"/>
              <w:rPr>
                <w:rFonts w:ascii="Aptos" w:hAnsi="Aptos"/>
                <w:color w:val="000000"/>
                <w:sz w:val="20"/>
                <w:szCs w:val="20"/>
              </w:rPr>
            </w:pPr>
            <w:r>
              <w:rPr>
                <w:rFonts w:ascii="Aptos" w:hAnsi="Aptos"/>
                <w:color w:val="000000"/>
                <w:sz w:val="20"/>
                <w:szCs w:val="20"/>
              </w:rPr>
              <w:t>2,300</w:t>
            </w:r>
          </w:p>
        </w:tc>
        <w:tc>
          <w:tcPr>
            <w:tcW w:w="880" w:type="dxa"/>
            <w:vAlign w:val="bottom"/>
          </w:tcPr>
          <w:p w14:paraId="2E4CF646" w14:textId="77777777" w:rsidR="00F61D64" w:rsidRPr="001B39CA" w:rsidRDefault="00F61D64" w:rsidP="003A31ED">
            <w:pPr>
              <w:jc w:val="center"/>
              <w:rPr>
                <w:rFonts w:ascii="Aptos" w:hAnsi="Aptos"/>
                <w:sz w:val="20"/>
                <w:szCs w:val="20"/>
              </w:rPr>
            </w:pPr>
            <w:r w:rsidRPr="001B39CA">
              <w:rPr>
                <w:rFonts w:ascii="Aptos" w:hAnsi="Aptos"/>
                <w:color w:val="000000"/>
                <w:sz w:val="20"/>
                <w:szCs w:val="20"/>
              </w:rPr>
              <w:t>4.4</w:t>
            </w:r>
          </w:p>
        </w:tc>
        <w:tc>
          <w:tcPr>
            <w:tcW w:w="857" w:type="dxa"/>
            <w:vMerge w:val="restart"/>
            <w:vAlign w:val="center"/>
          </w:tcPr>
          <w:p w14:paraId="599097D2" w14:textId="77777777" w:rsidR="00F61D64" w:rsidRPr="001B39CA" w:rsidRDefault="00F61D64" w:rsidP="003A31ED">
            <w:pPr>
              <w:jc w:val="center"/>
              <w:rPr>
                <w:rFonts w:ascii="Aptos" w:hAnsi="Aptos"/>
                <w:sz w:val="20"/>
                <w:szCs w:val="20"/>
              </w:rPr>
            </w:pPr>
            <w:r w:rsidRPr="001B39CA">
              <w:rPr>
                <w:rFonts w:ascii="Aptos" w:hAnsi="Aptos"/>
                <w:color w:val="000000"/>
                <w:sz w:val="20"/>
                <w:szCs w:val="20"/>
              </w:rPr>
              <w:t>10.3</w:t>
            </w:r>
          </w:p>
        </w:tc>
        <w:tc>
          <w:tcPr>
            <w:tcW w:w="1332" w:type="dxa"/>
            <w:vAlign w:val="bottom"/>
          </w:tcPr>
          <w:p w14:paraId="1B1D3C91" w14:textId="77777777" w:rsidR="00F61D64" w:rsidRPr="005D3224" w:rsidRDefault="00F61D64" w:rsidP="003A31ED">
            <w:pPr>
              <w:jc w:val="center"/>
              <w:rPr>
                <w:rFonts w:ascii="Aptos" w:hAnsi="Aptos"/>
                <w:color w:val="000000"/>
                <w:sz w:val="20"/>
                <w:szCs w:val="20"/>
              </w:rPr>
            </w:pPr>
            <w:r>
              <w:rPr>
                <w:rFonts w:ascii="Aptos" w:hAnsi="Aptos"/>
                <w:color w:val="000000"/>
                <w:sz w:val="20"/>
                <w:szCs w:val="20"/>
              </w:rPr>
              <w:t>848</w:t>
            </w:r>
          </w:p>
        </w:tc>
        <w:tc>
          <w:tcPr>
            <w:tcW w:w="1222" w:type="dxa"/>
            <w:shd w:val="clear" w:color="auto" w:fill="E8E8E8" w:themeFill="background2"/>
          </w:tcPr>
          <w:p w14:paraId="4BA94205" w14:textId="77777777" w:rsidR="00F61D64" w:rsidRPr="000E6A6C" w:rsidRDefault="00F61D64" w:rsidP="003A31ED">
            <w:pPr>
              <w:jc w:val="center"/>
              <w:rPr>
                <w:rFonts w:ascii="Aptos" w:hAnsi="Aptos"/>
                <w:b/>
                <w:bCs/>
                <w:color w:val="000000"/>
                <w:sz w:val="20"/>
                <w:szCs w:val="20"/>
              </w:rPr>
            </w:pPr>
            <w:r>
              <w:rPr>
                <w:rFonts w:ascii="Aptos" w:hAnsi="Aptos"/>
                <w:b/>
                <w:bCs/>
                <w:color w:val="000000"/>
                <w:sz w:val="20"/>
                <w:szCs w:val="20"/>
              </w:rPr>
              <w:t>950</w:t>
            </w:r>
          </w:p>
        </w:tc>
        <w:tc>
          <w:tcPr>
            <w:tcW w:w="1394" w:type="dxa"/>
          </w:tcPr>
          <w:p w14:paraId="37568E43" w14:textId="77777777" w:rsidR="00F61D64" w:rsidRPr="005D3224" w:rsidRDefault="00F61D64" w:rsidP="003A31ED">
            <w:pPr>
              <w:jc w:val="center"/>
              <w:rPr>
                <w:rFonts w:ascii="Aptos" w:hAnsi="Aptos"/>
                <w:color w:val="000000"/>
                <w:sz w:val="20"/>
                <w:szCs w:val="20"/>
              </w:rPr>
            </w:pPr>
            <w:r>
              <w:rPr>
                <w:rFonts w:ascii="Aptos" w:hAnsi="Aptos"/>
                <w:color w:val="000000"/>
                <w:sz w:val="20"/>
                <w:szCs w:val="20"/>
              </w:rPr>
              <w:t>975</w:t>
            </w:r>
          </w:p>
        </w:tc>
        <w:tc>
          <w:tcPr>
            <w:tcW w:w="1311" w:type="dxa"/>
            <w:shd w:val="clear" w:color="auto" w:fill="E8E8E8" w:themeFill="background2"/>
            <w:vAlign w:val="bottom"/>
          </w:tcPr>
          <w:p w14:paraId="0E9C6F05" w14:textId="77777777" w:rsidR="00F61D64" w:rsidRPr="000E6A6C" w:rsidRDefault="00F61D64" w:rsidP="003A31ED">
            <w:pPr>
              <w:jc w:val="center"/>
              <w:rPr>
                <w:rFonts w:ascii="Aptos" w:hAnsi="Aptos"/>
                <w:b/>
                <w:bCs/>
                <w:color w:val="000000"/>
                <w:sz w:val="20"/>
                <w:szCs w:val="20"/>
              </w:rPr>
            </w:pPr>
            <w:r>
              <w:rPr>
                <w:rFonts w:ascii="Aptos" w:hAnsi="Aptos"/>
                <w:b/>
                <w:bCs/>
                <w:color w:val="000000"/>
                <w:sz w:val="20"/>
                <w:szCs w:val="20"/>
              </w:rPr>
              <w:t>950</w:t>
            </w:r>
          </w:p>
        </w:tc>
        <w:tc>
          <w:tcPr>
            <w:tcW w:w="1332" w:type="dxa"/>
          </w:tcPr>
          <w:p w14:paraId="225BBBA8" w14:textId="77777777" w:rsidR="00F61D64" w:rsidRDefault="00F61D64" w:rsidP="003A31ED">
            <w:pPr>
              <w:jc w:val="center"/>
              <w:rPr>
                <w:rFonts w:ascii="Aptos" w:hAnsi="Aptos"/>
                <w:b/>
                <w:bCs/>
                <w:color w:val="000000"/>
                <w:sz w:val="20"/>
                <w:szCs w:val="20"/>
              </w:rPr>
            </w:pPr>
            <w:r>
              <w:rPr>
                <w:rFonts w:ascii="Aptos" w:hAnsi="Aptos"/>
                <w:color w:val="000000"/>
                <w:sz w:val="20"/>
                <w:szCs w:val="20"/>
              </w:rPr>
              <w:t>975</w:t>
            </w:r>
          </w:p>
        </w:tc>
        <w:tc>
          <w:tcPr>
            <w:tcW w:w="1231" w:type="dxa"/>
            <w:shd w:val="clear" w:color="auto" w:fill="E8E8E8" w:themeFill="background2"/>
          </w:tcPr>
          <w:p w14:paraId="343ACF49" w14:textId="77777777" w:rsidR="00F61D64" w:rsidRDefault="00F61D64" w:rsidP="003A31ED">
            <w:pPr>
              <w:jc w:val="center"/>
              <w:rPr>
                <w:rFonts w:ascii="Aptos" w:hAnsi="Aptos"/>
                <w:b/>
                <w:bCs/>
                <w:color w:val="000000"/>
                <w:sz w:val="20"/>
                <w:szCs w:val="20"/>
              </w:rPr>
            </w:pPr>
            <w:r>
              <w:rPr>
                <w:rFonts w:ascii="Aptos" w:hAnsi="Aptos"/>
                <w:b/>
                <w:bCs/>
                <w:color w:val="000000"/>
                <w:sz w:val="20"/>
                <w:szCs w:val="20"/>
              </w:rPr>
              <w:t>1,000</w:t>
            </w:r>
          </w:p>
        </w:tc>
      </w:tr>
      <w:tr w:rsidR="00F61D64" w:rsidRPr="001B39CA" w14:paraId="618B6CC1" w14:textId="77777777" w:rsidTr="003A31ED">
        <w:trPr>
          <w:gridAfter w:val="1"/>
          <w:wAfter w:w="6" w:type="dxa"/>
        </w:trPr>
        <w:tc>
          <w:tcPr>
            <w:tcW w:w="1418" w:type="dxa"/>
          </w:tcPr>
          <w:p w14:paraId="545F3645" w14:textId="77777777" w:rsidR="00F61D64" w:rsidRPr="001B39CA" w:rsidRDefault="00F61D64" w:rsidP="003A31ED">
            <w:pPr>
              <w:rPr>
                <w:rFonts w:ascii="Aptos" w:hAnsi="Aptos"/>
                <w:sz w:val="20"/>
                <w:szCs w:val="20"/>
              </w:rPr>
            </w:pPr>
            <w:r w:rsidRPr="001B39CA">
              <w:rPr>
                <w:rFonts w:ascii="Aptos" w:hAnsi="Aptos"/>
                <w:sz w:val="20"/>
                <w:szCs w:val="20"/>
              </w:rPr>
              <w:t xml:space="preserve">4 to </w:t>
            </w:r>
            <w:r>
              <w:rPr>
                <w:rFonts w:ascii="Aptos" w:hAnsi="Aptos"/>
                <w:sz w:val="20"/>
                <w:szCs w:val="20"/>
              </w:rPr>
              <w:t>&lt;</w:t>
            </w:r>
            <w:r w:rsidRPr="001B39CA">
              <w:rPr>
                <w:rFonts w:ascii="Aptos" w:hAnsi="Aptos"/>
                <w:sz w:val="20"/>
                <w:szCs w:val="20"/>
              </w:rPr>
              <w:t>9 y</w:t>
            </w:r>
            <w:r>
              <w:rPr>
                <w:rFonts w:ascii="Aptos" w:hAnsi="Aptos"/>
                <w:sz w:val="20"/>
                <w:szCs w:val="20"/>
              </w:rPr>
              <w:t>r</w:t>
            </w:r>
          </w:p>
        </w:tc>
        <w:tc>
          <w:tcPr>
            <w:tcW w:w="1037" w:type="dxa"/>
            <w:vMerge/>
            <w:vAlign w:val="center"/>
          </w:tcPr>
          <w:p w14:paraId="63B1E887" w14:textId="77777777" w:rsidR="00F61D64" w:rsidRPr="001B39CA" w:rsidRDefault="00F61D64" w:rsidP="003A31ED">
            <w:pPr>
              <w:rPr>
                <w:rFonts w:ascii="Aptos" w:hAnsi="Aptos"/>
                <w:sz w:val="20"/>
                <w:szCs w:val="20"/>
              </w:rPr>
            </w:pPr>
          </w:p>
        </w:tc>
        <w:tc>
          <w:tcPr>
            <w:tcW w:w="1217" w:type="dxa"/>
            <w:vMerge/>
            <w:vAlign w:val="center"/>
          </w:tcPr>
          <w:p w14:paraId="3B327FB9" w14:textId="77777777" w:rsidR="00F61D64" w:rsidRPr="001B39CA" w:rsidRDefault="00F61D64" w:rsidP="003A31ED">
            <w:pPr>
              <w:jc w:val="center"/>
              <w:rPr>
                <w:rFonts w:ascii="Aptos" w:hAnsi="Aptos"/>
                <w:color w:val="000000"/>
                <w:sz w:val="20"/>
                <w:szCs w:val="20"/>
              </w:rPr>
            </w:pPr>
          </w:p>
        </w:tc>
        <w:tc>
          <w:tcPr>
            <w:tcW w:w="1143" w:type="dxa"/>
            <w:vMerge/>
          </w:tcPr>
          <w:p w14:paraId="1B5ABFA4" w14:textId="77777777" w:rsidR="00F61D64" w:rsidRPr="001B39CA" w:rsidRDefault="00F61D64" w:rsidP="003A31ED">
            <w:pPr>
              <w:jc w:val="center"/>
              <w:rPr>
                <w:rFonts w:ascii="Aptos" w:hAnsi="Aptos"/>
                <w:color w:val="000000"/>
                <w:sz w:val="20"/>
                <w:szCs w:val="20"/>
              </w:rPr>
            </w:pPr>
          </w:p>
        </w:tc>
        <w:tc>
          <w:tcPr>
            <w:tcW w:w="880" w:type="dxa"/>
            <w:vAlign w:val="bottom"/>
          </w:tcPr>
          <w:p w14:paraId="0376AB7B" w14:textId="77777777" w:rsidR="00F61D64" w:rsidRPr="001B39CA" w:rsidRDefault="00F61D64" w:rsidP="003A31ED">
            <w:pPr>
              <w:jc w:val="center"/>
              <w:rPr>
                <w:rFonts w:ascii="Aptos" w:hAnsi="Aptos"/>
                <w:sz w:val="20"/>
                <w:szCs w:val="20"/>
              </w:rPr>
            </w:pPr>
            <w:r w:rsidRPr="001B39CA">
              <w:rPr>
                <w:rFonts w:ascii="Aptos" w:hAnsi="Aptos"/>
                <w:color w:val="000000"/>
                <w:sz w:val="20"/>
                <w:szCs w:val="20"/>
              </w:rPr>
              <w:t>6.4</w:t>
            </w:r>
          </w:p>
        </w:tc>
        <w:tc>
          <w:tcPr>
            <w:tcW w:w="857" w:type="dxa"/>
            <w:vMerge/>
            <w:vAlign w:val="bottom"/>
          </w:tcPr>
          <w:p w14:paraId="7A9D4A4C" w14:textId="77777777" w:rsidR="00F61D64" w:rsidRPr="001B39CA" w:rsidRDefault="00F61D64" w:rsidP="003A31ED">
            <w:pPr>
              <w:jc w:val="center"/>
              <w:rPr>
                <w:rFonts w:ascii="Aptos" w:hAnsi="Aptos"/>
                <w:sz w:val="20"/>
                <w:szCs w:val="20"/>
              </w:rPr>
            </w:pPr>
          </w:p>
        </w:tc>
        <w:tc>
          <w:tcPr>
            <w:tcW w:w="1332" w:type="dxa"/>
            <w:vAlign w:val="bottom"/>
          </w:tcPr>
          <w:p w14:paraId="7F3843C9" w14:textId="77777777" w:rsidR="00F61D64" w:rsidRPr="005D3224" w:rsidRDefault="00F61D64" w:rsidP="003A31ED">
            <w:pPr>
              <w:jc w:val="center"/>
              <w:rPr>
                <w:rFonts w:ascii="Aptos" w:hAnsi="Aptos"/>
                <w:color w:val="000000"/>
                <w:sz w:val="20"/>
                <w:szCs w:val="20"/>
              </w:rPr>
            </w:pPr>
            <w:r>
              <w:rPr>
                <w:rFonts w:ascii="Aptos" w:hAnsi="Aptos"/>
                <w:color w:val="000000"/>
                <w:sz w:val="20"/>
                <w:szCs w:val="20"/>
              </w:rPr>
              <w:t>1,237</w:t>
            </w:r>
          </w:p>
        </w:tc>
        <w:tc>
          <w:tcPr>
            <w:tcW w:w="1222" w:type="dxa"/>
            <w:shd w:val="clear" w:color="auto" w:fill="E8E8E8" w:themeFill="background2"/>
          </w:tcPr>
          <w:p w14:paraId="2C8D71BA" w14:textId="77777777" w:rsidR="00F61D64" w:rsidRPr="000E6A6C" w:rsidRDefault="00F61D64" w:rsidP="003A31ED">
            <w:pPr>
              <w:jc w:val="center"/>
              <w:rPr>
                <w:rFonts w:ascii="Aptos" w:hAnsi="Aptos"/>
                <w:b/>
                <w:bCs/>
                <w:color w:val="000000"/>
                <w:sz w:val="20"/>
                <w:szCs w:val="20"/>
              </w:rPr>
            </w:pPr>
            <w:r>
              <w:rPr>
                <w:rFonts w:ascii="Aptos" w:hAnsi="Aptos"/>
                <w:b/>
                <w:bCs/>
                <w:color w:val="000000"/>
                <w:sz w:val="20"/>
                <w:szCs w:val="20"/>
              </w:rPr>
              <w:t>1,250</w:t>
            </w:r>
          </w:p>
        </w:tc>
        <w:tc>
          <w:tcPr>
            <w:tcW w:w="1394" w:type="dxa"/>
          </w:tcPr>
          <w:p w14:paraId="4950C237" w14:textId="77777777" w:rsidR="00F61D64" w:rsidRPr="005D3224" w:rsidRDefault="00F61D64" w:rsidP="003A31ED">
            <w:pPr>
              <w:jc w:val="center"/>
              <w:rPr>
                <w:rFonts w:ascii="Aptos" w:hAnsi="Aptos"/>
                <w:color w:val="000000"/>
                <w:sz w:val="20"/>
                <w:szCs w:val="20"/>
              </w:rPr>
            </w:pPr>
            <w:r>
              <w:rPr>
                <w:rFonts w:ascii="Aptos" w:hAnsi="Aptos"/>
                <w:color w:val="000000"/>
                <w:sz w:val="20"/>
                <w:szCs w:val="20"/>
              </w:rPr>
              <w:t>1,422</w:t>
            </w:r>
          </w:p>
        </w:tc>
        <w:tc>
          <w:tcPr>
            <w:tcW w:w="1311" w:type="dxa"/>
            <w:shd w:val="clear" w:color="auto" w:fill="E8E8E8" w:themeFill="background2"/>
            <w:vAlign w:val="bottom"/>
          </w:tcPr>
          <w:p w14:paraId="3A37830F" w14:textId="77777777" w:rsidR="00F61D64" w:rsidRPr="000E6A6C" w:rsidRDefault="00F61D64" w:rsidP="003A31ED">
            <w:pPr>
              <w:jc w:val="center"/>
              <w:rPr>
                <w:rFonts w:ascii="Aptos" w:hAnsi="Aptos"/>
                <w:b/>
                <w:bCs/>
                <w:color w:val="000000"/>
                <w:sz w:val="20"/>
                <w:szCs w:val="20"/>
              </w:rPr>
            </w:pPr>
            <w:r>
              <w:rPr>
                <w:rFonts w:ascii="Aptos" w:hAnsi="Aptos"/>
                <w:b/>
                <w:bCs/>
                <w:color w:val="000000"/>
                <w:sz w:val="20"/>
                <w:szCs w:val="20"/>
              </w:rPr>
              <w:t>1,400</w:t>
            </w:r>
          </w:p>
        </w:tc>
        <w:tc>
          <w:tcPr>
            <w:tcW w:w="1332" w:type="dxa"/>
          </w:tcPr>
          <w:p w14:paraId="7EABB06F" w14:textId="77777777" w:rsidR="00F61D64" w:rsidRDefault="00F61D64" w:rsidP="003A31ED">
            <w:pPr>
              <w:jc w:val="center"/>
              <w:rPr>
                <w:rFonts w:ascii="Aptos" w:hAnsi="Aptos"/>
                <w:b/>
                <w:bCs/>
                <w:color w:val="000000"/>
                <w:sz w:val="20"/>
                <w:szCs w:val="20"/>
              </w:rPr>
            </w:pPr>
            <w:r>
              <w:rPr>
                <w:rFonts w:ascii="Aptos" w:hAnsi="Aptos"/>
                <w:color w:val="000000"/>
                <w:sz w:val="20"/>
                <w:szCs w:val="20"/>
              </w:rPr>
              <w:t>1,422</w:t>
            </w:r>
          </w:p>
        </w:tc>
        <w:tc>
          <w:tcPr>
            <w:tcW w:w="1231" w:type="dxa"/>
            <w:shd w:val="clear" w:color="auto" w:fill="E8E8E8" w:themeFill="background2"/>
          </w:tcPr>
          <w:p w14:paraId="1B9C984C" w14:textId="77777777" w:rsidR="00F61D64" w:rsidRDefault="00F61D64" w:rsidP="003A31ED">
            <w:pPr>
              <w:jc w:val="center"/>
              <w:rPr>
                <w:rFonts w:ascii="Aptos" w:hAnsi="Aptos"/>
                <w:b/>
                <w:bCs/>
                <w:color w:val="000000"/>
                <w:sz w:val="20"/>
                <w:szCs w:val="20"/>
              </w:rPr>
            </w:pPr>
            <w:r>
              <w:rPr>
                <w:rFonts w:ascii="Aptos" w:hAnsi="Aptos"/>
                <w:b/>
                <w:bCs/>
                <w:color w:val="000000"/>
                <w:sz w:val="20"/>
                <w:szCs w:val="20"/>
              </w:rPr>
              <w:t>1,400</w:t>
            </w:r>
          </w:p>
        </w:tc>
      </w:tr>
      <w:tr w:rsidR="00F61D64" w:rsidRPr="001B39CA" w14:paraId="27C02929" w14:textId="77777777" w:rsidTr="003A31ED">
        <w:trPr>
          <w:gridAfter w:val="1"/>
          <w:wAfter w:w="6" w:type="dxa"/>
        </w:trPr>
        <w:tc>
          <w:tcPr>
            <w:tcW w:w="1418" w:type="dxa"/>
          </w:tcPr>
          <w:p w14:paraId="3CD81D74" w14:textId="77777777" w:rsidR="00F61D64" w:rsidRPr="001B39CA" w:rsidRDefault="00F61D64" w:rsidP="003A31ED">
            <w:pPr>
              <w:rPr>
                <w:rFonts w:ascii="Aptos" w:hAnsi="Aptos"/>
                <w:sz w:val="20"/>
                <w:szCs w:val="20"/>
              </w:rPr>
            </w:pPr>
            <w:r w:rsidRPr="001B39CA">
              <w:rPr>
                <w:rFonts w:ascii="Aptos" w:hAnsi="Aptos"/>
                <w:sz w:val="20"/>
                <w:szCs w:val="20"/>
              </w:rPr>
              <w:t xml:space="preserve">9 to </w:t>
            </w:r>
            <w:r>
              <w:rPr>
                <w:rFonts w:ascii="Aptos" w:hAnsi="Aptos"/>
                <w:sz w:val="20"/>
                <w:szCs w:val="20"/>
              </w:rPr>
              <w:t>&lt;</w:t>
            </w:r>
            <w:r w:rsidRPr="001B39CA">
              <w:rPr>
                <w:rFonts w:ascii="Aptos" w:hAnsi="Aptos"/>
                <w:sz w:val="20"/>
                <w:szCs w:val="20"/>
              </w:rPr>
              <w:t>14 y</w:t>
            </w:r>
            <w:r>
              <w:rPr>
                <w:rFonts w:ascii="Aptos" w:hAnsi="Aptos"/>
                <w:sz w:val="20"/>
                <w:szCs w:val="20"/>
              </w:rPr>
              <w:t>r</w:t>
            </w:r>
          </w:p>
        </w:tc>
        <w:tc>
          <w:tcPr>
            <w:tcW w:w="1037" w:type="dxa"/>
            <w:vMerge/>
            <w:vAlign w:val="center"/>
          </w:tcPr>
          <w:p w14:paraId="49EEAFD9" w14:textId="77777777" w:rsidR="00F61D64" w:rsidRPr="001B39CA" w:rsidRDefault="00F61D64" w:rsidP="003A31ED">
            <w:pPr>
              <w:rPr>
                <w:rFonts w:ascii="Aptos" w:hAnsi="Aptos"/>
                <w:sz w:val="20"/>
                <w:szCs w:val="20"/>
              </w:rPr>
            </w:pPr>
          </w:p>
        </w:tc>
        <w:tc>
          <w:tcPr>
            <w:tcW w:w="1217" w:type="dxa"/>
            <w:vMerge/>
            <w:vAlign w:val="center"/>
          </w:tcPr>
          <w:p w14:paraId="64DD0753" w14:textId="77777777" w:rsidR="00F61D64" w:rsidRPr="001B39CA" w:rsidRDefault="00F61D64" w:rsidP="003A31ED">
            <w:pPr>
              <w:jc w:val="center"/>
              <w:rPr>
                <w:rFonts w:ascii="Aptos" w:hAnsi="Aptos"/>
                <w:color w:val="000000"/>
                <w:sz w:val="20"/>
                <w:szCs w:val="20"/>
              </w:rPr>
            </w:pPr>
          </w:p>
        </w:tc>
        <w:tc>
          <w:tcPr>
            <w:tcW w:w="1143" w:type="dxa"/>
            <w:vMerge/>
          </w:tcPr>
          <w:p w14:paraId="0E6EDFC9" w14:textId="77777777" w:rsidR="00F61D64" w:rsidRPr="001B39CA" w:rsidRDefault="00F61D64" w:rsidP="003A31ED">
            <w:pPr>
              <w:jc w:val="center"/>
              <w:rPr>
                <w:rFonts w:ascii="Aptos" w:hAnsi="Aptos"/>
                <w:color w:val="000000"/>
                <w:sz w:val="20"/>
                <w:szCs w:val="20"/>
              </w:rPr>
            </w:pPr>
          </w:p>
        </w:tc>
        <w:tc>
          <w:tcPr>
            <w:tcW w:w="880" w:type="dxa"/>
            <w:vAlign w:val="bottom"/>
          </w:tcPr>
          <w:p w14:paraId="4E8BD352" w14:textId="77777777" w:rsidR="00F61D64" w:rsidRPr="001B39CA" w:rsidRDefault="00F61D64" w:rsidP="003A31ED">
            <w:pPr>
              <w:jc w:val="center"/>
              <w:rPr>
                <w:rFonts w:ascii="Aptos" w:hAnsi="Aptos"/>
                <w:sz w:val="20"/>
                <w:szCs w:val="20"/>
              </w:rPr>
            </w:pPr>
            <w:r w:rsidRPr="001B39CA">
              <w:rPr>
                <w:rFonts w:ascii="Aptos" w:hAnsi="Aptos"/>
                <w:color w:val="000000"/>
                <w:sz w:val="20"/>
                <w:szCs w:val="20"/>
              </w:rPr>
              <w:t>9.0</w:t>
            </w:r>
          </w:p>
        </w:tc>
        <w:tc>
          <w:tcPr>
            <w:tcW w:w="857" w:type="dxa"/>
            <w:vMerge/>
            <w:vAlign w:val="bottom"/>
          </w:tcPr>
          <w:p w14:paraId="6536DE8F" w14:textId="77777777" w:rsidR="00F61D64" w:rsidRPr="001B39CA" w:rsidRDefault="00F61D64" w:rsidP="003A31ED">
            <w:pPr>
              <w:jc w:val="center"/>
              <w:rPr>
                <w:rFonts w:ascii="Aptos" w:hAnsi="Aptos"/>
                <w:sz w:val="20"/>
                <w:szCs w:val="20"/>
              </w:rPr>
            </w:pPr>
          </w:p>
        </w:tc>
        <w:tc>
          <w:tcPr>
            <w:tcW w:w="1332" w:type="dxa"/>
            <w:vAlign w:val="bottom"/>
          </w:tcPr>
          <w:p w14:paraId="0504F1C3" w14:textId="77777777" w:rsidR="00F61D64" w:rsidRPr="005D3224" w:rsidRDefault="00F61D64" w:rsidP="003A31ED">
            <w:pPr>
              <w:jc w:val="center"/>
              <w:rPr>
                <w:rFonts w:ascii="Aptos" w:hAnsi="Aptos"/>
                <w:color w:val="000000"/>
                <w:sz w:val="20"/>
                <w:szCs w:val="20"/>
              </w:rPr>
            </w:pPr>
            <w:r>
              <w:rPr>
                <w:rFonts w:ascii="Aptos" w:hAnsi="Aptos"/>
                <w:color w:val="000000"/>
                <w:sz w:val="20"/>
                <w:szCs w:val="20"/>
              </w:rPr>
              <w:t>1,741</w:t>
            </w:r>
          </w:p>
        </w:tc>
        <w:tc>
          <w:tcPr>
            <w:tcW w:w="1222" w:type="dxa"/>
            <w:shd w:val="clear" w:color="auto" w:fill="E8E8E8" w:themeFill="background2"/>
          </w:tcPr>
          <w:p w14:paraId="29BB8934" w14:textId="77777777" w:rsidR="00F61D64" w:rsidRPr="000E6A6C" w:rsidRDefault="00F61D64" w:rsidP="003A31ED">
            <w:pPr>
              <w:jc w:val="center"/>
              <w:rPr>
                <w:rFonts w:ascii="Aptos" w:hAnsi="Aptos"/>
                <w:b/>
                <w:bCs/>
                <w:color w:val="000000"/>
                <w:sz w:val="20"/>
                <w:szCs w:val="20"/>
              </w:rPr>
            </w:pPr>
            <w:r>
              <w:rPr>
                <w:rFonts w:ascii="Aptos" w:hAnsi="Aptos"/>
                <w:b/>
                <w:bCs/>
                <w:color w:val="000000"/>
                <w:sz w:val="20"/>
                <w:szCs w:val="20"/>
              </w:rPr>
              <w:t>1,750</w:t>
            </w:r>
          </w:p>
        </w:tc>
        <w:tc>
          <w:tcPr>
            <w:tcW w:w="1394" w:type="dxa"/>
          </w:tcPr>
          <w:p w14:paraId="1A8B4EAF" w14:textId="77777777" w:rsidR="00F61D64" w:rsidRPr="005D3224" w:rsidRDefault="00F61D64" w:rsidP="003A31ED">
            <w:pPr>
              <w:jc w:val="center"/>
              <w:rPr>
                <w:rFonts w:ascii="Aptos" w:hAnsi="Aptos"/>
                <w:color w:val="000000"/>
                <w:sz w:val="20"/>
                <w:szCs w:val="20"/>
              </w:rPr>
            </w:pPr>
            <w:r>
              <w:rPr>
                <w:rFonts w:ascii="Aptos" w:hAnsi="Aptos"/>
                <w:color w:val="000000"/>
                <w:sz w:val="20"/>
                <w:szCs w:val="20"/>
              </w:rPr>
              <w:t>2,003</w:t>
            </w:r>
          </w:p>
        </w:tc>
        <w:tc>
          <w:tcPr>
            <w:tcW w:w="1311" w:type="dxa"/>
            <w:shd w:val="clear" w:color="auto" w:fill="E8E8E8" w:themeFill="background2"/>
            <w:vAlign w:val="bottom"/>
          </w:tcPr>
          <w:p w14:paraId="6D564B4A" w14:textId="77777777" w:rsidR="00F61D64" w:rsidRPr="000E6A6C" w:rsidRDefault="00F61D64" w:rsidP="003A31ED">
            <w:pPr>
              <w:jc w:val="center"/>
              <w:rPr>
                <w:rFonts w:ascii="Aptos" w:hAnsi="Aptos"/>
                <w:b/>
                <w:bCs/>
                <w:color w:val="000000"/>
                <w:sz w:val="20"/>
                <w:szCs w:val="20"/>
              </w:rPr>
            </w:pPr>
            <w:r>
              <w:rPr>
                <w:rFonts w:ascii="Aptos" w:hAnsi="Aptos"/>
                <w:b/>
                <w:bCs/>
                <w:color w:val="000000"/>
                <w:sz w:val="20"/>
                <w:szCs w:val="20"/>
              </w:rPr>
              <w:t>2,00</w:t>
            </w:r>
            <w:r w:rsidRPr="000E6A6C">
              <w:rPr>
                <w:rFonts w:ascii="Aptos" w:hAnsi="Aptos"/>
                <w:b/>
                <w:bCs/>
                <w:color w:val="000000"/>
                <w:sz w:val="20"/>
                <w:szCs w:val="20"/>
              </w:rPr>
              <w:t>0</w:t>
            </w:r>
          </w:p>
        </w:tc>
        <w:tc>
          <w:tcPr>
            <w:tcW w:w="1332" w:type="dxa"/>
          </w:tcPr>
          <w:p w14:paraId="22934D2C" w14:textId="77777777" w:rsidR="00F61D64" w:rsidRDefault="00F61D64" w:rsidP="003A31ED">
            <w:pPr>
              <w:jc w:val="center"/>
              <w:rPr>
                <w:rFonts w:ascii="Aptos" w:hAnsi="Aptos"/>
                <w:b/>
                <w:bCs/>
                <w:color w:val="000000"/>
                <w:sz w:val="20"/>
                <w:szCs w:val="20"/>
              </w:rPr>
            </w:pPr>
            <w:r>
              <w:rPr>
                <w:rFonts w:ascii="Aptos" w:hAnsi="Aptos"/>
                <w:color w:val="000000"/>
                <w:sz w:val="20"/>
                <w:szCs w:val="20"/>
              </w:rPr>
              <w:t>2,003</w:t>
            </w:r>
          </w:p>
        </w:tc>
        <w:tc>
          <w:tcPr>
            <w:tcW w:w="1231" w:type="dxa"/>
            <w:shd w:val="clear" w:color="auto" w:fill="E8E8E8" w:themeFill="background2"/>
          </w:tcPr>
          <w:p w14:paraId="08044B0F" w14:textId="77777777" w:rsidR="00F61D64" w:rsidRDefault="00F61D64" w:rsidP="003A31ED">
            <w:pPr>
              <w:jc w:val="center"/>
              <w:rPr>
                <w:rFonts w:ascii="Aptos" w:hAnsi="Aptos"/>
                <w:b/>
                <w:bCs/>
                <w:color w:val="000000"/>
                <w:sz w:val="20"/>
                <w:szCs w:val="20"/>
              </w:rPr>
            </w:pPr>
            <w:r>
              <w:rPr>
                <w:rFonts w:ascii="Aptos" w:hAnsi="Aptos"/>
                <w:b/>
                <w:bCs/>
                <w:color w:val="000000"/>
                <w:sz w:val="20"/>
                <w:szCs w:val="20"/>
              </w:rPr>
              <w:t>2,000</w:t>
            </w:r>
          </w:p>
        </w:tc>
      </w:tr>
      <w:tr w:rsidR="00F61D64" w:rsidRPr="001B39CA" w14:paraId="48F204BC" w14:textId="77777777" w:rsidTr="003A31ED">
        <w:trPr>
          <w:gridAfter w:val="1"/>
          <w:wAfter w:w="6" w:type="dxa"/>
        </w:trPr>
        <w:tc>
          <w:tcPr>
            <w:tcW w:w="1418" w:type="dxa"/>
          </w:tcPr>
          <w:p w14:paraId="11F7D1E7" w14:textId="77777777" w:rsidR="00F61D64" w:rsidRPr="001B39CA" w:rsidRDefault="00F61D64" w:rsidP="003A31ED">
            <w:pPr>
              <w:rPr>
                <w:rFonts w:ascii="Aptos" w:hAnsi="Aptos"/>
                <w:sz w:val="20"/>
                <w:szCs w:val="20"/>
              </w:rPr>
            </w:pPr>
            <w:r w:rsidRPr="001B39CA">
              <w:rPr>
                <w:rFonts w:ascii="Aptos" w:hAnsi="Aptos"/>
                <w:sz w:val="20"/>
                <w:szCs w:val="20"/>
              </w:rPr>
              <w:t xml:space="preserve">14 to </w:t>
            </w:r>
            <w:r>
              <w:rPr>
                <w:rFonts w:ascii="Aptos" w:hAnsi="Aptos"/>
                <w:sz w:val="20"/>
                <w:szCs w:val="20"/>
              </w:rPr>
              <w:t>&lt;</w:t>
            </w:r>
            <w:r w:rsidRPr="001B39CA">
              <w:rPr>
                <w:rFonts w:ascii="Aptos" w:hAnsi="Aptos"/>
                <w:sz w:val="20"/>
                <w:szCs w:val="20"/>
              </w:rPr>
              <w:t>18 y</w:t>
            </w:r>
            <w:r>
              <w:rPr>
                <w:rFonts w:ascii="Aptos" w:hAnsi="Aptos"/>
                <w:sz w:val="20"/>
                <w:szCs w:val="20"/>
              </w:rPr>
              <w:t>r</w:t>
            </w:r>
          </w:p>
        </w:tc>
        <w:tc>
          <w:tcPr>
            <w:tcW w:w="1037" w:type="dxa"/>
            <w:vMerge/>
            <w:vAlign w:val="center"/>
          </w:tcPr>
          <w:p w14:paraId="6B3C53BF" w14:textId="77777777" w:rsidR="00F61D64" w:rsidRPr="001B39CA" w:rsidRDefault="00F61D64" w:rsidP="003A31ED">
            <w:pPr>
              <w:rPr>
                <w:rFonts w:ascii="Aptos" w:hAnsi="Aptos"/>
                <w:sz w:val="20"/>
                <w:szCs w:val="20"/>
              </w:rPr>
            </w:pPr>
          </w:p>
        </w:tc>
        <w:tc>
          <w:tcPr>
            <w:tcW w:w="1217" w:type="dxa"/>
            <w:vMerge/>
            <w:vAlign w:val="center"/>
          </w:tcPr>
          <w:p w14:paraId="0465B582" w14:textId="77777777" w:rsidR="00F61D64" w:rsidRPr="001B39CA" w:rsidRDefault="00F61D64" w:rsidP="003A31ED">
            <w:pPr>
              <w:jc w:val="center"/>
              <w:rPr>
                <w:rFonts w:ascii="Aptos" w:hAnsi="Aptos"/>
                <w:color w:val="000000"/>
                <w:sz w:val="20"/>
                <w:szCs w:val="20"/>
              </w:rPr>
            </w:pPr>
          </w:p>
        </w:tc>
        <w:tc>
          <w:tcPr>
            <w:tcW w:w="1143" w:type="dxa"/>
            <w:vMerge/>
          </w:tcPr>
          <w:p w14:paraId="4CF0FE17" w14:textId="77777777" w:rsidR="00F61D64" w:rsidRPr="001B39CA" w:rsidRDefault="00F61D64" w:rsidP="003A31ED">
            <w:pPr>
              <w:jc w:val="center"/>
              <w:rPr>
                <w:rFonts w:ascii="Aptos" w:hAnsi="Aptos"/>
                <w:color w:val="000000"/>
                <w:sz w:val="20"/>
                <w:szCs w:val="20"/>
              </w:rPr>
            </w:pPr>
          </w:p>
        </w:tc>
        <w:tc>
          <w:tcPr>
            <w:tcW w:w="880" w:type="dxa"/>
            <w:vAlign w:val="bottom"/>
          </w:tcPr>
          <w:p w14:paraId="5450853B" w14:textId="77777777" w:rsidR="00F61D64" w:rsidRPr="001B39CA" w:rsidRDefault="00F61D64" w:rsidP="003A31ED">
            <w:pPr>
              <w:jc w:val="center"/>
              <w:rPr>
                <w:rFonts w:ascii="Aptos" w:hAnsi="Aptos"/>
                <w:sz w:val="20"/>
                <w:szCs w:val="20"/>
              </w:rPr>
            </w:pPr>
            <w:r w:rsidRPr="001B39CA">
              <w:rPr>
                <w:rFonts w:ascii="Aptos" w:hAnsi="Aptos"/>
                <w:color w:val="000000"/>
                <w:sz w:val="20"/>
                <w:szCs w:val="20"/>
              </w:rPr>
              <w:t>11.1</w:t>
            </w:r>
          </w:p>
        </w:tc>
        <w:tc>
          <w:tcPr>
            <w:tcW w:w="857" w:type="dxa"/>
            <w:vMerge/>
            <w:vAlign w:val="bottom"/>
          </w:tcPr>
          <w:p w14:paraId="30141036" w14:textId="77777777" w:rsidR="00F61D64" w:rsidRPr="001B39CA" w:rsidRDefault="00F61D64" w:rsidP="003A31ED">
            <w:pPr>
              <w:jc w:val="center"/>
              <w:rPr>
                <w:rFonts w:ascii="Aptos" w:hAnsi="Aptos"/>
                <w:sz w:val="20"/>
                <w:szCs w:val="20"/>
              </w:rPr>
            </w:pPr>
          </w:p>
        </w:tc>
        <w:tc>
          <w:tcPr>
            <w:tcW w:w="1332" w:type="dxa"/>
            <w:vAlign w:val="bottom"/>
          </w:tcPr>
          <w:p w14:paraId="0CBEB10D" w14:textId="77777777" w:rsidR="00F61D64" w:rsidRPr="005D3224" w:rsidRDefault="00F61D64" w:rsidP="003A31ED">
            <w:pPr>
              <w:jc w:val="center"/>
              <w:rPr>
                <w:rFonts w:ascii="Aptos" w:hAnsi="Aptos"/>
                <w:color w:val="000000"/>
                <w:sz w:val="20"/>
                <w:szCs w:val="20"/>
              </w:rPr>
            </w:pPr>
            <w:r>
              <w:rPr>
                <w:rFonts w:ascii="Aptos" w:hAnsi="Aptos"/>
                <w:color w:val="000000"/>
                <w:sz w:val="20"/>
                <w:szCs w:val="20"/>
              </w:rPr>
              <w:t>2,154</w:t>
            </w:r>
          </w:p>
        </w:tc>
        <w:tc>
          <w:tcPr>
            <w:tcW w:w="1222" w:type="dxa"/>
            <w:shd w:val="clear" w:color="auto" w:fill="E8E8E8" w:themeFill="background2"/>
          </w:tcPr>
          <w:p w14:paraId="0A9AF380" w14:textId="77777777" w:rsidR="00F61D64" w:rsidRPr="000E6A6C" w:rsidRDefault="00F61D64" w:rsidP="003A31ED">
            <w:pPr>
              <w:jc w:val="center"/>
              <w:rPr>
                <w:rFonts w:ascii="Aptos" w:hAnsi="Aptos"/>
                <w:b/>
                <w:bCs/>
                <w:color w:val="000000"/>
                <w:sz w:val="20"/>
                <w:szCs w:val="20"/>
              </w:rPr>
            </w:pPr>
            <w:r>
              <w:rPr>
                <w:rFonts w:ascii="Aptos" w:hAnsi="Aptos"/>
                <w:b/>
                <w:bCs/>
                <w:color w:val="000000"/>
                <w:sz w:val="20"/>
                <w:szCs w:val="20"/>
              </w:rPr>
              <w:t>2,000</w:t>
            </w:r>
          </w:p>
        </w:tc>
        <w:tc>
          <w:tcPr>
            <w:tcW w:w="1394" w:type="dxa"/>
          </w:tcPr>
          <w:p w14:paraId="757C3CAE" w14:textId="77777777" w:rsidR="00F61D64" w:rsidRPr="005D3224" w:rsidRDefault="00F61D64" w:rsidP="003A31ED">
            <w:pPr>
              <w:jc w:val="center"/>
              <w:rPr>
                <w:rFonts w:ascii="Aptos" w:hAnsi="Aptos"/>
                <w:color w:val="000000"/>
                <w:sz w:val="20"/>
                <w:szCs w:val="20"/>
              </w:rPr>
            </w:pPr>
            <w:r>
              <w:rPr>
                <w:rFonts w:ascii="Aptos" w:hAnsi="Aptos"/>
                <w:color w:val="000000"/>
                <w:sz w:val="20"/>
                <w:szCs w:val="20"/>
              </w:rPr>
              <w:t>2,477</w:t>
            </w:r>
          </w:p>
        </w:tc>
        <w:tc>
          <w:tcPr>
            <w:tcW w:w="1311" w:type="dxa"/>
            <w:shd w:val="clear" w:color="auto" w:fill="E8E8E8" w:themeFill="background2"/>
            <w:vAlign w:val="bottom"/>
          </w:tcPr>
          <w:p w14:paraId="3A30CE7B" w14:textId="77777777" w:rsidR="00F61D64" w:rsidRPr="000E6A6C" w:rsidRDefault="00F61D64" w:rsidP="003A31ED">
            <w:pPr>
              <w:jc w:val="center"/>
              <w:rPr>
                <w:rFonts w:ascii="Aptos" w:hAnsi="Aptos"/>
                <w:b/>
                <w:bCs/>
                <w:color w:val="000000"/>
                <w:sz w:val="20"/>
                <w:szCs w:val="20"/>
              </w:rPr>
            </w:pPr>
            <w:r>
              <w:rPr>
                <w:rFonts w:ascii="Aptos" w:hAnsi="Aptos"/>
                <w:b/>
                <w:bCs/>
                <w:color w:val="000000"/>
                <w:sz w:val="20"/>
                <w:szCs w:val="20"/>
              </w:rPr>
              <w:t>2,3</w:t>
            </w:r>
            <w:r w:rsidRPr="000E6A6C">
              <w:rPr>
                <w:rFonts w:ascii="Aptos" w:hAnsi="Aptos"/>
                <w:b/>
                <w:bCs/>
                <w:color w:val="000000"/>
                <w:sz w:val="20"/>
                <w:szCs w:val="20"/>
              </w:rPr>
              <w:t>00</w:t>
            </w:r>
          </w:p>
        </w:tc>
        <w:tc>
          <w:tcPr>
            <w:tcW w:w="1332" w:type="dxa"/>
          </w:tcPr>
          <w:p w14:paraId="7D6E147B" w14:textId="77777777" w:rsidR="00F61D64" w:rsidRDefault="00F61D64" w:rsidP="003A31ED">
            <w:pPr>
              <w:jc w:val="center"/>
              <w:rPr>
                <w:rFonts w:ascii="Aptos" w:hAnsi="Aptos"/>
                <w:b/>
                <w:bCs/>
                <w:color w:val="000000"/>
                <w:sz w:val="20"/>
                <w:szCs w:val="20"/>
              </w:rPr>
            </w:pPr>
            <w:r>
              <w:rPr>
                <w:rFonts w:ascii="Aptos" w:hAnsi="Aptos"/>
                <w:color w:val="000000"/>
                <w:sz w:val="20"/>
                <w:szCs w:val="20"/>
              </w:rPr>
              <w:t>2,477</w:t>
            </w:r>
          </w:p>
        </w:tc>
        <w:tc>
          <w:tcPr>
            <w:tcW w:w="1231" w:type="dxa"/>
            <w:shd w:val="clear" w:color="auto" w:fill="E8E8E8" w:themeFill="background2"/>
          </w:tcPr>
          <w:p w14:paraId="03149DAF" w14:textId="77777777" w:rsidR="00F61D64" w:rsidRDefault="00F61D64" w:rsidP="003A31ED">
            <w:pPr>
              <w:jc w:val="center"/>
              <w:rPr>
                <w:rFonts w:ascii="Aptos" w:hAnsi="Aptos"/>
                <w:b/>
                <w:bCs/>
                <w:color w:val="000000"/>
                <w:sz w:val="20"/>
                <w:szCs w:val="20"/>
              </w:rPr>
            </w:pPr>
            <w:r>
              <w:rPr>
                <w:rFonts w:ascii="Aptos" w:hAnsi="Aptos"/>
                <w:b/>
                <w:bCs/>
                <w:color w:val="000000"/>
                <w:sz w:val="20"/>
                <w:szCs w:val="20"/>
              </w:rPr>
              <w:t>2,300</w:t>
            </w:r>
          </w:p>
        </w:tc>
      </w:tr>
      <w:tr w:rsidR="00F61D64" w:rsidRPr="001B39CA" w14:paraId="01127FA8" w14:textId="77777777" w:rsidTr="003A31ED">
        <w:tc>
          <w:tcPr>
            <w:tcW w:w="14380" w:type="dxa"/>
            <w:gridSpan w:val="13"/>
            <w:shd w:val="clear" w:color="auto" w:fill="E8E8E8" w:themeFill="background2"/>
          </w:tcPr>
          <w:p w14:paraId="07AC890D" w14:textId="77777777" w:rsidR="00F61D64" w:rsidRPr="000E6A6C" w:rsidRDefault="00F61D64" w:rsidP="003A31ED">
            <w:pPr>
              <w:rPr>
                <w:rFonts w:ascii="Aptos" w:hAnsi="Aptos"/>
                <w:b/>
                <w:bCs/>
                <w:color w:val="000000"/>
                <w:sz w:val="20"/>
                <w:szCs w:val="20"/>
              </w:rPr>
            </w:pPr>
            <w:r w:rsidRPr="000E6A6C">
              <w:rPr>
                <w:rFonts w:ascii="Aptos" w:hAnsi="Aptos"/>
                <w:b/>
                <w:bCs/>
                <w:color w:val="000000"/>
                <w:sz w:val="20"/>
                <w:szCs w:val="20"/>
              </w:rPr>
              <w:t>Alternative age groupings</w:t>
            </w:r>
          </w:p>
        </w:tc>
      </w:tr>
      <w:tr w:rsidR="00F61D64" w:rsidRPr="001B39CA" w14:paraId="41200D74" w14:textId="77777777" w:rsidTr="003A31ED">
        <w:trPr>
          <w:gridAfter w:val="1"/>
          <w:wAfter w:w="6" w:type="dxa"/>
        </w:trPr>
        <w:tc>
          <w:tcPr>
            <w:tcW w:w="1418" w:type="dxa"/>
          </w:tcPr>
          <w:p w14:paraId="3DB811E5" w14:textId="77777777" w:rsidR="00F61D64" w:rsidRPr="000A6FEA" w:rsidRDefault="00F61D64" w:rsidP="003A31ED">
            <w:pPr>
              <w:rPr>
                <w:rFonts w:ascii="Aptos" w:hAnsi="Aptos"/>
                <w:sz w:val="20"/>
                <w:szCs w:val="20"/>
              </w:rPr>
            </w:pPr>
            <w:r w:rsidRPr="000A6FEA">
              <w:rPr>
                <w:rFonts w:ascii="Aptos" w:hAnsi="Aptos"/>
                <w:sz w:val="20"/>
                <w:szCs w:val="20"/>
              </w:rPr>
              <w:t xml:space="preserve">12 to </w:t>
            </w:r>
            <w:r>
              <w:rPr>
                <w:rFonts w:ascii="Aptos" w:hAnsi="Aptos"/>
                <w:sz w:val="20"/>
                <w:szCs w:val="20"/>
              </w:rPr>
              <w:t>&lt;</w:t>
            </w:r>
            <w:r w:rsidRPr="000A6FEA">
              <w:rPr>
                <w:rFonts w:ascii="Aptos" w:hAnsi="Aptos"/>
                <w:sz w:val="20"/>
                <w:szCs w:val="20"/>
              </w:rPr>
              <w:t xml:space="preserve">24 </w:t>
            </w:r>
            <w:proofErr w:type="spellStart"/>
            <w:r w:rsidRPr="000A6FEA">
              <w:rPr>
                <w:rFonts w:ascii="Aptos" w:hAnsi="Aptos"/>
                <w:sz w:val="20"/>
                <w:szCs w:val="20"/>
              </w:rPr>
              <w:t>mo</w:t>
            </w:r>
            <w:proofErr w:type="spellEnd"/>
          </w:p>
        </w:tc>
        <w:tc>
          <w:tcPr>
            <w:tcW w:w="1037" w:type="dxa"/>
            <w:vMerge w:val="restart"/>
            <w:vAlign w:val="center"/>
          </w:tcPr>
          <w:p w14:paraId="59934B11" w14:textId="77777777" w:rsidR="00F61D64" w:rsidRPr="001B39CA" w:rsidRDefault="00F61D64" w:rsidP="003A31ED">
            <w:pPr>
              <w:jc w:val="center"/>
              <w:rPr>
                <w:rFonts w:ascii="Aptos" w:hAnsi="Aptos"/>
                <w:sz w:val="20"/>
                <w:szCs w:val="20"/>
              </w:rPr>
            </w:pPr>
            <w:r>
              <w:rPr>
                <w:rFonts w:ascii="Aptos" w:hAnsi="Aptos"/>
                <w:sz w:val="20"/>
                <w:szCs w:val="20"/>
              </w:rPr>
              <w:t>2,000</w:t>
            </w:r>
          </w:p>
        </w:tc>
        <w:tc>
          <w:tcPr>
            <w:tcW w:w="1217" w:type="dxa"/>
            <w:vMerge w:val="restart"/>
            <w:vAlign w:val="center"/>
          </w:tcPr>
          <w:p w14:paraId="02B3BE6B" w14:textId="77777777" w:rsidR="00F61D64" w:rsidRPr="001B39CA" w:rsidRDefault="00F61D64" w:rsidP="003A31ED">
            <w:pPr>
              <w:jc w:val="center"/>
              <w:rPr>
                <w:rFonts w:ascii="Aptos" w:hAnsi="Aptos"/>
                <w:sz w:val="20"/>
                <w:szCs w:val="20"/>
              </w:rPr>
            </w:pPr>
            <w:r>
              <w:rPr>
                <w:rFonts w:ascii="Aptos" w:hAnsi="Aptos"/>
                <w:color w:val="000000"/>
                <w:sz w:val="20"/>
                <w:szCs w:val="20"/>
              </w:rPr>
              <w:t>2,300</w:t>
            </w:r>
          </w:p>
        </w:tc>
        <w:tc>
          <w:tcPr>
            <w:tcW w:w="1143" w:type="dxa"/>
            <w:vMerge w:val="restart"/>
            <w:vAlign w:val="center"/>
          </w:tcPr>
          <w:p w14:paraId="449CD049" w14:textId="77777777" w:rsidR="00F61D64" w:rsidRDefault="00F61D64" w:rsidP="003A31ED">
            <w:pPr>
              <w:jc w:val="center"/>
              <w:rPr>
                <w:rFonts w:ascii="Aptos Narrow" w:hAnsi="Aptos Narrow"/>
                <w:color w:val="000000"/>
              </w:rPr>
            </w:pPr>
            <w:r>
              <w:rPr>
                <w:rFonts w:ascii="Aptos" w:hAnsi="Aptos"/>
                <w:color w:val="000000"/>
                <w:sz w:val="20"/>
                <w:szCs w:val="20"/>
              </w:rPr>
              <w:t>2,300</w:t>
            </w:r>
          </w:p>
        </w:tc>
        <w:tc>
          <w:tcPr>
            <w:tcW w:w="880" w:type="dxa"/>
            <w:vAlign w:val="bottom"/>
          </w:tcPr>
          <w:p w14:paraId="4EEF49F3" w14:textId="77777777" w:rsidR="00F61D64" w:rsidRPr="001B39CA" w:rsidRDefault="00F61D64" w:rsidP="003A31ED">
            <w:pPr>
              <w:jc w:val="center"/>
              <w:rPr>
                <w:rFonts w:ascii="Aptos" w:hAnsi="Aptos"/>
                <w:sz w:val="20"/>
                <w:szCs w:val="20"/>
              </w:rPr>
            </w:pPr>
            <w:r>
              <w:rPr>
                <w:rFonts w:ascii="Aptos Narrow" w:hAnsi="Aptos Narrow"/>
                <w:color w:val="000000"/>
              </w:rPr>
              <w:t>3.9</w:t>
            </w:r>
          </w:p>
        </w:tc>
        <w:tc>
          <w:tcPr>
            <w:tcW w:w="857" w:type="dxa"/>
            <w:vMerge w:val="restart"/>
            <w:vAlign w:val="center"/>
          </w:tcPr>
          <w:p w14:paraId="4CF4E06B" w14:textId="77777777" w:rsidR="00F61D64" w:rsidRPr="001B39CA" w:rsidRDefault="00F61D64" w:rsidP="003A31ED">
            <w:pPr>
              <w:jc w:val="center"/>
              <w:rPr>
                <w:rFonts w:ascii="Aptos" w:hAnsi="Aptos"/>
                <w:sz w:val="20"/>
                <w:szCs w:val="20"/>
              </w:rPr>
            </w:pPr>
            <w:r w:rsidRPr="001B39CA">
              <w:rPr>
                <w:rFonts w:ascii="Aptos" w:hAnsi="Aptos"/>
                <w:color w:val="000000"/>
                <w:sz w:val="20"/>
                <w:szCs w:val="20"/>
              </w:rPr>
              <w:t>10.3</w:t>
            </w:r>
          </w:p>
        </w:tc>
        <w:tc>
          <w:tcPr>
            <w:tcW w:w="1332" w:type="dxa"/>
            <w:vAlign w:val="bottom"/>
          </w:tcPr>
          <w:p w14:paraId="69524D59" w14:textId="77777777" w:rsidR="00F61D64" w:rsidRPr="0098058F" w:rsidRDefault="00F61D64" w:rsidP="003A31ED">
            <w:pPr>
              <w:jc w:val="center"/>
              <w:rPr>
                <w:rFonts w:ascii="Aptos" w:hAnsi="Aptos"/>
                <w:color w:val="000000"/>
                <w:sz w:val="20"/>
                <w:szCs w:val="20"/>
              </w:rPr>
            </w:pPr>
            <w:r>
              <w:rPr>
                <w:rFonts w:ascii="Aptos" w:hAnsi="Aptos"/>
                <w:color w:val="000000"/>
                <w:sz w:val="20"/>
                <w:szCs w:val="20"/>
              </w:rPr>
              <w:t>750</w:t>
            </w:r>
          </w:p>
        </w:tc>
        <w:tc>
          <w:tcPr>
            <w:tcW w:w="1222" w:type="dxa"/>
            <w:shd w:val="clear" w:color="auto" w:fill="E8E8E8" w:themeFill="background2"/>
          </w:tcPr>
          <w:p w14:paraId="156E3F6D" w14:textId="77777777" w:rsidR="00F61D64" w:rsidRPr="000E6A6C" w:rsidRDefault="00F61D64" w:rsidP="003A31ED">
            <w:pPr>
              <w:jc w:val="center"/>
              <w:rPr>
                <w:rFonts w:ascii="Aptos" w:hAnsi="Aptos"/>
                <w:b/>
                <w:bCs/>
                <w:sz w:val="20"/>
                <w:szCs w:val="20"/>
              </w:rPr>
            </w:pPr>
            <w:r>
              <w:rPr>
                <w:rFonts w:ascii="Aptos" w:hAnsi="Aptos"/>
                <w:b/>
                <w:bCs/>
                <w:sz w:val="20"/>
                <w:szCs w:val="20"/>
              </w:rPr>
              <w:t>850</w:t>
            </w:r>
          </w:p>
        </w:tc>
        <w:tc>
          <w:tcPr>
            <w:tcW w:w="1394" w:type="dxa"/>
            <w:vAlign w:val="bottom"/>
          </w:tcPr>
          <w:p w14:paraId="4184083F" w14:textId="77777777" w:rsidR="00F61D64" w:rsidRPr="00327EDA" w:rsidRDefault="00F61D64" w:rsidP="003A31ED">
            <w:pPr>
              <w:jc w:val="center"/>
              <w:rPr>
                <w:rFonts w:ascii="Aptos" w:hAnsi="Aptos"/>
                <w:color w:val="000000"/>
                <w:sz w:val="20"/>
                <w:szCs w:val="20"/>
              </w:rPr>
            </w:pPr>
            <w:r>
              <w:rPr>
                <w:rFonts w:ascii="Aptos" w:hAnsi="Aptos"/>
                <w:color w:val="000000"/>
                <w:sz w:val="20"/>
                <w:szCs w:val="20"/>
              </w:rPr>
              <w:t>862</w:t>
            </w:r>
          </w:p>
        </w:tc>
        <w:tc>
          <w:tcPr>
            <w:tcW w:w="1311" w:type="dxa"/>
            <w:shd w:val="clear" w:color="auto" w:fill="E8E8E8" w:themeFill="background2"/>
            <w:vAlign w:val="bottom"/>
          </w:tcPr>
          <w:p w14:paraId="013D35F4" w14:textId="77777777" w:rsidR="00F61D64" w:rsidRPr="000E6A6C" w:rsidRDefault="00F61D64" w:rsidP="003A31ED">
            <w:pPr>
              <w:jc w:val="center"/>
              <w:rPr>
                <w:rFonts w:ascii="Aptos" w:hAnsi="Aptos"/>
                <w:b/>
                <w:bCs/>
                <w:color w:val="000000"/>
                <w:sz w:val="20"/>
                <w:szCs w:val="20"/>
              </w:rPr>
            </w:pPr>
            <w:r>
              <w:rPr>
                <w:rFonts w:ascii="Aptos" w:hAnsi="Aptos"/>
                <w:b/>
                <w:bCs/>
                <w:color w:val="000000"/>
                <w:sz w:val="20"/>
                <w:szCs w:val="20"/>
              </w:rPr>
              <w:t>850</w:t>
            </w:r>
          </w:p>
        </w:tc>
        <w:tc>
          <w:tcPr>
            <w:tcW w:w="1332" w:type="dxa"/>
            <w:vAlign w:val="bottom"/>
          </w:tcPr>
          <w:p w14:paraId="244B75AF" w14:textId="77777777" w:rsidR="00F61D64" w:rsidRDefault="00F61D64" w:rsidP="003A31ED">
            <w:pPr>
              <w:jc w:val="center"/>
              <w:rPr>
                <w:rFonts w:ascii="Aptos" w:hAnsi="Aptos"/>
                <w:b/>
                <w:bCs/>
                <w:color w:val="000000"/>
                <w:sz w:val="20"/>
                <w:szCs w:val="20"/>
              </w:rPr>
            </w:pPr>
            <w:r>
              <w:rPr>
                <w:rFonts w:ascii="Aptos" w:hAnsi="Aptos"/>
                <w:color w:val="000000"/>
                <w:sz w:val="20"/>
                <w:szCs w:val="20"/>
              </w:rPr>
              <w:t>862</w:t>
            </w:r>
          </w:p>
        </w:tc>
        <w:tc>
          <w:tcPr>
            <w:tcW w:w="1231" w:type="dxa"/>
            <w:shd w:val="clear" w:color="auto" w:fill="E8E8E8" w:themeFill="background2"/>
          </w:tcPr>
          <w:p w14:paraId="7DEE7C36" w14:textId="77777777" w:rsidR="00F61D64" w:rsidRDefault="00F61D64" w:rsidP="003A31ED">
            <w:pPr>
              <w:jc w:val="center"/>
              <w:rPr>
                <w:rFonts w:ascii="Aptos" w:hAnsi="Aptos"/>
                <w:b/>
                <w:bCs/>
                <w:color w:val="000000"/>
                <w:sz w:val="20"/>
                <w:szCs w:val="20"/>
              </w:rPr>
            </w:pPr>
            <w:r>
              <w:rPr>
                <w:rFonts w:ascii="Aptos" w:hAnsi="Aptos"/>
                <w:b/>
                <w:bCs/>
                <w:color w:val="000000"/>
                <w:sz w:val="20"/>
                <w:szCs w:val="20"/>
              </w:rPr>
              <w:t>850</w:t>
            </w:r>
          </w:p>
        </w:tc>
      </w:tr>
      <w:tr w:rsidR="00F61D64" w:rsidRPr="001B39CA" w14:paraId="3D66C010" w14:textId="77777777" w:rsidTr="003A31ED">
        <w:trPr>
          <w:gridAfter w:val="1"/>
          <w:wAfter w:w="6" w:type="dxa"/>
        </w:trPr>
        <w:tc>
          <w:tcPr>
            <w:tcW w:w="1418" w:type="dxa"/>
          </w:tcPr>
          <w:p w14:paraId="05B0F7AE" w14:textId="77777777" w:rsidR="00F61D64" w:rsidRPr="000A6FEA" w:rsidRDefault="00F61D64" w:rsidP="003A31ED">
            <w:pPr>
              <w:rPr>
                <w:rFonts w:ascii="Aptos" w:hAnsi="Aptos"/>
                <w:sz w:val="20"/>
                <w:szCs w:val="20"/>
              </w:rPr>
            </w:pPr>
            <w:r w:rsidRPr="000A6FEA">
              <w:rPr>
                <w:rFonts w:ascii="Aptos" w:hAnsi="Aptos"/>
                <w:sz w:val="20"/>
                <w:szCs w:val="20"/>
              </w:rPr>
              <w:t xml:space="preserve">2 to </w:t>
            </w:r>
            <w:r>
              <w:rPr>
                <w:rFonts w:ascii="Aptos" w:hAnsi="Aptos"/>
                <w:sz w:val="20"/>
                <w:szCs w:val="20"/>
              </w:rPr>
              <w:t>&lt;</w:t>
            </w:r>
            <w:r w:rsidRPr="000A6FEA">
              <w:rPr>
                <w:rFonts w:ascii="Aptos" w:hAnsi="Aptos"/>
                <w:sz w:val="20"/>
                <w:szCs w:val="20"/>
              </w:rPr>
              <w:t>5 y</w:t>
            </w:r>
            <w:r>
              <w:rPr>
                <w:rFonts w:ascii="Aptos" w:hAnsi="Aptos"/>
                <w:sz w:val="20"/>
                <w:szCs w:val="20"/>
              </w:rPr>
              <w:t>r</w:t>
            </w:r>
          </w:p>
        </w:tc>
        <w:tc>
          <w:tcPr>
            <w:tcW w:w="1037" w:type="dxa"/>
            <w:vMerge/>
          </w:tcPr>
          <w:p w14:paraId="711A8E32" w14:textId="77777777" w:rsidR="00F61D64" w:rsidRPr="001B39CA" w:rsidRDefault="00F61D64" w:rsidP="003A31ED">
            <w:pPr>
              <w:jc w:val="center"/>
              <w:rPr>
                <w:rFonts w:ascii="Aptos" w:hAnsi="Aptos"/>
                <w:sz w:val="20"/>
                <w:szCs w:val="20"/>
              </w:rPr>
            </w:pPr>
          </w:p>
        </w:tc>
        <w:tc>
          <w:tcPr>
            <w:tcW w:w="1217" w:type="dxa"/>
            <w:vMerge/>
          </w:tcPr>
          <w:p w14:paraId="22CE1904" w14:textId="77777777" w:rsidR="00F61D64" w:rsidRPr="001B39CA" w:rsidRDefault="00F61D64" w:rsidP="003A31ED">
            <w:pPr>
              <w:jc w:val="center"/>
              <w:rPr>
                <w:rFonts w:ascii="Aptos" w:hAnsi="Aptos"/>
                <w:sz w:val="20"/>
                <w:szCs w:val="20"/>
              </w:rPr>
            </w:pPr>
          </w:p>
        </w:tc>
        <w:tc>
          <w:tcPr>
            <w:tcW w:w="1143" w:type="dxa"/>
            <w:vMerge/>
            <w:vAlign w:val="center"/>
          </w:tcPr>
          <w:p w14:paraId="57A263E0" w14:textId="77777777" w:rsidR="00F61D64" w:rsidRDefault="00F61D64" w:rsidP="003A31ED">
            <w:pPr>
              <w:jc w:val="center"/>
              <w:rPr>
                <w:rFonts w:ascii="Aptos Narrow" w:hAnsi="Aptos Narrow"/>
                <w:color w:val="000000"/>
              </w:rPr>
            </w:pPr>
          </w:p>
        </w:tc>
        <w:tc>
          <w:tcPr>
            <w:tcW w:w="880" w:type="dxa"/>
            <w:vAlign w:val="bottom"/>
          </w:tcPr>
          <w:p w14:paraId="0BDE75C6" w14:textId="77777777" w:rsidR="00F61D64" w:rsidRPr="001B39CA" w:rsidRDefault="00F61D64" w:rsidP="003A31ED">
            <w:pPr>
              <w:jc w:val="center"/>
              <w:rPr>
                <w:rFonts w:ascii="Aptos" w:hAnsi="Aptos"/>
                <w:sz w:val="20"/>
                <w:szCs w:val="20"/>
              </w:rPr>
            </w:pPr>
            <w:r>
              <w:rPr>
                <w:rFonts w:ascii="Aptos Narrow" w:hAnsi="Aptos Narrow"/>
                <w:color w:val="000000"/>
              </w:rPr>
              <w:t>5.2</w:t>
            </w:r>
          </w:p>
        </w:tc>
        <w:tc>
          <w:tcPr>
            <w:tcW w:w="857" w:type="dxa"/>
            <w:vMerge/>
            <w:vAlign w:val="center"/>
          </w:tcPr>
          <w:p w14:paraId="7058E7E5" w14:textId="77777777" w:rsidR="00F61D64" w:rsidRPr="001B39CA" w:rsidRDefault="00F61D64" w:rsidP="003A31ED">
            <w:pPr>
              <w:jc w:val="center"/>
              <w:rPr>
                <w:rFonts w:ascii="Aptos" w:hAnsi="Aptos"/>
                <w:sz w:val="20"/>
                <w:szCs w:val="20"/>
              </w:rPr>
            </w:pPr>
          </w:p>
        </w:tc>
        <w:tc>
          <w:tcPr>
            <w:tcW w:w="1332" w:type="dxa"/>
            <w:vAlign w:val="bottom"/>
          </w:tcPr>
          <w:p w14:paraId="1DC53A86" w14:textId="77777777" w:rsidR="00F61D64" w:rsidRPr="0098058F" w:rsidRDefault="00F61D64" w:rsidP="003A31ED">
            <w:pPr>
              <w:jc w:val="center"/>
              <w:rPr>
                <w:rFonts w:ascii="Aptos" w:hAnsi="Aptos"/>
                <w:color w:val="000000"/>
                <w:sz w:val="20"/>
                <w:szCs w:val="20"/>
              </w:rPr>
            </w:pPr>
            <w:r>
              <w:rPr>
                <w:rFonts w:ascii="Aptos" w:hAnsi="Aptos"/>
                <w:color w:val="000000"/>
                <w:sz w:val="20"/>
                <w:szCs w:val="20"/>
              </w:rPr>
              <w:t>1,000</w:t>
            </w:r>
          </w:p>
        </w:tc>
        <w:tc>
          <w:tcPr>
            <w:tcW w:w="1222" w:type="dxa"/>
            <w:shd w:val="clear" w:color="auto" w:fill="E8E8E8" w:themeFill="background2"/>
          </w:tcPr>
          <w:p w14:paraId="3262E3BF" w14:textId="77777777" w:rsidR="00F61D64" w:rsidRPr="000E6A6C" w:rsidRDefault="00F61D64" w:rsidP="003A31ED">
            <w:pPr>
              <w:jc w:val="center"/>
              <w:rPr>
                <w:rFonts w:ascii="Aptos" w:hAnsi="Aptos"/>
                <w:b/>
                <w:bCs/>
                <w:sz w:val="20"/>
                <w:szCs w:val="20"/>
              </w:rPr>
            </w:pPr>
            <w:r>
              <w:rPr>
                <w:rFonts w:ascii="Aptos" w:hAnsi="Aptos"/>
                <w:b/>
                <w:bCs/>
                <w:sz w:val="20"/>
                <w:szCs w:val="20"/>
              </w:rPr>
              <w:t>1,100</w:t>
            </w:r>
          </w:p>
        </w:tc>
        <w:tc>
          <w:tcPr>
            <w:tcW w:w="1394" w:type="dxa"/>
            <w:vAlign w:val="bottom"/>
          </w:tcPr>
          <w:p w14:paraId="16C7F1A7" w14:textId="77777777" w:rsidR="00F61D64" w:rsidRPr="00327EDA" w:rsidRDefault="00F61D64" w:rsidP="003A31ED">
            <w:pPr>
              <w:jc w:val="center"/>
              <w:rPr>
                <w:rFonts w:ascii="Aptos" w:hAnsi="Aptos"/>
                <w:color w:val="000000"/>
                <w:sz w:val="20"/>
                <w:szCs w:val="20"/>
              </w:rPr>
            </w:pPr>
            <w:r>
              <w:rPr>
                <w:rFonts w:ascii="Aptos" w:hAnsi="Aptos"/>
                <w:color w:val="000000"/>
                <w:sz w:val="20"/>
                <w:szCs w:val="20"/>
              </w:rPr>
              <w:t>1,150</w:t>
            </w:r>
          </w:p>
        </w:tc>
        <w:tc>
          <w:tcPr>
            <w:tcW w:w="1311" w:type="dxa"/>
            <w:shd w:val="clear" w:color="auto" w:fill="E8E8E8" w:themeFill="background2"/>
            <w:vAlign w:val="bottom"/>
          </w:tcPr>
          <w:p w14:paraId="0F8E504A" w14:textId="77777777" w:rsidR="00F61D64" w:rsidRPr="000E6A6C" w:rsidRDefault="00F61D64" w:rsidP="003A31ED">
            <w:pPr>
              <w:jc w:val="center"/>
              <w:rPr>
                <w:rFonts w:ascii="Aptos" w:hAnsi="Aptos"/>
                <w:b/>
                <w:bCs/>
                <w:color w:val="000000"/>
                <w:sz w:val="20"/>
                <w:szCs w:val="20"/>
              </w:rPr>
            </w:pPr>
            <w:r>
              <w:rPr>
                <w:rFonts w:ascii="Aptos" w:hAnsi="Aptos"/>
                <w:b/>
                <w:bCs/>
                <w:color w:val="000000"/>
                <w:sz w:val="20"/>
                <w:szCs w:val="20"/>
              </w:rPr>
              <w:t>1,150</w:t>
            </w:r>
          </w:p>
        </w:tc>
        <w:tc>
          <w:tcPr>
            <w:tcW w:w="1332" w:type="dxa"/>
            <w:vAlign w:val="bottom"/>
          </w:tcPr>
          <w:p w14:paraId="61AAD855" w14:textId="77777777" w:rsidR="00F61D64" w:rsidRDefault="00F61D64" w:rsidP="003A31ED">
            <w:pPr>
              <w:jc w:val="center"/>
              <w:rPr>
                <w:rFonts w:ascii="Aptos" w:hAnsi="Aptos"/>
                <w:b/>
                <w:bCs/>
                <w:color w:val="000000"/>
                <w:sz w:val="20"/>
                <w:szCs w:val="20"/>
              </w:rPr>
            </w:pPr>
            <w:r>
              <w:rPr>
                <w:rFonts w:ascii="Aptos" w:hAnsi="Aptos"/>
                <w:color w:val="000000"/>
                <w:sz w:val="20"/>
                <w:szCs w:val="20"/>
              </w:rPr>
              <w:t>1,150</w:t>
            </w:r>
          </w:p>
        </w:tc>
        <w:tc>
          <w:tcPr>
            <w:tcW w:w="1231" w:type="dxa"/>
            <w:shd w:val="clear" w:color="auto" w:fill="E8E8E8" w:themeFill="background2"/>
          </w:tcPr>
          <w:p w14:paraId="723A3095" w14:textId="77777777" w:rsidR="00F61D64" w:rsidRDefault="00F61D64" w:rsidP="003A31ED">
            <w:pPr>
              <w:jc w:val="center"/>
              <w:rPr>
                <w:rFonts w:ascii="Aptos" w:hAnsi="Aptos"/>
                <w:b/>
                <w:bCs/>
                <w:color w:val="000000"/>
                <w:sz w:val="20"/>
                <w:szCs w:val="20"/>
              </w:rPr>
            </w:pPr>
            <w:r>
              <w:rPr>
                <w:rFonts w:ascii="Aptos" w:hAnsi="Aptos"/>
                <w:b/>
                <w:bCs/>
                <w:color w:val="000000"/>
                <w:sz w:val="20"/>
                <w:szCs w:val="20"/>
              </w:rPr>
              <w:t>1,150</w:t>
            </w:r>
          </w:p>
        </w:tc>
      </w:tr>
      <w:tr w:rsidR="00F61D64" w:rsidRPr="001B39CA" w14:paraId="262B3B6D" w14:textId="77777777" w:rsidTr="003A31ED">
        <w:trPr>
          <w:gridAfter w:val="1"/>
          <w:wAfter w:w="6" w:type="dxa"/>
        </w:trPr>
        <w:tc>
          <w:tcPr>
            <w:tcW w:w="1418" w:type="dxa"/>
          </w:tcPr>
          <w:p w14:paraId="29E2EA13" w14:textId="77777777" w:rsidR="00F61D64" w:rsidRPr="000A6FEA" w:rsidRDefault="00F61D64" w:rsidP="003A31ED">
            <w:pPr>
              <w:rPr>
                <w:rFonts w:ascii="Aptos" w:hAnsi="Aptos"/>
                <w:sz w:val="20"/>
                <w:szCs w:val="20"/>
              </w:rPr>
            </w:pPr>
            <w:r w:rsidRPr="000A6FEA">
              <w:rPr>
                <w:rFonts w:ascii="Aptos" w:hAnsi="Aptos"/>
                <w:sz w:val="20"/>
                <w:szCs w:val="20"/>
              </w:rPr>
              <w:t xml:space="preserve">5 to </w:t>
            </w:r>
            <w:r>
              <w:rPr>
                <w:rFonts w:ascii="Aptos" w:hAnsi="Aptos"/>
                <w:sz w:val="20"/>
                <w:szCs w:val="20"/>
              </w:rPr>
              <w:t>&lt;</w:t>
            </w:r>
            <w:r w:rsidRPr="000A6FEA">
              <w:rPr>
                <w:rFonts w:ascii="Aptos" w:hAnsi="Aptos"/>
                <w:sz w:val="20"/>
                <w:szCs w:val="20"/>
              </w:rPr>
              <w:t>12 y</w:t>
            </w:r>
            <w:r>
              <w:rPr>
                <w:rFonts w:ascii="Aptos" w:hAnsi="Aptos"/>
                <w:sz w:val="20"/>
                <w:szCs w:val="20"/>
              </w:rPr>
              <w:t>r</w:t>
            </w:r>
          </w:p>
        </w:tc>
        <w:tc>
          <w:tcPr>
            <w:tcW w:w="1037" w:type="dxa"/>
            <w:vMerge/>
          </w:tcPr>
          <w:p w14:paraId="013AA097" w14:textId="77777777" w:rsidR="00F61D64" w:rsidRPr="001B39CA" w:rsidRDefault="00F61D64" w:rsidP="003A31ED">
            <w:pPr>
              <w:jc w:val="center"/>
              <w:rPr>
                <w:rFonts w:ascii="Aptos" w:hAnsi="Aptos"/>
                <w:sz w:val="20"/>
                <w:szCs w:val="20"/>
              </w:rPr>
            </w:pPr>
          </w:p>
        </w:tc>
        <w:tc>
          <w:tcPr>
            <w:tcW w:w="1217" w:type="dxa"/>
            <w:vMerge/>
          </w:tcPr>
          <w:p w14:paraId="412F717C" w14:textId="77777777" w:rsidR="00F61D64" w:rsidRPr="001B39CA" w:rsidRDefault="00F61D64" w:rsidP="003A31ED">
            <w:pPr>
              <w:jc w:val="center"/>
              <w:rPr>
                <w:rFonts w:ascii="Aptos" w:hAnsi="Aptos"/>
                <w:sz w:val="20"/>
                <w:szCs w:val="20"/>
              </w:rPr>
            </w:pPr>
          </w:p>
        </w:tc>
        <w:tc>
          <w:tcPr>
            <w:tcW w:w="1143" w:type="dxa"/>
            <w:vMerge/>
            <w:vAlign w:val="center"/>
          </w:tcPr>
          <w:p w14:paraId="54217777" w14:textId="77777777" w:rsidR="00F61D64" w:rsidRDefault="00F61D64" w:rsidP="003A31ED">
            <w:pPr>
              <w:jc w:val="center"/>
              <w:rPr>
                <w:rFonts w:ascii="Aptos Narrow" w:hAnsi="Aptos Narrow"/>
                <w:color w:val="000000"/>
              </w:rPr>
            </w:pPr>
          </w:p>
        </w:tc>
        <w:tc>
          <w:tcPr>
            <w:tcW w:w="880" w:type="dxa"/>
            <w:vAlign w:val="bottom"/>
          </w:tcPr>
          <w:p w14:paraId="22F0F83C" w14:textId="77777777" w:rsidR="00F61D64" w:rsidRPr="001B39CA" w:rsidRDefault="00F61D64" w:rsidP="003A31ED">
            <w:pPr>
              <w:jc w:val="center"/>
              <w:rPr>
                <w:rFonts w:ascii="Aptos" w:hAnsi="Aptos"/>
                <w:sz w:val="20"/>
                <w:szCs w:val="20"/>
              </w:rPr>
            </w:pPr>
            <w:r>
              <w:rPr>
                <w:rFonts w:ascii="Aptos Narrow" w:hAnsi="Aptos Narrow"/>
                <w:color w:val="000000"/>
              </w:rPr>
              <w:t>7.2</w:t>
            </w:r>
          </w:p>
        </w:tc>
        <w:tc>
          <w:tcPr>
            <w:tcW w:w="857" w:type="dxa"/>
            <w:vMerge/>
            <w:vAlign w:val="center"/>
          </w:tcPr>
          <w:p w14:paraId="116FCDC5" w14:textId="77777777" w:rsidR="00F61D64" w:rsidRPr="001B39CA" w:rsidRDefault="00F61D64" w:rsidP="003A31ED">
            <w:pPr>
              <w:jc w:val="center"/>
              <w:rPr>
                <w:rFonts w:ascii="Aptos" w:hAnsi="Aptos"/>
                <w:sz w:val="20"/>
                <w:szCs w:val="20"/>
              </w:rPr>
            </w:pPr>
          </w:p>
        </w:tc>
        <w:tc>
          <w:tcPr>
            <w:tcW w:w="1332" w:type="dxa"/>
            <w:vAlign w:val="bottom"/>
          </w:tcPr>
          <w:p w14:paraId="0935CC58" w14:textId="77777777" w:rsidR="00F61D64" w:rsidRPr="0098058F" w:rsidRDefault="00F61D64" w:rsidP="003A31ED">
            <w:pPr>
              <w:jc w:val="center"/>
              <w:rPr>
                <w:rFonts w:ascii="Aptos" w:hAnsi="Aptos"/>
                <w:color w:val="000000"/>
                <w:sz w:val="20"/>
                <w:szCs w:val="20"/>
              </w:rPr>
            </w:pPr>
            <w:r>
              <w:rPr>
                <w:rFonts w:ascii="Aptos" w:hAnsi="Aptos"/>
                <w:color w:val="000000"/>
                <w:sz w:val="20"/>
                <w:szCs w:val="20"/>
              </w:rPr>
              <w:t>1,388</w:t>
            </w:r>
          </w:p>
        </w:tc>
        <w:tc>
          <w:tcPr>
            <w:tcW w:w="1222" w:type="dxa"/>
            <w:shd w:val="clear" w:color="auto" w:fill="E8E8E8" w:themeFill="background2"/>
          </w:tcPr>
          <w:p w14:paraId="6FED1446" w14:textId="77777777" w:rsidR="00F61D64" w:rsidRPr="000E6A6C" w:rsidRDefault="00F61D64" w:rsidP="003A31ED">
            <w:pPr>
              <w:jc w:val="center"/>
              <w:rPr>
                <w:rFonts w:ascii="Aptos" w:hAnsi="Aptos"/>
                <w:b/>
                <w:bCs/>
                <w:sz w:val="20"/>
                <w:szCs w:val="20"/>
              </w:rPr>
            </w:pPr>
            <w:r>
              <w:rPr>
                <w:rFonts w:ascii="Aptos" w:hAnsi="Aptos"/>
                <w:b/>
                <w:bCs/>
                <w:sz w:val="20"/>
                <w:szCs w:val="20"/>
              </w:rPr>
              <w:t>1,500</w:t>
            </w:r>
          </w:p>
        </w:tc>
        <w:tc>
          <w:tcPr>
            <w:tcW w:w="1394" w:type="dxa"/>
            <w:vAlign w:val="bottom"/>
          </w:tcPr>
          <w:p w14:paraId="752FA621" w14:textId="77777777" w:rsidR="00F61D64" w:rsidRPr="00327EDA" w:rsidRDefault="00F61D64" w:rsidP="003A31ED">
            <w:pPr>
              <w:jc w:val="center"/>
              <w:rPr>
                <w:rFonts w:ascii="Aptos" w:hAnsi="Aptos"/>
                <w:color w:val="000000"/>
                <w:sz w:val="20"/>
                <w:szCs w:val="20"/>
              </w:rPr>
            </w:pPr>
            <w:r>
              <w:rPr>
                <w:rFonts w:ascii="Aptos" w:hAnsi="Aptos"/>
                <w:color w:val="000000"/>
                <w:sz w:val="20"/>
                <w:szCs w:val="20"/>
              </w:rPr>
              <w:t>1,600</w:t>
            </w:r>
          </w:p>
        </w:tc>
        <w:tc>
          <w:tcPr>
            <w:tcW w:w="1311" w:type="dxa"/>
            <w:shd w:val="clear" w:color="auto" w:fill="E8E8E8" w:themeFill="background2"/>
            <w:vAlign w:val="bottom"/>
          </w:tcPr>
          <w:p w14:paraId="400544FC" w14:textId="77777777" w:rsidR="00F61D64" w:rsidRPr="000E6A6C" w:rsidRDefault="00F61D64" w:rsidP="003A31ED">
            <w:pPr>
              <w:jc w:val="center"/>
              <w:rPr>
                <w:rFonts w:ascii="Aptos" w:hAnsi="Aptos"/>
                <w:b/>
                <w:bCs/>
                <w:color w:val="000000"/>
                <w:sz w:val="20"/>
                <w:szCs w:val="20"/>
              </w:rPr>
            </w:pPr>
            <w:r>
              <w:rPr>
                <w:rFonts w:ascii="Aptos" w:hAnsi="Aptos"/>
                <w:b/>
                <w:bCs/>
                <w:color w:val="000000"/>
                <w:sz w:val="20"/>
                <w:szCs w:val="20"/>
              </w:rPr>
              <w:t>1,600</w:t>
            </w:r>
          </w:p>
        </w:tc>
        <w:tc>
          <w:tcPr>
            <w:tcW w:w="1332" w:type="dxa"/>
            <w:vAlign w:val="bottom"/>
          </w:tcPr>
          <w:p w14:paraId="25346146" w14:textId="77777777" w:rsidR="00F61D64" w:rsidRDefault="00F61D64" w:rsidP="003A31ED">
            <w:pPr>
              <w:jc w:val="center"/>
              <w:rPr>
                <w:rFonts w:ascii="Aptos" w:hAnsi="Aptos"/>
                <w:b/>
                <w:bCs/>
                <w:color w:val="000000"/>
                <w:sz w:val="20"/>
                <w:szCs w:val="20"/>
              </w:rPr>
            </w:pPr>
            <w:r>
              <w:rPr>
                <w:rFonts w:ascii="Aptos" w:hAnsi="Aptos"/>
                <w:color w:val="000000"/>
                <w:sz w:val="20"/>
                <w:szCs w:val="20"/>
              </w:rPr>
              <w:t>1,600</w:t>
            </w:r>
          </w:p>
        </w:tc>
        <w:tc>
          <w:tcPr>
            <w:tcW w:w="1231" w:type="dxa"/>
            <w:shd w:val="clear" w:color="auto" w:fill="E8E8E8" w:themeFill="background2"/>
          </w:tcPr>
          <w:p w14:paraId="65847938" w14:textId="77777777" w:rsidR="00F61D64" w:rsidRDefault="00F61D64" w:rsidP="003A31ED">
            <w:pPr>
              <w:jc w:val="center"/>
              <w:rPr>
                <w:rFonts w:ascii="Aptos" w:hAnsi="Aptos"/>
                <w:b/>
                <w:bCs/>
                <w:color w:val="000000"/>
                <w:sz w:val="20"/>
                <w:szCs w:val="20"/>
              </w:rPr>
            </w:pPr>
            <w:r>
              <w:rPr>
                <w:rFonts w:ascii="Aptos" w:hAnsi="Aptos"/>
                <w:b/>
                <w:bCs/>
                <w:color w:val="000000"/>
                <w:sz w:val="20"/>
                <w:szCs w:val="20"/>
              </w:rPr>
              <w:t>1,600</w:t>
            </w:r>
          </w:p>
        </w:tc>
      </w:tr>
      <w:tr w:rsidR="00F61D64" w:rsidRPr="001B39CA" w14:paraId="770BE1C1" w14:textId="77777777" w:rsidTr="003A31ED">
        <w:trPr>
          <w:gridAfter w:val="1"/>
          <w:wAfter w:w="6" w:type="dxa"/>
        </w:trPr>
        <w:tc>
          <w:tcPr>
            <w:tcW w:w="1418" w:type="dxa"/>
          </w:tcPr>
          <w:p w14:paraId="63939585" w14:textId="77777777" w:rsidR="00F61D64" w:rsidRPr="000A6FEA" w:rsidRDefault="00F61D64" w:rsidP="003A31ED">
            <w:pPr>
              <w:rPr>
                <w:rFonts w:ascii="Aptos" w:hAnsi="Aptos"/>
                <w:sz w:val="20"/>
                <w:szCs w:val="20"/>
              </w:rPr>
            </w:pPr>
            <w:r w:rsidRPr="000A6FEA">
              <w:rPr>
                <w:rFonts w:ascii="Aptos" w:hAnsi="Aptos"/>
                <w:sz w:val="20"/>
                <w:szCs w:val="20"/>
              </w:rPr>
              <w:t xml:space="preserve">12 to </w:t>
            </w:r>
            <w:r>
              <w:rPr>
                <w:rFonts w:ascii="Aptos" w:hAnsi="Aptos"/>
                <w:sz w:val="20"/>
                <w:szCs w:val="20"/>
              </w:rPr>
              <w:t>&lt;</w:t>
            </w:r>
            <w:r w:rsidRPr="000A6FEA">
              <w:rPr>
                <w:rFonts w:ascii="Aptos" w:hAnsi="Aptos"/>
                <w:sz w:val="20"/>
                <w:szCs w:val="20"/>
              </w:rPr>
              <w:t>18 y</w:t>
            </w:r>
            <w:r>
              <w:rPr>
                <w:rFonts w:ascii="Aptos" w:hAnsi="Aptos"/>
                <w:sz w:val="20"/>
                <w:szCs w:val="20"/>
              </w:rPr>
              <w:t>r</w:t>
            </w:r>
          </w:p>
        </w:tc>
        <w:tc>
          <w:tcPr>
            <w:tcW w:w="1037" w:type="dxa"/>
            <w:vMerge/>
          </w:tcPr>
          <w:p w14:paraId="2FDBEFC0" w14:textId="77777777" w:rsidR="00F61D64" w:rsidRPr="001B39CA" w:rsidRDefault="00F61D64" w:rsidP="003A31ED">
            <w:pPr>
              <w:jc w:val="center"/>
              <w:rPr>
                <w:rFonts w:ascii="Aptos" w:hAnsi="Aptos"/>
                <w:sz w:val="20"/>
                <w:szCs w:val="20"/>
              </w:rPr>
            </w:pPr>
          </w:p>
        </w:tc>
        <w:tc>
          <w:tcPr>
            <w:tcW w:w="1217" w:type="dxa"/>
            <w:vMerge/>
          </w:tcPr>
          <w:p w14:paraId="238969D3" w14:textId="77777777" w:rsidR="00F61D64" w:rsidRPr="001B39CA" w:rsidRDefault="00F61D64" w:rsidP="003A31ED">
            <w:pPr>
              <w:jc w:val="center"/>
              <w:rPr>
                <w:rFonts w:ascii="Aptos" w:hAnsi="Aptos"/>
                <w:sz w:val="20"/>
                <w:szCs w:val="20"/>
              </w:rPr>
            </w:pPr>
          </w:p>
        </w:tc>
        <w:tc>
          <w:tcPr>
            <w:tcW w:w="1143" w:type="dxa"/>
            <w:vMerge/>
            <w:vAlign w:val="center"/>
          </w:tcPr>
          <w:p w14:paraId="69AD8BA8" w14:textId="77777777" w:rsidR="00F61D64" w:rsidRDefault="00F61D64" w:rsidP="003A31ED">
            <w:pPr>
              <w:jc w:val="center"/>
              <w:rPr>
                <w:rFonts w:ascii="Aptos Narrow" w:hAnsi="Aptos Narrow"/>
                <w:color w:val="000000"/>
              </w:rPr>
            </w:pPr>
          </w:p>
        </w:tc>
        <w:tc>
          <w:tcPr>
            <w:tcW w:w="880" w:type="dxa"/>
            <w:vAlign w:val="bottom"/>
          </w:tcPr>
          <w:p w14:paraId="41D39B3A" w14:textId="77777777" w:rsidR="00F61D64" w:rsidRPr="001B39CA" w:rsidRDefault="00F61D64" w:rsidP="003A31ED">
            <w:pPr>
              <w:jc w:val="center"/>
              <w:rPr>
                <w:rFonts w:ascii="Aptos" w:hAnsi="Aptos"/>
                <w:sz w:val="20"/>
                <w:szCs w:val="20"/>
              </w:rPr>
            </w:pPr>
            <w:r>
              <w:rPr>
                <w:rFonts w:ascii="Aptos Narrow" w:hAnsi="Aptos Narrow"/>
                <w:color w:val="000000"/>
              </w:rPr>
              <w:t>10.0</w:t>
            </w:r>
          </w:p>
        </w:tc>
        <w:tc>
          <w:tcPr>
            <w:tcW w:w="857" w:type="dxa"/>
            <w:vMerge/>
            <w:vAlign w:val="center"/>
          </w:tcPr>
          <w:p w14:paraId="6DF6C8D3" w14:textId="77777777" w:rsidR="00F61D64" w:rsidRPr="001B39CA" w:rsidRDefault="00F61D64" w:rsidP="003A31ED">
            <w:pPr>
              <w:jc w:val="center"/>
              <w:rPr>
                <w:rFonts w:ascii="Aptos" w:hAnsi="Aptos"/>
                <w:sz w:val="20"/>
                <w:szCs w:val="20"/>
              </w:rPr>
            </w:pPr>
          </w:p>
        </w:tc>
        <w:tc>
          <w:tcPr>
            <w:tcW w:w="1332" w:type="dxa"/>
            <w:vAlign w:val="bottom"/>
          </w:tcPr>
          <w:p w14:paraId="2F832ECE" w14:textId="77777777" w:rsidR="00F61D64" w:rsidRPr="0098058F" w:rsidRDefault="00F61D64" w:rsidP="003A31ED">
            <w:pPr>
              <w:jc w:val="center"/>
              <w:rPr>
                <w:rFonts w:ascii="Aptos" w:hAnsi="Aptos"/>
                <w:color w:val="000000"/>
                <w:sz w:val="20"/>
                <w:szCs w:val="20"/>
              </w:rPr>
            </w:pPr>
            <w:r>
              <w:rPr>
                <w:rFonts w:ascii="Aptos" w:hAnsi="Aptos"/>
                <w:color w:val="000000"/>
                <w:sz w:val="20"/>
                <w:szCs w:val="20"/>
              </w:rPr>
              <w:t>1,945</w:t>
            </w:r>
          </w:p>
        </w:tc>
        <w:tc>
          <w:tcPr>
            <w:tcW w:w="1222" w:type="dxa"/>
            <w:shd w:val="clear" w:color="auto" w:fill="E8E8E8" w:themeFill="background2"/>
          </w:tcPr>
          <w:p w14:paraId="56A75AE5" w14:textId="77777777" w:rsidR="00F61D64" w:rsidRPr="000E6A6C" w:rsidRDefault="00F61D64" w:rsidP="003A31ED">
            <w:pPr>
              <w:jc w:val="center"/>
              <w:rPr>
                <w:rFonts w:ascii="Aptos" w:hAnsi="Aptos"/>
                <w:b/>
                <w:bCs/>
                <w:sz w:val="20"/>
                <w:szCs w:val="20"/>
              </w:rPr>
            </w:pPr>
            <w:r>
              <w:rPr>
                <w:rFonts w:ascii="Aptos" w:hAnsi="Aptos"/>
                <w:b/>
                <w:bCs/>
                <w:sz w:val="20"/>
                <w:szCs w:val="20"/>
              </w:rPr>
              <w:t>1,950</w:t>
            </w:r>
          </w:p>
        </w:tc>
        <w:tc>
          <w:tcPr>
            <w:tcW w:w="1394" w:type="dxa"/>
            <w:vAlign w:val="bottom"/>
          </w:tcPr>
          <w:p w14:paraId="6D56D6A9" w14:textId="77777777" w:rsidR="00F61D64" w:rsidRPr="00327EDA" w:rsidRDefault="00F61D64" w:rsidP="003A31ED">
            <w:pPr>
              <w:jc w:val="center"/>
              <w:rPr>
                <w:rFonts w:ascii="Aptos" w:hAnsi="Aptos"/>
                <w:color w:val="000000"/>
                <w:sz w:val="20"/>
                <w:szCs w:val="20"/>
              </w:rPr>
            </w:pPr>
            <w:r>
              <w:rPr>
                <w:rFonts w:ascii="Aptos" w:hAnsi="Aptos"/>
                <w:color w:val="000000"/>
                <w:sz w:val="20"/>
                <w:szCs w:val="20"/>
              </w:rPr>
              <w:t>2,200</w:t>
            </w:r>
          </w:p>
        </w:tc>
        <w:tc>
          <w:tcPr>
            <w:tcW w:w="1311" w:type="dxa"/>
            <w:shd w:val="clear" w:color="auto" w:fill="E8E8E8" w:themeFill="background2"/>
            <w:vAlign w:val="bottom"/>
          </w:tcPr>
          <w:p w14:paraId="3775F892" w14:textId="77777777" w:rsidR="00F61D64" w:rsidRPr="000E6A6C" w:rsidRDefault="00F61D64" w:rsidP="003A31ED">
            <w:pPr>
              <w:jc w:val="center"/>
              <w:rPr>
                <w:rFonts w:ascii="Aptos" w:hAnsi="Aptos"/>
                <w:b/>
                <w:bCs/>
                <w:color w:val="000000"/>
                <w:sz w:val="20"/>
                <w:szCs w:val="20"/>
              </w:rPr>
            </w:pPr>
            <w:r>
              <w:rPr>
                <w:rFonts w:ascii="Aptos" w:hAnsi="Aptos"/>
                <w:b/>
                <w:bCs/>
                <w:color w:val="000000"/>
                <w:sz w:val="20"/>
                <w:szCs w:val="20"/>
              </w:rPr>
              <w:t>2,200</w:t>
            </w:r>
          </w:p>
        </w:tc>
        <w:tc>
          <w:tcPr>
            <w:tcW w:w="1332" w:type="dxa"/>
            <w:vAlign w:val="bottom"/>
          </w:tcPr>
          <w:p w14:paraId="43CDD786" w14:textId="77777777" w:rsidR="00F61D64" w:rsidRDefault="00F61D64" w:rsidP="003A31ED">
            <w:pPr>
              <w:jc w:val="center"/>
              <w:rPr>
                <w:rFonts w:ascii="Aptos" w:hAnsi="Aptos"/>
                <w:b/>
                <w:bCs/>
                <w:color w:val="000000"/>
                <w:sz w:val="20"/>
                <w:szCs w:val="20"/>
              </w:rPr>
            </w:pPr>
            <w:r>
              <w:rPr>
                <w:rFonts w:ascii="Aptos" w:hAnsi="Aptos"/>
                <w:color w:val="000000"/>
                <w:sz w:val="20"/>
                <w:szCs w:val="20"/>
              </w:rPr>
              <w:t>2,200</w:t>
            </w:r>
          </w:p>
        </w:tc>
        <w:tc>
          <w:tcPr>
            <w:tcW w:w="1231" w:type="dxa"/>
            <w:shd w:val="clear" w:color="auto" w:fill="E8E8E8" w:themeFill="background2"/>
          </w:tcPr>
          <w:p w14:paraId="4AD20B64" w14:textId="77777777" w:rsidR="00F61D64" w:rsidRDefault="00F61D64" w:rsidP="003A31ED">
            <w:pPr>
              <w:jc w:val="center"/>
              <w:rPr>
                <w:rFonts w:ascii="Aptos" w:hAnsi="Aptos"/>
                <w:b/>
                <w:bCs/>
                <w:color w:val="000000"/>
                <w:sz w:val="20"/>
                <w:szCs w:val="20"/>
              </w:rPr>
            </w:pPr>
            <w:r>
              <w:rPr>
                <w:rFonts w:ascii="Aptos" w:hAnsi="Aptos"/>
                <w:b/>
                <w:bCs/>
                <w:color w:val="000000"/>
                <w:sz w:val="20"/>
                <w:szCs w:val="20"/>
              </w:rPr>
              <w:t>2,200</w:t>
            </w:r>
          </w:p>
        </w:tc>
      </w:tr>
    </w:tbl>
    <w:p w14:paraId="1DE08E92" w14:textId="77777777"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lastRenderedPageBreak/>
        <w:t>Sodium intake in Australia and New Zealand</w:t>
      </w:r>
    </w:p>
    <w:p w14:paraId="4ACA286B" w14:textId="77777777" w:rsidR="00F61D64" w:rsidRPr="00622A78" w:rsidRDefault="00F61D64" w:rsidP="00F61D64">
      <w:pPr>
        <w:spacing w:after="120"/>
        <w:rPr>
          <w:rFonts w:eastAsia="Times New Roman" w:cs="Arial"/>
          <w:iCs/>
        </w:rPr>
      </w:pPr>
      <w:r>
        <w:rPr>
          <w:rFonts w:eastAsia="Times New Roman" w:cs="Arial"/>
          <w:iCs/>
        </w:rPr>
        <w:t xml:space="preserve">Australian national intake data report </w:t>
      </w:r>
      <w:proofErr w:type="gramStart"/>
      <w:r>
        <w:rPr>
          <w:rFonts w:eastAsia="Times New Roman" w:cs="Arial"/>
          <w:iCs/>
        </w:rPr>
        <w:t>mean</w:t>
      </w:r>
      <w:proofErr w:type="gramEnd"/>
      <w:r>
        <w:rPr>
          <w:rFonts w:eastAsia="Times New Roman" w:cs="Arial"/>
          <w:iCs/>
        </w:rPr>
        <w:t xml:space="preserve"> intakes of </w:t>
      </w:r>
      <w:r w:rsidRPr="00A93CBD">
        <w:rPr>
          <w:rFonts w:eastAsia="Times New Roman" w:cs="Arial"/>
          <w:iCs/>
        </w:rPr>
        <w:t>1,521 mg/day for 2</w:t>
      </w:r>
      <w:r>
        <w:rPr>
          <w:rFonts w:eastAsia="Times New Roman" w:cs="Arial"/>
          <w:iCs/>
        </w:rPr>
        <w:t>-</w:t>
      </w:r>
      <w:r w:rsidRPr="00A93CBD">
        <w:rPr>
          <w:rFonts w:eastAsia="Times New Roman" w:cs="Arial"/>
          <w:iCs/>
        </w:rPr>
        <w:t>4 year</w:t>
      </w:r>
      <w:r>
        <w:rPr>
          <w:rFonts w:eastAsia="Times New Roman" w:cs="Arial"/>
          <w:iCs/>
        </w:rPr>
        <w:t xml:space="preserve"> olds</w:t>
      </w:r>
      <w:r w:rsidRPr="00A93CBD">
        <w:rPr>
          <w:rFonts w:eastAsia="Times New Roman" w:cs="Arial"/>
          <w:iCs/>
        </w:rPr>
        <w:t>; 2,188 mg/day for 5–11 year</w:t>
      </w:r>
      <w:r>
        <w:rPr>
          <w:rFonts w:eastAsia="Times New Roman" w:cs="Arial"/>
          <w:iCs/>
        </w:rPr>
        <w:t xml:space="preserve"> olds</w:t>
      </w:r>
      <w:r w:rsidRPr="00A93CBD">
        <w:rPr>
          <w:rFonts w:eastAsia="Times New Roman" w:cs="Arial"/>
          <w:iCs/>
        </w:rPr>
        <w:t>; and 2,903 mg/day for 12</w:t>
      </w:r>
      <w:r>
        <w:rPr>
          <w:rFonts w:eastAsia="Times New Roman" w:cs="Arial"/>
          <w:iCs/>
        </w:rPr>
        <w:t>-</w:t>
      </w:r>
      <w:r w:rsidRPr="00A93CBD">
        <w:rPr>
          <w:rFonts w:eastAsia="Times New Roman" w:cs="Arial"/>
          <w:iCs/>
        </w:rPr>
        <w:t>17 year</w:t>
      </w:r>
      <w:r>
        <w:rPr>
          <w:rFonts w:eastAsia="Times New Roman" w:cs="Arial"/>
          <w:iCs/>
        </w:rPr>
        <w:t xml:space="preserve"> olds. </w:t>
      </w:r>
      <w:r w:rsidRPr="00622A78">
        <w:rPr>
          <w:rFonts w:eastAsia="Times New Roman" w:cs="Arial"/>
          <w:iCs/>
        </w:rPr>
        <w:t>However, these estimates are derived from 24</w:t>
      </w:r>
      <w:r w:rsidRPr="00622A78">
        <w:rPr>
          <w:rFonts w:eastAsia="Times New Roman" w:cs="Arial"/>
          <w:iCs/>
        </w:rPr>
        <w:noBreakHyphen/>
        <w:t>hour dietary recall and are likely to underestimate true intake</w:t>
      </w:r>
      <w:r w:rsidRPr="005606A5">
        <w:rPr>
          <w:rFonts w:ascii="Open Sans" w:hAnsi="Open Sans" w:cs="Open Sans"/>
          <w:color w:val="222222"/>
          <w:shd w:val="clear" w:color="auto" w:fill="FFFFFF"/>
        </w:rPr>
        <w:t xml:space="preserve"> </w:t>
      </w:r>
      <w:r w:rsidRPr="005606A5">
        <w:rPr>
          <w:rFonts w:eastAsia="Times New Roman" w:cs="Arial"/>
          <w:iCs/>
        </w:rPr>
        <w:t>as it only accounts for sodium naturally present in foods or added during processing. Based on responses about </w:t>
      </w:r>
      <w:r w:rsidRPr="00D6488D">
        <w:rPr>
          <w:rFonts w:eastAsia="Times New Roman" w:cs="Arial"/>
          <w:iCs/>
        </w:rPr>
        <w:t>additional salt use</w:t>
      </w:r>
      <w:r w:rsidRPr="005606A5">
        <w:rPr>
          <w:rFonts w:eastAsia="Times New Roman" w:cs="Arial"/>
          <w:iCs/>
        </w:rPr>
        <w:t>, 78.1% people aged 2 years and over added salt while cooking or preparing food and 45.5% added salt to food at the table.</w:t>
      </w:r>
      <w:r w:rsidRPr="00622A78">
        <w:rPr>
          <w:rFonts w:eastAsia="Times New Roman" w:cs="Arial"/>
          <w:iCs/>
        </w:rPr>
        <w:t xml:space="preserve"> Consistent with this limitation, data from Australian studies using 24</w:t>
      </w:r>
      <w:r w:rsidRPr="00622A78">
        <w:rPr>
          <w:rFonts w:eastAsia="Times New Roman" w:cs="Arial"/>
          <w:iCs/>
        </w:rPr>
        <w:noBreakHyphen/>
        <w:t>hour urinary sodium excretion report substantially higher intakes (approximately 2,369 to 2,440 mg/day among children aged 4–12 years).</w:t>
      </w:r>
    </w:p>
    <w:p w14:paraId="487D5F3F" w14:textId="77777777" w:rsidR="00F61D64" w:rsidRPr="007B4EA8" w:rsidRDefault="00F61D64" w:rsidP="00F61D64">
      <w:pPr>
        <w:spacing w:after="120"/>
        <w:rPr>
          <w:rFonts w:eastAsia="Times New Roman" w:cs="Arial"/>
          <w:iCs/>
        </w:rPr>
      </w:pPr>
      <w:r w:rsidRPr="007B4EA8">
        <w:rPr>
          <w:rFonts w:eastAsia="Times New Roman" w:cs="Arial"/>
          <w:iCs/>
        </w:rPr>
        <w:t>In New Zealand, sodium intake data for children are primarily derived from the 2016 New Zealand Total Diet Study (NZTDS), which uses modelled diets and food composition data. Estimated intakes range from 1,361 mg/day (1–3 years) to 2,877 mg/day (boys aged 11–14 years), with all age groups exceeding 100% of the UL (121–144%). Although modelled, these estimates are supported by the limited available biomarker data: a 24</w:t>
      </w:r>
      <w:r w:rsidRPr="007B4EA8">
        <w:rPr>
          <w:rFonts w:eastAsia="Times New Roman" w:cs="Arial"/>
          <w:iCs/>
        </w:rPr>
        <w:noBreakHyphen/>
        <w:t>hour urinary sodium study in children aged 8–13 years reported a mean intake of 2,420 mg/day.</w:t>
      </w:r>
    </w:p>
    <w:p w14:paraId="0CBBCD94" w14:textId="77777777" w:rsidR="00F61D64" w:rsidRDefault="00F61D64" w:rsidP="00F61D64">
      <w:pPr>
        <w:spacing w:after="120"/>
        <w:rPr>
          <w:rFonts w:eastAsia="Times New Roman" w:cs="Arial"/>
          <w:iCs/>
        </w:rPr>
      </w:pPr>
      <w:r>
        <w:rPr>
          <w:rFonts w:eastAsia="Times New Roman" w:cs="Arial"/>
          <w:iCs/>
        </w:rPr>
        <w:t>Although data on the proportion of children exceeding the current UL is not provided, mean intakes exceed the UL for all age groups in both Australia and New Zealand. Urinary biomarker studies from Australia i</w:t>
      </w:r>
      <w:r w:rsidRPr="000E4829">
        <w:rPr>
          <w:rFonts w:eastAsia="Times New Roman" w:cs="Arial"/>
          <w:iCs/>
        </w:rPr>
        <w:t>ndicate that approximately 70% of children exceed the U</w:t>
      </w:r>
      <w:r>
        <w:rPr>
          <w:rFonts w:eastAsia="Times New Roman" w:cs="Arial"/>
          <w:iCs/>
        </w:rPr>
        <w:t xml:space="preserve">L, with a study in New Zealand similarly reporting that 2 in 3 children had intakes exceeding 2,000 mg/day. </w:t>
      </w:r>
    </w:p>
    <w:p w14:paraId="3F649222" w14:textId="77777777" w:rsidR="00F61D64" w:rsidRPr="00104BD2" w:rsidRDefault="00F61D64" w:rsidP="00F61D64">
      <w:pPr>
        <w:keepNext/>
        <w:keepLines/>
        <w:shd w:val="clear" w:color="auto" w:fill="005F85"/>
        <w:spacing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Benchmarking against comparable international jurisdictions</w:t>
      </w:r>
    </w:p>
    <w:p w14:paraId="1046EFD5" w14:textId="06DBD66D" w:rsidR="00F61D64" w:rsidRDefault="00F61D64" w:rsidP="00F61D64">
      <w:pPr>
        <w:spacing w:after="120"/>
      </w:pPr>
      <w:r>
        <w:t>Recommended CDRR NRVs in children and adolescents are similar across international jurisdictions, with minor variation arising due to differences in the adult reference values from which child values have been extrapolated</w:t>
      </w:r>
      <w:r w:rsidR="00396BF0">
        <w:t xml:space="preserve"> (</w:t>
      </w:r>
      <w:r w:rsidR="00396BF0">
        <w:fldChar w:fldCharType="begin"/>
      </w:r>
      <w:r w:rsidR="00396BF0">
        <w:instrText xml:space="preserve"> REF _Ref234959715 \h </w:instrText>
      </w:r>
      <w:r w:rsidR="00396BF0">
        <w:fldChar w:fldCharType="separate"/>
      </w:r>
      <w:r w:rsidR="00396BF0">
        <w:t xml:space="preserve">Table </w:t>
      </w:r>
      <w:r w:rsidR="00396BF0">
        <w:rPr>
          <w:noProof/>
        </w:rPr>
        <w:t>30</w:t>
      </w:r>
      <w:r w:rsidR="00396BF0">
        <w:fldChar w:fldCharType="end"/>
      </w:r>
      <w:r w:rsidR="00396BF0">
        <w:t>)</w:t>
      </w:r>
      <w:r>
        <w:t xml:space="preserve">. The US NASEM and NNR 2023 recommendations are both extrapolated from an adult value of 2,300 mg/day whereas the EFSA values are extrapolated from a ‘safe and adequate’ intake of 2,000 mg/day. Although the EFSA measure encompasses both adequate intake and chronic disease risk reduction, it is broadly comparable to a CDRR. </w:t>
      </w:r>
    </w:p>
    <w:p w14:paraId="2E48CF89" w14:textId="77777777" w:rsidR="00DA5876" w:rsidRDefault="00F61D64" w:rsidP="00F61D64">
      <w:pPr>
        <w:spacing w:after="120"/>
      </w:pPr>
      <w:r>
        <w:t xml:space="preserve">Extrapolating child values from both the current CDRR (2,000 mg/day) and higher potential CDRR (2,300 mg/day) derives CDRR values that broadly align with international values. Although recommendations for younger children are notably lower than for comparable jurisdictions, extrapolation from the adult value of 2,000mg/day based on energy requirements aligns with WHO recommendations </w:t>
      </w:r>
      <w:r>
        <w:fldChar w:fldCharType="begin"/>
      </w:r>
      <w:r>
        <w:instrText xml:space="preserve"> ADDIN EN.CITE &lt;EndNote&gt;&lt;Cite ExcludeAuth="1"&gt;&lt;Author&gt;World Health Organization&lt;/Author&gt;&lt;Year&gt;2012&lt;/Year&gt;&lt;RecNum&gt;4621&lt;/RecNum&gt;&lt;Prefix&gt;WHO`,&lt;/Prefix&gt;&lt;DisplayText&gt;(WHO,2012)&lt;/DisplayText&gt;&lt;record&gt;&lt;rec-number&gt;4621&lt;/rec-number&gt;&lt;foreign-keys&gt;&lt;key app="EN" db-id="wwsdv2wwp29fenerv0kx5tw9zxtx2fdrprx2" timestamp="1774922300"&gt;4621&lt;/key&gt;&lt;/foreign-keys&gt;&lt;ref-type name="Electronic Book"&gt;44&lt;/ref-type&gt;&lt;contributors&gt;&lt;authors&gt;&lt;author&gt;World Health Organization, WHO&lt;/author&gt;&lt;/authors&gt;&lt;/contributors&gt;&lt;titles&gt;&lt;title&gt;Guideline: Sodium Intake for Adults and Children&lt;/title&gt;&lt;/titles&gt;&lt;dates&gt;&lt;year&gt;2012&lt;/year&gt;&lt;/dates&gt;&lt;pub-location&gt;Geneva&lt;/pub-location&gt;&lt;publisher&gt;WHO&lt;/publisher&gt;&lt;urls&gt;&lt;related-urls&gt;&lt;url&gt;https://www.who.int/publications/i/item/9789241504836&lt;/url&gt;&lt;/related-urls&gt;&lt;/urls&gt;&lt;/record&gt;&lt;/Cite&gt;&lt;/EndNote&gt;</w:instrText>
      </w:r>
      <w:r>
        <w:fldChar w:fldCharType="separate"/>
      </w:r>
      <w:r>
        <w:rPr>
          <w:noProof/>
        </w:rPr>
        <w:t>(WHO,2012)</w:t>
      </w:r>
      <w:r>
        <w:fldChar w:fldCharType="end"/>
      </w:r>
      <w:r>
        <w:t>.</w:t>
      </w:r>
    </w:p>
    <w:p w14:paraId="6FCE02B3" w14:textId="77777777" w:rsidR="00DA5876" w:rsidRDefault="00DA5876">
      <w:r>
        <w:br w:type="page"/>
      </w:r>
    </w:p>
    <w:p w14:paraId="0C6B6AD1" w14:textId="3A4E7AE9" w:rsidR="00F61D64" w:rsidRDefault="00F61D64" w:rsidP="00F61D64">
      <w:pPr>
        <w:spacing w:after="120"/>
      </w:pPr>
      <w:r>
        <w:lastRenderedPageBreak/>
        <w:t xml:space="preserve"> </w:t>
      </w:r>
    </w:p>
    <w:p w14:paraId="0FED7C64" w14:textId="7F2BFD1D" w:rsidR="00F61D64" w:rsidRDefault="00F61D64" w:rsidP="00F61D64">
      <w:pPr>
        <w:pStyle w:val="Caption"/>
        <w:keepNext/>
      </w:pPr>
      <w:bookmarkStart w:id="186" w:name="_Ref234959715"/>
      <w:r>
        <w:t xml:space="preserve">Table </w:t>
      </w:r>
      <w:r>
        <w:fldChar w:fldCharType="begin"/>
      </w:r>
      <w:r>
        <w:instrText>SEQ Table \* ARABIC</w:instrText>
      </w:r>
      <w:r>
        <w:fldChar w:fldCharType="separate"/>
      </w:r>
      <w:r w:rsidR="00B90577">
        <w:rPr>
          <w:noProof/>
        </w:rPr>
        <w:t>29</w:t>
      </w:r>
      <w:r>
        <w:fldChar w:fldCharType="end"/>
      </w:r>
      <w:bookmarkEnd w:id="186"/>
      <w:r>
        <w:t xml:space="preserve"> </w:t>
      </w:r>
      <w:r w:rsidR="00396BF0">
        <w:t>–</w:t>
      </w:r>
      <w:r>
        <w:t xml:space="preserve"> </w:t>
      </w:r>
      <w:r w:rsidR="00396BF0">
        <w:t xml:space="preserve">Comparison of </w:t>
      </w:r>
      <w:r w:rsidRPr="00C66A12">
        <w:t>child and adolescent chronic disease risk reduction recommendations across comparable jurisdictions</w:t>
      </w:r>
    </w:p>
    <w:tbl>
      <w:tblPr>
        <w:tblW w:w="13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701"/>
        <w:gridCol w:w="1630"/>
        <w:gridCol w:w="1630"/>
        <w:gridCol w:w="1559"/>
        <w:gridCol w:w="1701"/>
        <w:gridCol w:w="1701"/>
        <w:gridCol w:w="1984"/>
      </w:tblGrid>
      <w:tr w:rsidR="00F61D64" w:rsidRPr="00F7416B" w14:paraId="68B198A4" w14:textId="77777777" w:rsidTr="003A31ED">
        <w:trPr>
          <w:trHeight w:val="1175"/>
        </w:trPr>
        <w:tc>
          <w:tcPr>
            <w:tcW w:w="1413" w:type="dxa"/>
            <w:shd w:val="clear" w:color="auto" w:fill="005F85"/>
            <w:vAlign w:val="bottom"/>
            <w:hideMark/>
          </w:tcPr>
          <w:p w14:paraId="24C9BF1A" w14:textId="77777777" w:rsidR="00F61D64" w:rsidRPr="00F7416B" w:rsidRDefault="00F61D64" w:rsidP="003A31ED">
            <w:pPr>
              <w:spacing w:after="0" w:line="240" w:lineRule="auto"/>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Age (years)</w:t>
            </w:r>
          </w:p>
        </w:tc>
        <w:tc>
          <w:tcPr>
            <w:tcW w:w="1701" w:type="dxa"/>
            <w:shd w:val="clear" w:color="auto" w:fill="005F85"/>
            <w:vAlign w:val="center"/>
          </w:tcPr>
          <w:p w14:paraId="6AB519D1"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Aust/NZ – Proposed change</w:t>
            </w:r>
          </w:p>
          <w:p w14:paraId="40AC4ACE"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CDRR</w:t>
            </w:r>
            <w:r>
              <w:rPr>
                <w:rFonts w:eastAsia="Times New Roman" w:cs="Times New Roman"/>
                <w:b/>
                <w:bCs/>
                <w:color w:val="FFFFFF"/>
                <w:kern w:val="0"/>
                <w:sz w:val="18"/>
                <w:szCs w:val="18"/>
                <w:lang w:eastAsia="en-AU"/>
                <w14:ligatures w14:val="none"/>
              </w:rPr>
              <w:t xml:space="preserve"> options</w:t>
            </w:r>
          </w:p>
          <w:p w14:paraId="2CBE9F8C"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w:t>
            </w:r>
            <w:r w:rsidRPr="00F7416B">
              <w:rPr>
                <w:rFonts w:eastAsia="Times New Roman" w:cs="Times New Roman"/>
                <w:b/>
                <w:bCs/>
                <w:color w:val="FFFFFF"/>
                <w:sz w:val="18"/>
                <w:szCs w:val="18"/>
              </w:rPr>
              <w:t>mg/day)</w:t>
            </w:r>
          </w:p>
        </w:tc>
        <w:tc>
          <w:tcPr>
            <w:tcW w:w="1630" w:type="dxa"/>
            <w:shd w:val="clear" w:color="auto" w:fill="005F85"/>
          </w:tcPr>
          <w:p w14:paraId="27FB881D"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Aust/NZ -Current</w:t>
            </w:r>
          </w:p>
          <w:p w14:paraId="77A19A99"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(NHMRC 2006)</w:t>
            </w:r>
          </w:p>
          <w:p w14:paraId="0DB4C62A"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UL</w:t>
            </w:r>
          </w:p>
          <w:p w14:paraId="6B22DFFE"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w:t>
            </w:r>
            <w:r w:rsidRPr="00F7416B">
              <w:rPr>
                <w:rFonts w:eastAsia="Times New Roman" w:cs="Times New Roman"/>
                <w:b/>
                <w:bCs/>
                <w:color w:val="FFFFFF"/>
                <w:sz w:val="18"/>
                <w:szCs w:val="18"/>
              </w:rPr>
              <w:t>mg/day)</w:t>
            </w:r>
          </w:p>
        </w:tc>
        <w:tc>
          <w:tcPr>
            <w:tcW w:w="1630" w:type="dxa"/>
            <w:shd w:val="clear" w:color="auto" w:fill="005F85"/>
            <w:vAlign w:val="center"/>
            <w:hideMark/>
          </w:tcPr>
          <w:p w14:paraId="33F80FF5"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 xml:space="preserve">European Union </w:t>
            </w:r>
          </w:p>
          <w:p w14:paraId="4E88E712"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(EFSA 2019)</w:t>
            </w:r>
          </w:p>
          <w:p w14:paraId="751578CC"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CDRR</w:t>
            </w:r>
          </w:p>
          <w:p w14:paraId="53C83374"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w:t>
            </w:r>
            <w:r w:rsidRPr="00F7416B">
              <w:rPr>
                <w:rFonts w:eastAsia="Times New Roman" w:cs="Times New Roman"/>
                <w:b/>
                <w:bCs/>
                <w:color w:val="FFFFFF"/>
                <w:sz w:val="18"/>
                <w:szCs w:val="18"/>
              </w:rPr>
              <w:t>mg/day)*</w:t>
            </w:r>
          </w:p>
        </w:tc>
        <w:tc>
          <w:tcPr>
            <w:tcW w:w="1559" w:type="dxa"/>
            <w:shd w:val="clear" w:color="auto" w:fill="005F85"/>
            <w:vAlign w:val="center"/>
          </w:tcPr>
          <w:p w14:paraId="426AC108"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 xml:space="preserve">United States </w:t>
            </w:r>
          </w:p>
          <w:p w14:paraId="147C2C39"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(NASEM 2018)</w:t>
            </w:r>
          </w:p>
          <w:p w14:paraId="7AB931CA"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CDRR</w:t>
            </w:r>
          </w:p>
          <w:p w14:paraId="2DB7FD3B"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w:t>
            </w:r>
            <w:r w:rsidRPr="00F7416B">
              <w:rPr>
                <w:rFonts w:eastAsia="Times New Roman" w:cs="Times New Roman"/>
                <w:b/>
                <w:bCs/>
                <w:color w:val="FFFFFF"/>
                <w:sz w:val="18"/>
                <w:szCs w:val="18"/>
              </w:rPr>
              <w:t>mg/day)</w:t>
            </w:r>
          </w:p>
        </w:tc>
        <w:tc>
          <w:tcPr>
            <w:tcW w:w="1701" w:type="dxa"/>
            <w:shd w:val="clear" w:color="auto" w:fill="005F85"/>
            <w:vAlign w:val="center"/>
            <w:hideMark/>
          </w:tcPr>
          <w:p w14:paraId="067A9B2D"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Nordic and Baltic</w:t>
            </w:r>
          </w:p>
          <w:p w14:paraId="289FBF8D"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(NNR 2023)</w:t>
            </w:r>
          </w:p>
          <w:p w14:paraId="13845287"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CDRR</w:t>
            </w:r>
          </w:p>
          <w:p w14:paraId="565EB166"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w:t>
            </w:r>
            <w:r w:rsidRPr="00F7416B">
              <w:rPr>
                <w:rFonts w:eastAsia="Times New Roman" w:cs="Times New Roman"/>
                <w:b/>
                <w:bCs/>
                <w:color w:val="FFFFFF"/>
                <w:sz w:val="18"/>
                <w:szCs w:val="18"/>
              </w:rPr>
              <w:t>mg/day)</w:t>
            </w:r>
          </w:p>
        </w:tc>
        <w:tc>
          <w:tcPr>
            <w:tcW w:w="1701" w:type="dxa"/>
            <w:shd w:val="clear" w:color="auto" w:fill="005F85"/>
            <w:vAlign w:val="center"/>
          </w:tcPr>
          <w:p w14:paraId="09C88447"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Germany, Austria, Switzerland (DACH 2013)</w:t>
            </w:r>
          </w:p>
          <w:p w14:paraId="6C8752AF"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CDRR</w:t>
            </w:r>
          </w:p>
          <w:p w14:paraId="1E7BFAF0"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sidRPr="00F7416B">
              <w:rPr>
                <w:rFonts w:eastAsia="Times New Roman" w:cs="Times New Roman"/>
                <w:b/>
                <w:bCs/>
                <w:color w:val="FFFFFF"/>
                <w:kern w:val="0"/>
                <w:sz w:val="18"/>
                <w:szCs w:val="18"/>
                <w:lang w:eastAsia="en-AU"/>
                <w14:ligatures w14:val="none"/>
              </w:rPr>
              <w:t>(</w:t>
            </w:r>
            <w:r w:rsidRPr="00F7416B">
              <w:rPr>
                <w:rFonts w:eastAsia="Times New Roman" w:cs="Times New Roman"/>
                <w:b/>
                <w:bCs/>
                <w:color w:val="FFFFFF"/>
                <w:sz w:val="18"/>
                <w:szCs w:val="18"/>
              </w:rPr>
              <w:t>mg/day)</w:t>
            </w:r>
          </w:p>
        </w:tc>
        <w:tc>
          <w:tcPr>
            <w:tcW w:w="1984" w:type="dxa"/>
            <w:shd w:val="clear" w:color="auto" w:fill="005F85"/>
          </w:tcPr>
          <w:p w14:paraId="15568A4E" w14:textId="77777777" w:rsidR="00F61D64" w:rsidRDefault="00F61D64" w:rsidP="003A31ED">
            <w:pPr>
              <w:spacing w:after="0" w:line="240" w:lineRule="auto"/>
              <w:jc w:val="center"/>
              <w:rPr>
                <w:rFonts w:eastAsia="Times New Roman" w:cs="Times New Roman"/>
                <w:b/>
                <w:bCs/>
                <w:color w:val="FFFFFF"/>
                <w:kern w:val="0"/>
                <w:sz w:val="18"/>
                <w:szCs w:val="18"/>
                <w:lang w:eastAsia="en-AU"/>
                <w14:ligatures w14:val="none"/>
              </w:rPr>
            </w:pPr>
            <w:r>
              <w:rPr>
                <w:rFonts w:eastAsia="Times New Roman" w:cs="Times New Roman"/>
                <w:b/>
                <w:bCs/>
                <w:color w:val="FFFFFF"/>
                <w:kern w:val="0"/>
                <w:sz w:val="18"/>
                <w:szCs w:val="18"/>
                <w:lang w:eastAsia="en-AU"/>
                <w14:ligatures w14:val="none"/>
              </w:rPr>
              <w:t>WHO Guidelines</w:t>
            </w:r>
          </w:p>
          <w:p w14:paraId="34047FE5" w14:textId="77777777" w:rsidR="00F61D64" w:rsidRDefault="00F61D64" w:rsidP="003A31ED">
            <w:pPr>
              <w:spacing w:after="0" w:line="240" w:lineRule="auto"/>
              <w:jc w:val="center"/>
              <w:rPr>
                <w:rFonts w:eastAsia="Times New Roman" w:cs="Times New Roman"/>
                <w:b/>
                <w:bCs/>
                <w:color w:val="FFFFFF"/>
                <w:kern w:val="0"/>
                <w:sz w:val="18"/>
                <w:szCs w:val="18"/>
                <w:lang w:eastAsia="en-AU"/>
                <w14:ligatures w14:val="none"/>
              </w:rPr>
            </w:pPr>
            <w:r>
              <w:rPr>
                <w:rFonts w:eastAsia="Times New Roman" w:cs="Times New Roman"/>
                <w:b/>
                <w:bCs/>
                <w:color w:val="FFFFFF"/>
                <w:kern w:val="0"/>
                <w:sz w:val="18"/>
                <w:szCs w:val="18"/>
                <w:lang w:eastAsia="en-AU"/>
                <w14:ligatures w14:val="none"/>
              </w:rPr>
              <w:t>(WHO 2012)</w:t>
            </w:r>
          </w:p>
          <w:p w14:paraId="2BAB3874" w14:textId="77777777" w:rsidR="00F61D64" w:rsidRDefault="00F61D64" w:rsidP="003A31ED">
            <w:pPr>
              <w:spacing w:after="0" w:line="240" w:lineRule="auto"/>
              <w:jc w:val="center"/>
              <w:rPr>
                <w:rFonts w:eastAsia="Times New Roman" w:cs="Times New Roman"/>
                <w:b/>
                <w:bCs/>
                <w:color w:val="FFFFFF"/>
                <w:kern w:val="0"/>
                <w:sz w:val="18"/>
                <w:szCs w:val="18"/>
                <w:lang w:eastAsia="en-AU"/>
                <w14:ligatures w14:val="none"/>
              </w:rPr>
            </w:pPr>
            <w:r>
              <w:rPr>
                <w:rFonts w:eastAsia="Times New Roman" w:cs="Times New Roman"/>
                <w:b/>
                <w:bCs/>
                <w:color w:val="FFFFFF"/>
                <w:kern w:val="0"/>
                <w:sz w:val="18"/>
                <w:szCs w:val="18"/>
                <w:lang w:eastAsia="en-AU"/>
                <w14:ligatures w14:val="none"/>
              </w:rPr>
              <w:t>CDRR</w:t>
            </w:r>
          </w:p>
          <w:p w14:paraId="62A17FD2" w14:textId="77777777" w:rsidR="00F61D64" w:rsidRPr="00F7416B" w:rsidRDefault="00F61D64" w:rsidP="003A31ED">
            <w:pPr>
              <w:spacing w:after="0" w:line="240" w:lineRule="auto"/>
              <w:jc w:val="center"/>
              <w:rPr>
                <w:rFonts w:eastAsia="Times New Roman" w:cs="Times New Roman"/>
                <w:b/>
                <w:bCs/>
                <w:color w:val="FFFFFF"/>
                <w:kern w:val="0"/>
                <w:sz w:val="18"/>
                <w:szCs w:val="18"/>
                <w:lang w:eastAsia="en-AU"/>
                <w14:ligatures w14:val="none"/>
              </w:rPr>
            </w:pPr>
            <w:r>
              <w:rPr>
                <w:rFonts w:eastAsia="Times New Roman" w:cs="Times New Roman"/>
                <w:b/>
                <w:bCs/>
                <w:color w:val="FFFFFF"/>
                <w:kern w:val="0"/>
                <w:sz w:val="18"/>
                <w:szCs w:val="18"/>
                <w:lang w:eastAsia="en-AU"/>
                <w14:ligatures w14:val="none"/>
              </w:rPr>
              <w:t>(mg/day)</w:t>
            </w:r>
          </w:p>
        </w:tc>
      </w:tr>
      <w:tr w:rsidR="00F61D64" w:rsidRPr="00F7416B" w14:paraId="1625E52D" w14:textId="77777777" w:rsidTr="003A31ED">
        <w:trPr>
          <w:trHeight w:val="255"/>
        </w:trPr>
        <w:tc>
          <w:tcPr>
            <w:tcW w:w="1413" w:type="dxa"/>
            <w:noWrap/>
          </w:tcPr>
          <w:p w14:paraId="0039C75D" w14:textId="77777777" w:rsidR="00F61D64" w:rsidRPr="00F7416B" w:rsidRDefault="00F61D64" w:rsidP="003A31ED">
            <w:pPr>
              <w:spacing w:after="0" w:line="240" w:lineRule="auto"/>
              <w:rPr>
                <w:rFonts w:eastAsia="Times New Roman" w:cs="Times New Roman"/>
                <w:color w:val="000000"/>
                <w:kern w:val="0"/>
                <w:sz w:val="18"/>
                <w:szCs w:val="18"/>
                <w:lang w:eastAsia="en-AU"/>
                <w14:ligatures w14:val="none"/>
              </w:rPr>
            </w:pPr>
            <w:r w:rsidRPr="00F7416B">
              <w:rPr>
                <w:sz w:val="18"/>
                <w:szCs w:val="18"/>
              </w:rPr>
              <w:t>1 yr</w:t>
            </w:r>
          </w:p>
        </w:tc>
        <w:tc>
          <w:tcPr>
            <w:tcW w:w="1701" w:type="dxa"/>
            <w:vMerge w:val="restart"/>
            <w:vAlign w:val="center"/>
          </w:tcPr>
          <w:p w14:paraId="43A1F0F5"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950</w:t>
            </w:r>
          </w:p>
        </w:tc>
        <w:tc>
          <w:tcPr>
            <w:tcW w:w="1630" w:type="dxa"/>
            <w:vMerge w:val="restart"/>
            <w:vAlign w:val="center"/>
          </w:tcPr>
          <w:p w14:paraId="36A5CD5C"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1,000</w:t>
            </w:r>
          </w:p>
        </w:tc>
        <w:tc>
          <w:tcPr>
            <w:tcW w:w="1630" w:type="dxa"/>
            <w:vMerge w:val="restart"/>
            <w:noWrap/>
            <w:vAlign w:val="center"/>
          </w:tcPr>
          <w:p w14:paraId="11C408EF"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1,100*</w:t>
            </w:r>
          </w:p>
        </w:tc>
        <w:tc>
          <w:tcPr>
            <w:tcW w:w="1559" w:type="dxa"/>
            <w:vMerge w:val="restart"/>
            <w:vAlign w:val="center"/>
          </w:tcPr>
          <w:p w14:paraId="28976961"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1,200</w:t>
            </w:r>
          </w:p>
        </w:tc>
        <w:tc>
          <w:tcPr>
            <w:tcW w:w="1701" w:type="dxa"/>
            <w:vMerge w:val="restart"/>
            <w:noWrap/>
            <w:vAlign w:val="center"/>
          </w:tcPr>
          <w:p w14:paraId="53B27CB0"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1,100</w:t>
            </w:r>
          </w:p>
        </w:tc>
        <w:tc>
          <w:tcPr>
            <w:tcW w:w="1701" w:type="dxa"/>
            <w:vMerge w:val="restart"/>
            <w:vAlign w:val="center"/>
          </w:tcPr>
          <w:p w14:paraId="01664C99"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rFonts w:eastAsia="Times New Roman" w:cs="Times New Roman"/>
                <w:color w:val="000000"/>
                <w:kern w:val="0"/>
                <w:sz w:val="18"/>
                <w:szCs w:val="18"/>
                <w:lang w:eastAsia="en-AU"/>
                <w14:ligatures w14:val="none"/>
              </w:rPr>
              <w:t>Not specified</w:t>
            </w:r>
          </w:p>
        </w:tc>
        <w:tc>
          <w:tcPr>
            <w:tcW w:w="1984" w:type="dxa"/>
          </w:tcPr>
          <w:p w14:paraId="4C954932"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Pr>
                <w:rFonts w:eastAsia="Times New Roman" w:cs="Times New Roman"/>
                <w:color w:val="000000"/>
                <w:kern w:val="0"/>
                <w:sz w:val="18"/>
                <w:szCs w:val="18"/>
                <w:lang w:eastAsia="en-AU"/>
                <w14:ligatures w14:val="none"/>
              </w:rPr>
              <w:t>Not specified</w:t>
            </w:r>
          </w:p>
        </w:tc>
      </w:tr>
      <w:tr w:rsidR="00F61D64" w:rsidRPr="00F7416B" w14:paraId="33E79042" w14:textId="77777777" w:rsidTr="003A31ED">
        <w:trPr>
          <w:trHeight w:val="255"/>
        </w:trPr>
        <w:tc>
          <w:tcPr>
            <w:tcW w:w="1413" w:type="dxa"/>
            <w:noWrap/>
          </w:tcPr>
          <w:p w14:paraId="46D59E67" w14:textId="77777777" w:rsidR="00F61D64" w:rsidRPr="00F7416B" w:rsidRDefault="00F61D64" w:rsidP="003A31ED">
            <w:pPr>
              <w:spacing w:after="0" w:line="240" w:lineRule="auto"/>
              <w:rPr>
                <w:rFonts w:eastAsia="Times New Roman" w:cs="Times New Roman"/>
                <w:color w:val="000000"/>
                <w:kern w:val="0"/>
                <w:sz w:val="18"/>
                <w:szCs w:val="18"/>
                <w:lang w:eastAsia="en-AU"/>
                <w14:ligatures w14:val="none"/>
              </w:rPr>
            </w:pPr>
            <w:r w:rsidRPr="00F7416B">
              <w:rPr>
                <w:sz w:val="18"/>
                <w:szCs w:val="18"/>
              </w:rPr>
              <w:t>2 yr</w:t>
            </w:r>
          </w:p>
        </w:tc>
        <w:tc>
          <w:tcPr>
            <w:tcW w:w="1701" w:type="dxa"/>
            <w:vMerge/>
            <w:vAlign w:val="center"/>
          </w:tcPr>
          <w:p w14:paraId="0C2AB1F5"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630" w:type="dxa"/>
            <w:vMerge/>
            <w:vAlign w:val="center"/>
          </w:tcPr>
          <w:p w14:paraId="5CF9C3FE" w14:textId="77777777" w:rsidR="00F61D64" w:rsidRPr="00F7416B" w:rsidRDefault="00F61D64" w:rsidP="003A31ED">
            <w:pPr>
              <w:spacing w:after="0" w:line="240" w:lineRule="auto"/>
              <w:jc w:val="center"/>
              <w:rPr>
                <w:sz w:val="18"/>
                <w:szCs w:val="18"/>
              </w:rPr>
            </w:pPr>
          </w:p>
        </w:tc>
        <w:tc>
          <w:tcPr>
            <w:tcW w:w="1630" w:type="dxa"/>
            <w:vMerge/>
            <w:noWrap/>
            <w:vAlign w:val="center"/>
          </w:tcPr>
          <w:p w14:paraId="74E0C5C1"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559" w:type="dxa"/>
            <w:vMerge/>
            <w:vAlign w:val="center"/>
          </w:tcPr>
          <w:p w14:paraId="6E0F7F30"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noWrap/>
            <w:vAlign w:val="center"/>
          </w:tcPr>
          <w:p w14:paraId="638F3ADD"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vAlign w:val="center"/>
          </w:tcPr>
          <w:p w14:paraId="08D215D1"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984" w:type="dxa"/>
            <w:vMerge w:val="restart"/>
            <w:vAlign w:val="center"/>
          </w:tcPr>
          <w:p w14:paraId="7E9BAB1E" w14:textId="77777777" w:rsidR="00F61D64" w:rsidRDefault="00F61D64" w:rsidP="003A31ED">
            <w:pPr>
              <w:spacing w:after="0" w:line="240" w:lineRule="auto"/>
              <w:jc w:val="center"/>
              <w:rPr>
                <w:rFonts w:eastAsia="Times New Roman" w:cs="Times New Roman"/>
                <w:color w:val="000000"/>
                <w:kern w:val="0"/>
                <w:sz w:val="18"/>
                <w:szCs w:val="18"/>
                <w:lang w:eastAsia="en-AU"/>
                <w14:ligatures w14:val="none"/>
              </w:rPr>
            </w:pPr>
            <w:r>
              <w:rPr>
                <w:rFonts w:eastAsia="Times New Roman" w:cs="Times New Roman"/>
                <w:color w:val="000000"/>
                <w:kern w:val="0"/>
                <w:sz w:val="18"/>
                <w:szCs w:val="18"/>
                <w:lang w:eastAsia="en-AU"/>
                <w14:ligatures w14:val="none"/>
              </w:rPr>
              <w:t>No specific value provided</w:t>
            </w:r>
          </w:p>
          <w:p w14:paraId="3500A6F1" w14:textId="77777777" w:rsidR="00F61D64" w:rsidRDefault="00F61D64" w:rsidP="003A31ED">
            <w:pPr>
              <w:spacing w:after="0" w:line="240" w:lineRule="auto"/>
              <w:jc w:val="center"/>
              <w:rPr>
                <w:rFonts w:eastAsia="Times New Roman" w:cs="Times New Roman"/>
                <w:color w:val="000000"/>
                <w:kern w:val="0"/>
                <w:sz w:val="18"/>
                <w:szCs w:val="18"/>
                <w:lang w:eastAsia="en-AU"/>
                <w14:ligatures w14:val="none"/>
              </w:rPr>
            </w:pPr>
          </w:p>
          <w:p w14:paraId="75114DEE"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E369AF">
              <w:rPr>
                <w:rFonts w:eastAsia="Times New Roman" w:cs="Times New Roman"/>
                <w:color w:val="000000"/>
                <w:kern w:val="0"/>
                <w:sz w:val="18"/>
                <w:szCs w:val="18"/>
                <w:lang w:eastAsia="en-AU"/>
                <w14:ligatures w14:val="none"/>
              </w:rPr>
              <w:t xml:space="preserve">For children aged 2–15 years, WHO recommends adjusting the adult dose </w:t>
            </w:r>
            <w:r>
              <w:rPr>
                <w:rFonts w:eastAsia="Times New Roman" w:cs="Times New Roman"/>
                <w:color w:val="000000"/>
                <w:kern w:val="0"/>
                <w:sz w:val="18"/>
                <w:szCs w:val="18"/>
                <w:lang w:eastAsia="en-AU"/>
                <w14:ligatures w14:val="none"/>
              </w:rPr>
              <w:t xml:space="preserve">(2,000 mg/day) </w:t>
            </w:r>
            <w:r w:rsidRPr="00E369AF">
              <w:rPr>
                <w:rFonts w:eastAsia="Times New Roman" w:cs="Times New Roman"/>
                <w:color w:val="000000"/>
                <w:kern w:val="0"/>
                <w:sz w:val="18"/>
                <w:szCs w:val="18"/>
                <w:lang w:eastAsia="en-AU"/>
                <w14:ligatures w14:val="none"/>
              </w:rPr>
              <w:t>downward based on energy requirements.</w:t>
            </w:r>
          </w:p>
        </w:tc>
      </w:tr>
      <w:tr w:rsidR="00F61D64" w:rsidRPr="00F7416B" w14:paraId="323A9276" w14:textId="77777777" w:rsidTr="003A31ED">
        <w:trPr>
          <w:trHeight w:val="255"/>
        </w:trPr>
        <w:tc>
          <w:tcPr>
            <w:tcW w:w="1413" w:type="dxa"/>
            <w:noWrap/>
          </w:tcPr>
          <w:p w14:paraId="559603ED" w14:textId="77777777" w:rsidR="00F61D64" w:rsidRPr="00F7416B" w:rsidRDefault="00F61D64" w:rsidP="003A31ED">
            <w:pPr>
              <w:spacing w:after="0" w:line="240" w:lineRule="auto"/>
              <w:rPr>
                <w:rFonts w:eastAsia="Times New Roman" w:cs="Times New Roman"/>
                <w:color w:val="000000"/>
                <w:kern w:val="0"/>
                <w:sz w:val="18"/>
                <w:szCs w:val="18"/>
                <w:lang w:eastAsia="en-AU"/>
                <w14:ligatures w14:val="none"/>
              </w:rPr>
            </w:pPr>
            <w:r w:rsidRPr="00F7416B">
              <w:rPr>
                <w:sz w:val="18"/>
                <w:szCs w:val="18"/>
              </w:rPr>
              <w:t>3 yr</w:t>
            </w:r>
          </w:p>
        </w:tc>
        <w:tc>
          <w:tcPr>
            <w:tcW w:w="1701" w:type="dxa"/>
            <w:vMerge/>
            <w:vAlign w:val="center"/>
          </w:tcPr>
          <w:p w14:paraId="77216DAA"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630" w:type="dxa"/>
            <w:vMerge/>
            <w:vAlign w:val="center"/>
          </w:tcPr>
          <w:p w14:paraId="58791967" w14:textId="77777777" w:rsidR="00F61D64" w:rsidRPr="00F7416B" w:rsidRDefault="00F61D64" w:rsidP="003A31ED">
            <w:pPr>
              <w:spacing w:after="0" w:line="240" w:lineRule="auto"/>
              <w:jc w:val="center"/>
              <w:rPr>
                <w:sz w:val="18"/>
                <w:szCs w:val="18"/>
              </w:rPr>
            </w:pPr>
          </w:p>
        </w:tc>
        <w:tc>
          <w:tcPr>
            <w:tcW w:w="1630" w:type="dxa"/>
            <w:vMerge/>
            <w:noWrap/>
            <w:vAlign w:val="center"/>
          </w:tcPr>
          <w:p w14:paraId="38D06DFE"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559" w:type="dxa"/>
            <w:vMerge/>
            <w:vAlign w:val="center"/>
          </w:tcPr>
          <w:p w14:paraId="2F18807E"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noWrap/>
            <w:vAlign w:val="center"/>
          </w:tcPr>
          <w:p w14:paraId="5A0625BB"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vAlign w:val="center"/>
          </w:tcPr>
          <w:p w14:paraId="38E26D79"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984" w:type="dxa"/>
            <w:vMerge/>
          </w:tcPr>
          <w:p w14:paraId="618E7C11"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r>
      <w:tr w:rsidR="00F61D64" w:rsidRPr="00F7416B" w14:paraId="5F978AAF" w14:textId="77777777" w:rsidTr="003A31ED">
        <w:trPr>
          <w:trHeight w:val="255"/>
        </w:trPr>
        <w:tc>
          <w:tcPr>
            <w:tcW w:w="1413" w:type="dxa"/>
            <w:noWrap/>
          </w:tcPr>
          <w:p w14:paraId="0C117D21" w14:textId="77777777" w:rsidR="00F61D64" w:rsidRPr="00F7416B" w:rsidRDefault="00F61D64" w:rsidP="003A31ED">
            <w:pPr>
              <w:spacing w:after="0" w:line="240" w:lineRule="auto"/>
              <w:rPr>
                <w:rFonts w:eastAsia="Times New Roman" w:cs="Times New Roman"/>
                <w:color w:val="000000"/>
                <w:kern w:val="0"/>
                <w:sz w:val="18"/>
                <w:szCs w:val="18"/>
                <w:lang w:eastAsia="en-AU"/>
                <w14:ligatures w14:val="none"/>
              </w:rPr>
            </w:pPr>
            <w:r w:rsidRPr="00F7416B">
              <w:rPr>
                <w:sz w:val="18"/>
                <w:szCs w:val="18"/>
              </w:rPr>
              <w:t>4 yr</w:t>
            </w:r>
          </w:p>
        </w:tc>
        <w:tc>
          <w:tcPr>
            <w:tcW w:w="1701" w:type="dxa"/>
            <w:vMerge w:val="restart"/>
            <w:vAlign w:val="center"/>
          </w:tcPr>
          <w:p w14:paraId="15FA20AD"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 xml:space="preserve">1,250 </w:t>
            </w:r>
            <w:r>
              <w:rPr>
                <w:sz w:val="18"/>
                <w:szCs w:val="18"/>
              </w:rPr>
              <w:t>or</w:t>
            </w:r>
            <w:r w:rsidRPr="00F7416B">
              <w:rPr>
                <w:sz w:val="18"/>
                <w:szCs w:val="18"/>
              </w:rPr>
              <w:t xml:space="preserve"> 1,400</w:t>
            </w:r>
          </w:p>
        </w:tc>
        <w:tc>
          <w:tcPr>
            <w:tcW w:w="1630" w:type="dxa"/>
            <w:vMerge w:val="restart"/>
            <w:vAlign w:val="center"/>
          </w:tcPr>
          <w:p w14:paraId="37C43D7A" w14:textId="77777777" w:rsidR="00F61D64" w:rsidRPr="00F7416B" w:rsidRDefault="00F61D64" w:rsidP="003A31ED">
            <w:pPr>
              <w:spacing w:after="0" w:line="240" w:lineRule="auto"/>
              <w:jc w:val="center"/>
              <w:rPr>
                <w:sz w:val="18"/>
                <w:szCs w:val="18"/>
              </w:rPr>
            </w:pPr>
            <w:r w:rsidRPr="00F7416B">
              <w:rPr>
                <w:sz w:val="18"/>
                <w:szCs w:val="18"/>
              </w:rPr>
              <w:t>1,400</w:t>
            </w:r>
          </w:p>
        </w:tc>
        <w:tc>
          <w:tcPr>
            <w:tcW w:w="1630" w:type="dxa"/>
            <w:vMerge w:val="restart"/>
            <w:noWrap/>
            <w:vAlign w:val="center"/>
          </w:tcPr>
          <w:p w14:paraId="7E7746BC"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1,300*</w:t>
            </w:r>
          </w:p>
        </w:tc>
        <w:tc>
          <w:tcPr>
            <w:tcW w:w="1559" w:type="dxa"/>
            <w:vMerge w:val="restart"/>
            <w:vAlign w:val="center"/>
          </w:tcPr>
          <w:p w14:paraId="40E19D32"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1,500</w:t>
            </w:r>
          </w:p>
        </w:tc>
        <w:tc>
          <w:tcPr>
            <w:tcW w:w="1701" w:type="dxa"/>
            <w:vMerge w:val="restart"/>
            <w:noWrap/>
            <w:vAlign w:val="center"/>
          </w:tcPr>
          <w:p w14:paraId="2A586D98"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1,400</w:t>
            </w:r>
          </w:p>
        </w:tc>
        <w:tc>
          <w:tcPr>
            <w:tcW w:w="1701" w:type="dxa"/>
            <w:vMerge/>
            <w:vAlign w:val="center"/>
          </w:tcPr>
          <w:p w14:paraId="1D711F50"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984" w:type="dxa"/>
            <w:vMerge/>
          </w:tcPr>
          <w:p w14:paraId="17CAF14B"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r>
      <w:tr w:rsidR="00F61D64" w:rsidRPr="00F7416B" w14:paraId="4885A90A" w14:textId="77777777" w:rsidTr="003A31ED">
        <w:trPr>
          <w:trHeight w:val="255"/>
        </w:trPr>
        <w:tc>
          <w:tcPr>
            <w:tcW w:w="1413" w:type="dxa"/>
            <w:noWrap/>
          </w:tcPr>
          <w:p w14:paraId="53B03D81" w14:textId="77777777" w:rsidR="00F61D64" w:rsidRPr="00F7416B" w:rsidRDefault="00F61D64" w:rsidP="003A31ED">
            <w:pPr>
              <w:spacing w:after="0" w:line="240" w:lineRule="auto"/>
              <w:rPr>
                <w:rFonts w:eastAsia="Times New Roman" w:cs="Times New Roman"/>
                <w:color w:val="000000"/>
                <w:kern w:val="0"/>
                <w:sz w:val="18"/>
                <w:szCs w:val="18"/>
                <w:lang w:eastAsia="en-AU"/>
                <w14:ligatures w14:val="none"/>
              </w:rPr>
            </w:pPr>
            <w:r w:rsidRPr="00F7416B">
              <w:rPr>
                <w:sz w:val="18"/>
                <w:szCs w:val="18"/>
              </w:rPr>
              <w:t>5 yr</w:t>
            </w:r>
          </w:p>
        </w:tc>
        <w:tc>
          <w:tcPr>
            <w:tcW w:w="1701" w:type="dxa"/>
            <w:vMerge/>
            <w:vAlign w:val="center"/>
          </w:tcPr>
          <w:p w14:paraId="2B346737"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630" w:type="dxa"/>
            <w:vMerge/>
            <w:vAlign w:val="center"/>
          </w:tcPr>
          <w:p w14:paraId="14686B4C" w14:textId="77777777" w:rsidR="00F61D64" w:rsidRPr="00F7416B" w:rsidRDefault="00F61D64" w:rsidP="003A31ED">
            <w:pPr>
              <w:spacing w:after="0" w:line="240" w:lineRule="auto"/>
              <w:jc w:val="center"/>
              <w:rPr>
                <w:sz w:val="18"/>
                <w:szCs w:val="18"/>
              </w:rPr>
            </w:pPr>
          </w:p>
        </w:tc>
        <w:tc>
          <w:tcPr>
            <w:tcW w:w="1630" w:type="dxa"/>
            <w:vMerge/>
            <w:noWrap/>
            <w:vAlign w:val="center"/>
          </w:tcPr>
          <w:p w14:paraId="04E8EC93"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559" w:type="dxa"/>
            <w:vMerge/>
            <w:vAlign w:val="center"/>
          </w:tcPr>
          <w:p w14:paraId="76C86C16"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noWrap/>
            <w:vAlign w:val="center"/>
          </w:tcPr>
          <w:p w14:paraId="01E77A0A"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vAlign w:val="center"/>
          </w:tcPr>
          <w:p w14:paraId="2841706E"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984" w:type="dxa"/>
            <w:vMerge/>
          </w:tcPr>
          <w:p w14:paraId="7182F88A"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r>
      <w:tr w:rsidR="00F61D64" w:rsidRPr="00F7416B" w14:paraId="2CAFEEC9" w14:textId="77777777" w:rsidTr="003A31ED">
        <w:trPr>
          <w:trHeight w:val="255"/>
        </w:trPr>
        <w:tc>
          <w:tcPr>
            <w:tcW w:w="1413" w:type="dxa"/>
            <w:noWrap/>
          </w:tcPr>
          <w:p w14:paraId="4AB2B57B" w14:textId="77777777" w:rsidR="00F61D64" w:rsidRPr="00F7416B" w:rsidRDefault="00F61D64" w:rsidP="003A31ED">
            <w:pPr>
              <w:spacing w:after="0" w:line="240" w:lineRule="auto"/>
              <w:rPr>
                <w:rFonts w:eastAsia="Times New Roman" w:cs="Times New Roman"/>
                <w:color w:val="000000"/>
                <w:kern w:val="0"/>
                <w:sz w:val="18"/>
                <w:szCs w:val="18"/>
                <w:lang w:eastAsia="en-AU"/>
                <w14:ligatures w14:val="none"/>
              </w:rPr>
            </w:pPr>
            <w:r w:rsidRPr="00F7416B">
              <w:rPr>
                <w:sz w:val="18"/>
                <w:szCs w:val="18"/>
              </w:rPr>
              <w:t>6 yr</w:t>
            </w:r>
          </w:p>
        </w:tc>
        <w:tc>
          <w:tcPr>
            <w:tcW w:w="1701" w:type="dxa"/>
            <w:vMerge/>
            <w:vAlign w:val="center"/>
          </w:tcPr>
          <w:p w14:paraId="44E90926"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630" w:type="dxa"/>
            <w:vMerge/>
            <w:vAlign w:val="center"/>
          </w:tcPr>
          <w:p w14:paraId="3B10CC00" w14:textId="77777777" w:rsidR="00F61D64" w:rsidRPr="00F7416B" w:rsidRDefault="00F61D64" w:rsidP="003A31ED">
            <w:pPr>
              <w:spacing w:after="0" w:line="240" w:lineRule="auto"/>
              <w:jc w:val="center"/>
              <w:rPr>
                <w:sz w:val="18"/>
                <w:szCs w:val="18"/>
              </w:rPr>
            </w:pPr>
          </w:p>
        </w:tc>
        <w:tc>
          <w:tcPr>
            <w:tcW w:w="1630" w:type="dxa"/>
            <w:vMerge/>
            <w:noWrap/>
            <w:vAlign w:val="center"/>
          </w:tcPr>
          <w:p w14:paraId="0E6EE3A3"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559" w:type="dxa"/>
            <w:vMerge/>
            <w:vAlign w:val="center"/>
          </w:tcPr>
          <w:p w14:paraId="4F1F8A34"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noWrap/>
            <w:vAlign w:val="center"/>
          </w:tcPr>
          <w:p w14:paraId="0805CA41"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vAlign w:val="center"/>
          </w:tcPr>
          <w:p w14:paraId="612CDF87"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984" w:type="dxa"/>
            <w:vMerge/>
          </w:tcPr>
          <w:p w14:paraId="11881590"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r>
      <w:tr w:rsidR="00F61D64" w:rsidRPr="00F7416B" w14:paraId="16F82DA4" w14:textId="77777777" w:rsidTr="003A31ED">
        <w:trPr>
          <w:trHeight w:val="255"/>
        </w:trPr>
        <w:tc>
          <w:tcPr>
            <w:tcW w:w="1413" w:type="dxa"/>
            <w:noWrap/>
          </w:tcPr>
          <w:p w14:paraId="746854B5" w14:textId="77777777" w:rsidR="00F61D64" w:rsidRPr="00F7416B" w:rsidRDefault="00F61D64" w:rsidP="003A31ED">
            <w:pPr>
              <w:spacing w:after="0" w:line="240" w:lineRule="auto"/>
              <w:rPr>
                <w:rFonts w:eastAsia="Times New Roman" w:cs="Times New Roman"/>
                <w:color w:val="000000"/>
                <w:kern w:val="0"/>
                <w:sz w:val="18"/>
                <w:szCs w:val="18"/>
                <w:lang w:eastAsia="en-AU"/>
                <w14:ligatures w14:val="none"/>
              </w:rPr>
            </w:pPr>
            <w:r w:rsidRPr="00F7416B">
              <w:rPr>
                <w:sz w:val="18"/>
                <w:szCs w:val="18"/>
              </w:rPr>
              <w:t>7 yr</w:t>
            </w:r>
          </w:p>
        </w:tc>
        <w:tc>
          <w:tcPr>
            <w:tcW w:w="1701" w:type="dxa"/>
            <w:vMerge/>
            <w:vAlign w:val="center"/>
          </w:tcPr>
          <w:p w14:paraId="61868CBA"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630" w:type="dxa"/>
            <w:vMerge/>
            <w:vAlign w:val="center"/>
          </w:tcPr>
          <w:p w14:paraId="01D1A7D9" w14:textId="77777777" w:rsidR="00F61D64" w:rsidRPr="00F7416B" w:rsidRDefault="00F61D64" w:rsidP="003A31ED">
            <w:pPr>
              <w:spacing w:after="0" w:line="240" w:lineRule="auto"/>
              <w:jc w:val="center"/>
              <w:rPr>
                <w:sz w:val="18"/>
                <w:szCs w:val="18"/>
              </w:rPr>
            </w:pPr>
          </w:p>
        </w:tc>
        <w:tc>
          <w:tcPr>
            <w:tcW w:w="1630" w:type="dxa"/>
            <w:vMerge w:val="restart"/>
            <w:noWrap/>
            <w:vAlign w:val="center"/>
          </w:tcPr>
          <w:p w14:paraId="6320CF00"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1,700*</w:t>
            </w:r>
          </w:p>
        </w:tc>
        <w:tc>
          <w:tcPr>
            <w:tcW w:w="1559" w:type="dxa"/>
            <w:vMerge/>
            <w:vAlign w:val="center"/>
          </w:tcPr>
          <w:p w14:paraId="7CB2226B"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val="restart"/>
            <w:noWrap/>
            <w:vAlign w:val="center"/>
          </w:tcPr>
          <w:p w14:paraId="58DF5789"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1,700</w:t>
            </w:r>
          </w:p>
        </w:tc>
        <w:tc>
          <w:tcPr>
            <w:tcW w:w="1701" w:type="dxa"/>
            <w:vMerge/>
            <w:vAlign w:val="center"/>
          </w:tcPr>
          <w:p w14:paraId="0B2DF592"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984" w:type="dxa"/>
            <w:vMerge/>
          </w:tcPr>
          <w:p w14:paraId="7D328A7F"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r>
      <w:tr w:rsidR="00F61D64" w:rsidRPr="00F7416B" w14:paraId="75DC0412" w14:textId="77777777" w:rsidTr="003A31ED">
        <w:trPr>
          <w:trHeight w:val="255"/>
        </w:trPr>
        <w:tc>
          <w:tcPr>
            <w:tcW w:w="1413" w:type="dxa"/>
            <w:noWrap/>
          </w:tcPr>
          <w:p w14:paraId="49FB97A9" w14:textId="77777777" w:rsidR="00F61D64" w:rsidRPr="00F7416B" w:rsidRDefault="00F61D64" w:rsidP="003A31ED">
            <w:pPr>
              <w:spacing w:after="0" w:line="240" w:lineRule="auto"/>
              <w:rPr>
                <w:rFonts w:eastAsia="Times New Roman" w:cs="Times New Roman"/>
                <w:color w:val="000000"/>
                <w:kern w:val="0"/>
                <w:sz w:val="18"/>
                <w:szCs w:val="18"/>
                <w:lang w:eastAsia="en-AU"/>
                <w14:ligatures w14:val="none"/>
              </w:rPr>
            </w:pPr>
            <w:r w:rsidRPr="00F7416B">
              <w:rPr>
                <w:sz w:val="18"/>
                <w:szCs w:val="18"/>
              </w:rPr>
              <w:t>8 yr</w:t>
            </w:r>
          </w:p>
        </w:tc>
        <w:tc>
          <w:tcPr>
            <w:tcW w:w="1701" w:type="dxa"/>
            <w:vMerge/>
            <w:vAlign w:val="center"/>
          </w:tcPr>
          <w:p w14:paraId="53F6193E"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630" w:type="dxa"/>
            <w:vMerge/>
            <w:vAlign w:val="center"/>
          </w:tcPr>
          <w:p w14:paraId="23333A1D" w14:textId="77777777" w:rsidR="00F61D64" w:rsidRPr="00F7416B" w:rsidRDefault="00F61D64" w:rsidP="003A31ED">
            <w:pPr>
              <w:spacing w:after="0" w:line="240" w:lineRule="auto"/>
              <w:jc w:val="center"/>
              <w:rPr>
                <w:sz w:val="18"/>
                <w:szCs w:val="18"/>
              </w:rPr>
            </w:pPr>
          </w:p>
        </w:tc>
        <w:tc>
          <w:tcPr>
            <w:tcW w:w="1630" w:type="dxa"/>
            <w:vMerge/>
            <w:noWrap/>
            <w:vAlign w:val="center"/>
          </w:tcPr>
          <w:p w14:paraId="7F493529"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559" w:type="dxa"/>
            <w:vMerge/>
            <w:vAlign w:val="center"/>
          </w:tcPr>
          <w:p w14:paraId="368962CD"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noWrap/>
            <w:vAlign w:val="center"/>
          </w:tcPr>
          <w:p w14:paraId="4FA02485"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vAlign w:val="center"/>
          </w:tcPr>
          <w:p w14:paraId="4DA5D82F"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984" w:type="dxa"/>
            <w:vMerge/>
          </w:tcPr>
          <w:p w14:paraId="6E63630E"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r>
      <w:tr w:rsidR="00F61D64" w:rsidRPr="00F7416B" w14:paraId="3F08B43D" w14:textId="77777777" w:rsidTr="003A31ED">
        <w:trPr>
          <w:trHeight w:val="255"/>
        </w:trPr>
        <w:tc>
          <w:tcPr>
            <w:tcW w:w="1413" w:type="dxa"/>
            <w:noWrap/>
          </w:tcPr>
          <w:p w14:paraId="14952DA3" w14:textId="77777777" w:rsidR="00F61D64" w:rsidRPr="00F7416B" w:rsidRDefault="00F61D64" w:rsidP="003A31ED">
            <w:pPr>
              <w:spacing w:after="0" w:line="240" w:lineRule="auto"/>
              <w:rPr>
                <w:rFonts w:eastAsia="Times New Roman" w:cs="Times New Roman"/>
                <w:color w:val="000000"/>
                <w:kern w:val="0"/>
                <w:sz w:val="18"/>
                <w:szCs w:val="18"/>
                <w:lang w:eastAsia="en-AU"/>
                <w14:ligatures w14:val="none"/>
              </w:rPr>
            </w:pPr>
            <w:r w:rsidRPr="00F7416B">
              <w:rPr>
                <w:sz w:val="18"/>
                <w:szCs w:val="18"/>
              </w:rPr>
              <w:t>9 yr</w:t>
            </w:r>
          </w:p>
        </w:tc>
        <w:tc>
          <w:tcPr>
            <w:tcW w:w="1701" w:type="dxa"/>
            <w:vMerge w:val="restart"/>
            <w:vAlign w:val="center"/>
          </w:tcPr>
          <w:p w14:paraId="3A048CDF"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rFonts w:eastAsia="Times New Roman" w:cs="Times New Roman"/>
                <w:color w:val="000000"/>
                <w:kern w:val="0"/>
                <w:sz w:val="18"/>
                <w:szCs w:val="18"/>
                <w:lang w:eastAsia="en-AU"/>
                <w14:ligatures w14:val="none"/>
              </w:rPr>
              <w:t xml:space="preserve">1,750 </w:t>
            </w:r>
            <w:r>
              <w:rPr>
                <w:rFonts w:eastAsia="Times New Roman" w:cs="Times New Roman"/>
                <w:color w:val="000000"/>
                <w:kern w:val="0"/>
                <w:sz w:val="18"/>
                <w:szCs w:val="18"/>
                <w:lang w:eastAsia="en-AU"/>
                <w14:ligatures w14:val="none"/>
              </w:rPr>
              <w:t>or</w:t>
            </w:r>
            <w:r w:rsidRPr="00F7416B">
              <w:rPr>
                <w:rFonts w:eastAsia="Times New Roman" w:cs="Times New Roman"/>
                <w:color w:val="000000"/>
                <w:kern w:val="0"/>
                <w:sz w:val="18"/>
                <w:szCs w:val="18"/>
                <w:lang w:eastAsia="en-AU"/>
                <w14:ligatures w14:val="none"/>
              </w:rPr>
              <w:t xml:space="preserve"> 2,000</w:t>
            </w:r>
          </w:p>
        </w:tc>
        <w:tc>
          <w:tcPr>
            <w:tcW w:w="1630" w:type="dxa"/>
            <w:vMerge w:val="restart"/>
            <w:vAlign w:val="center"/>
          </w:tcPr>
          <w:p w14:paraId="5B9D2BDD" w14:textId="77777777" w:rsidR="00F61D64" w:rsidRPr="00F7416B" w:rsidRDefault="00F61D64" w:rsidP="003A31ED">
            <w:pPr>
              <w:spacing w:after="0" w:line="240" w:lineRule="auto"/>
              <w:jc w:val="center"/>
              <w:rPr>
                <w:sz w:val="18"/>
                <w:szCs w:val="18"/>
              </w:rPr>
            </w:pPr>
            <w:r w:rsidRPr="00F7416B">
              <w:rPr>
                <w:sz w:val="18"/>
                <w:szCs w:val="18"/>
              </w:rPr>
              <w:t>2,000</w:t>
            </w:r>
          </w:p>
        </w:tc>
        <w:tc>
          <w:tcPr>
            <w:tcW w:w="1630" w:type="dxa"/>
            <w:vMerge/>
            <w:noWrap/>
            <w:vAlign w:val="center"/>
          </w:tcPr>
          <w:p w14:paraId="37A8A9DB"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559" w:type="dxa"/>
            <w:vMerge w:val="restart"/>
            <w:vAlign w:val="center"/>
          </w:tcPr>
          <w:p w14:paraId="5C8917F7"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1,800</w:t>
            </w:r>
          </w:p>
        </w:tc>
        <w:tc>
          <w:tcPr>
            <w:tcW w:w="1701" w:type="dxa"/>
            <w:vMerge/>
            <w:noWrap/>
            <w:vAlign w:val="center"/>
          </w:tcPr>
          <w:p w14:paraId="12693DAB"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vAlign w:val="center"/>
          </w:tcPr>
          <w:p w14:paraId="6A6F81EA"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984" w:type="dxa"/>
            <w:vMerge/>
          </w:tcPr>
          <w:p w14:paraId="52D7E212"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r>
      <w:tr w:rsidR="00F61D64" w:rsidRPr="00F7416B" w14:paraId="524EF0A3" w14:textId="77777777" w:rsidTr="003A31ED">
        <w:trPr>
          <w:trHeight w:val="255"/>
        </w:trPr>
        <w:tc>
          <w:tcPr>
            <w:tcW w:w="1413" w:type="dxa"/>
            <w:noWrap/>
          </w:tcPr>
          <w:p w14:paraId="4BF770FC" w14:textId="77777777" w:rsidR="00F61D64" w:rsidRPr="00F7416B" w:rsidRDefault="00F61D64" w:rsidP="003A31ED">
            <w:pPr>
              <w:spacing w:after="0" w:line="240" w:lineRule="auto"/>
              <w:rPr>
                <w:rFonts w:eastAsia="Times New Roman" w:cs="Times New Roman"/>
                <w:color w:val="000000"/>
                <w:kern w:val="0"/>
                <w:sz w:val="18"/>
                <w:szCs w:val="18"/>
                <w:lang w:eastAsia="en-AU"/>
                <w14:ligatures w14:val="none"/>
              </w:rPr>
            </w:pPr>
            <w:r w:rsidRPr="00F7416B">
              <w:rPr>
                <w:sz w:val="18"/>
                <w:szCs w:val="18"/>
              </w:rPr>
              <w:t>10 yr</w:t>
            </w:r>
          </w:p>
        </w:tc>
        <w:tc>
          <w:tcPr>
            <w:tcW w:w="1701" w:type="dxa"/>
            <w:vMerge/>
            <w:vAlign w:val="center"/>
          </w:tcPr>
          <w:p w14:paraId="6EB651CE"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630" w:type="dxa"/>
            <w:vMerge/>
            <w:vAlign w:val="center"/>
          </w:tcPr>
          <w:p w14:paraId="636D3901" w14:textId="77777777" w:rsidR="00F61D64" w:rsidRPr="00F7416B" w:rsidRDefault="00F61D64" w:rsidP="003A31ED">
            <w:pPr>
              <w:spacing w:after="0" w:line="240" w:lineRule="auto"/>
              <w:jc w:val="center"/>
              <w:rPr>
                <w:sz w:val="18"/>
                <w:szCs w:val="18"/>
              </w:rPr>
            </w:pPr>
          </w:p>
        </w:tc>
        <w:tc>
          <w:tcPr>
            <w:tcW w:w="1630" w:type="dxa"/>
            <w:vMerge/>
            <w:noWrap/>
            <w:vAlign w:val="center"/>
          </w:tcPr>
          <w:p w14:paraId="7030CE3A"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559" w:type="dxa"/>
            <w:vMerge/>
            <w:vAlign w:val="center"/>
          </w:tcPr>
          <w:p w14:paraId="1B64725F"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noWrap/>
            <w:vAlign w:val="center"/>
          </w:tcPr>
          <w:p w14:paraId="77845E2E"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vAlign w:val="center"/>
          </w:tcPr>
          <w:p w14:paraId="2C1E0957"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984" w:type="dxa"/>
            <w:vMerge/>
          </w:tcPr>
          <w:p w14:paraId="1759278C"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r>
      <w:tr w:rsidR="00F61D64" w:rsidRPr="00F7416B" w14:paraId="7A2638B8" w14:textId="77777777" w:rsidTr="003A31ED">
        <w:trPr>
          <w:trHeight w:val="255"/>
        </w:trPr>
        <w:tc>
          <w:tcPr>
            <w:tcW w:w="1413" w:type="dxa"/>
            <w:noWrap/>
          </w:tcPr>
          <w:p w14:paraId="397281B2" w14:textId="77777777" w:rsidR="00F61D64" w:rsidRPr="00F7416B" w:rsidRDefault="00F61D64" w:rsidP="003A31ED">
            <w:pPr>
              <w:spacing w:after="0" w:line="240" w:lineRule="auto"/>
              <w:rPr>
                <w:rFonts w:eastAsia="Times New Roman" w:cs="Times New Roman"/>
                <w:color w:val="000000"/>
                <w:kern w:val="0"/>
                <w:sz w:val="18"/>
                <w:szCs w:val="18"/>
                <w:lang w:eastAsia="en-AU"/>
                <w14:ligatures w14:val="none"/>
              </w:rPr>
            </w:pPr>
            <w:r w:rsidRPr="00F7416B">
              <w:rPr>
                <w:sz w:val="18"/>
                <w:szCs w:val="18"/>
              </w:rPr>
              <w:t>11 yr</w:t>
            </w:r>
          </w:p>
        </w:tc>
        <w:tc>
          <w:tcPr>
            <w:tcW w:w="1701" w:type="dxa"/>
            <w:vMerge/>
            <w:vAlign w:val="center"/>
          </w:tcPr>
          <w:p w14:paraId="78E65364"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630" w:type="dxa"/>
            <w:vMerge/>
            <w:vAlign w:val="center"/>
          </w:tcPr>
          <w:p w14:paraId="371A1957" w14:textId="77777777" w:rsidR="00F61D64" w:rsidRPr="00F7416B" w:rsidRDefault="00F61D64" w:rsidP="003A31ED">
            <w:pPr>
              <w:spacing w:after="0" w:line="240" w:lineRule="auto"/>
              <w:jc w:val="center"/>
              <w:rPr>
                <w:sz w:val="18"/>
                <w:szCs w:val="18"/>
              </w:rPr>
            </w:pPr>
          </w:p>
        </w:tc>
        <w:tc>
          <w:tcPr>
            <w:tcW w:w="1630" w:type="dxa"/>
            <w:vMerge w:val="restart"/>
            <w:noWrap/>
            <w:vAlign w:val="center"/>
          </w:tcPr>
          <w:p w14:paraId="7F4AFBBD"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2,000*</w:t>
            </w:r>
          </w:p>
        </w:tc>
        <w:tc>
          <w:tcPr>
            <w:tcW w:w="1559" w:type="dxa"/>
            <w:vMerge/>
            <w:vAlign w:val="center"/>
          </w:tcPr>
          <w:p w14:paraId="7AA87964"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val="restart"/>
            <w:noWrap/>
            <w:vAlign w:val="center"/>
          </w:tcPr>
          <w:p w14:paraId="2C45FBB9"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2,300</w:t>
            </w:r>
          </w:p>
        </w:tc>
        <w:tc>
          <w:tcPr>
            <w:tcW w:w="1701" w:type="dxa"/>
            <w:vMerge/>
            <w:vAlign w:val="center"/>
          </w:tcPr>
          <w:p w14:paraId="13D6AE91"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984" w:type="dxa"/>
            <w:vMerge/>
          </w:tcPr>
          <w:p w14:paraId="2DF3B9A8"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r>
      <w:tr w:rsidR="00F61D64" w:rsidRPr="00F7416B" w14:paraId="3361D67D" w14:textId="77777777" w:rsidTr="003A31ED">
        <w:trPr>
          <w:trHeight w:val="255"/>
        </w:trPr>
        <w:tc>
          <w:tcPr>
            <w:tcW w:w="1413" w:type="dxa"/>
            <w:noWrap/>
          </w:tcPr>
          <w:p w14:paraId="275AF11E" w14:textId="77777777" w:rsidR="00F61D64" w:rsidRPr="00F7416B" w:rsidRDefault="00F61D64" w:rsidP="003A31ED">
            <w:pPr>
              <w:spacing w:after="0" w:line="240" w:lineRule="auto"/>
              <w:rPr>
                <w:rFonts w:eastAsia="Times New Roman" w:cs="Times New Roman"/>
                <w:color w:val="000000"/>
                <w:kern w:val="0"/>
                <w:sz w:val="18"/>
                <w:szCs w:val="18"/>
                <w:lang w:eastAsia="en-AU"/>
                <w14:ligatures w14:val="none"/>
              </w:rPr>
            </w:pPr>
            <w:r w:rsidRPr="00F7416B">
              <w:rPr>
                <w:sz w:val="18"/>
                <w:szCs w:val="18"/>
              </w:rPr>
              <w:t>12 yr</w:t>
            </w:r>
          </w:p>
        </w:tc>
        <w:tc>
          <w:tcPr>
            <w:tcW w:w="1701" w:type="dxa"/>
            <w:vMerge/>
            <w:vAlign w:val="center"/>
          </w:tcPr>
          <w:p w14:paraId="66E0D28E"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630" w:type="dxa"/>
            <w:vMerge/>
            <w:vAlign w:val="center"/>
          </w:tcPr>
          <w:p w14:paraId="59FA7670" w14:textId="77777777" w:rsidR="00F61D64" w:rsidRPr="00F7416B" w:rsidRDefault="00F61D64" w:rsidP="003A31ED">
            <w:pPr>
              <w:spacing w:after="0" w:line="240" w:lineRule="auto"/>
              <w:jc w:val="center"/>
              <w:rPr>
                <w:sz w:val="18"/>
                <w:szCs w:val="18"/>
              </w:rPr>
            </w:pPr>
          </w:p>
        </w:tc>
        <w:tc>
          <w:tcPr>
            <w:tcW w:w="1630" w:type="dxa"/>
            <w:vMerge/>
            <w:noWrap/>
            <w:vAlign w:val="center"/>
          </w:tcPr>
          <w:p w14:paraId="789E9341"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559" w:type="dxa"/>
            <w:vMerge/>
            <w:vAlign w:val="center"/>
          </w:tcPr>
          <w:p w14:paraId="76842C61"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noWrap/>
            <w:vAlign w:val="center"/>
          </w:tcPr>
          <w:p w14:paraId="47A78A89"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vAlign w:val="center"/>
          </w:tcPr>
          <w:p w14:paraId="017A8902"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984" w:type="dxa"/>
            <w:vMerge/>
          </w:tcPr>
          <w:p w14:paraId="54E6C008"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r>
      <w:tr w:rsidR="00F61D64" w:rsidRPr="00F7416B" w14:paraId="7E0BC2AD" w14:textId="77777777" w:rsidTr="003A31ED">
        <w:trPr>
          <w:trHeight w:val="255"/>
        </w:trPr>
        <w:tc>
          <w:tcPr>
            <w:tcW w:w="1413" w:type="dxa"/>
            <w:noWrap/>
          </w:tcPr>
          <w:p w14:paraId="4B6E47B6" w14:textId="77777777" w:rsidR="00F61D64" w:rsidRPr="00F7416B" w:rsidRDefault="00F61D64" w:rsidP="003A31ED">
            <w:pPr>
              <w:spacing w:after="0" w:line="240" w:lineRule="auto"/>
              <w:rPr>
                <w:rFonts w:eastAsia="Times New Roman" w:cs="Times New Roman"/>
                <w:color w:val="000000"/>
                <w:kern w:val="0"/>
                <w:sz w:val="18"/>
                <w:szCs w:val="18"/>
                <w:lang w:eastAsia="en-AU"/>
                <w14:ligatures w14:val="none"/>
              </w:rPr>
            </w:pPr>
            <w:r w:rsidRPr="00F7416B">
              <w:rPr>
                <w:sz w:val="18"/>
                <w:szCs w:val="18"/>
              </w:rPr>
              <w:t>13 yr</w:t>
            </w:r>
          </w:p>
        </w:tc>
        <w:tc>
          <w:tcPr>
            <w:tcW w:w="1701" w:type="dxa"/>
            <w:vMerge/>
            <w:vAlign w:val="center"/>
          </w:tcPr>
          <w:p w14:paraId="60C1E3D6"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630" w:type="dxa"/>
            <w:vMerge/>
            <w:vAlign w:val="center"/>
          </w:tcPr>
          <w:p w14:paraId="094E76F7" w14:textId="77777777" w:rsidR="00F61D64" w:rsidRPr="00F7416B" w:rsidRDefault="00F61D64" w:rsidP="003A31ED">
            <w:pPr>
              <w:spacing w:after="0" w:line="240" w:lineRule="auto"/>
              <w:jc w:val="center"/>
              <w:rPr>
                <w:sz w:val="18"/>
                <w:szCs w:val="18"/>
              </w:rPr>
            </w:pPr>
          </w:p>
        </w:tc>
        <w:tc>
          <w:tcPr>
            <w:tcW w:w="1630" w:type="dxa"/>
            <w:vMerge/>
            <w:noWrap/>
            <w:vAlign w:val="center"/>
          </w:tcPr>
          <w:p w14:paraId="22369CA0"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559" w:type="dxa"/>
            <w:vMerge/>
            <w:vAlign w:val="center"/>
          </w:tcPr>
          <w:p w14:paraId="24237720"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noWrap/>
            <w:vAlign w:val="center"/>
          </w:tcPr>
          <w:p w14:paraId="7F9DC7A9"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vAlign w:val="center"/>
          </w:tcPr>
          <w:p w14:paraId="630191B5"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984" w:type="dxa"/>
            <w:vMerge/>
          </w:tcPr>
          <w:p w14:paraId="4E3FBB93"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r>
      <w:tr w:rsidR="00F61D64" w:rsidRPr="00F7416B" w14:paraId="23F28E3B" w14:textId="77777777" w:rsidTr="003A31ED">
        <w:trPr>
          <w:trHeight w:val="255"/>
        </w:trPr>
        <w:tc>
          <w:tcPr>
            <w:tcW w:w="1413" w:type="dxa"/>
            <w:noWrap/>
          </w:tcPr>
          <w:p w14:paraId="2438639B" w14:textId="77777777" w:rsidR="00F61D64" w:rsidRPr="00F7416B" w:rsidRDefault="00F61D64" w:rsidP="003A31ED">
            <w:pPr>
              <w:spacing w:after="0" w:line="240" w:lineRule="auto"/>
              <w:rPr>
                <w:rFonts w:eastAsia="Times New Roman" w:cs="Times New Roman"/>
                <w:color w:val="000000"/>
                <w:kern w:val="0"/>
                <w:sz w:val="18"/>
                <w:szCs w:val="18"/>
                <w:lang w:eastAsia="en-AU"/>
                <w14:ligatures w14:val="none"/>
              </w:rPr>
            </w:pPr>
            <w:r w:rsidRPr="00F7416B">
              <w:rPr>
                <w:sz w:val="18"/>
                <w:szCs w:val="18"/>
              </w:rPr>
              <w:t>14 yr</w:t>
            </w:r>
          </w:p>
        </w:tc>
        <w:tc>
          <w:tcPr>
            <w:tcW w:w="1701" w:type="dxa"/>
            <w:vMerge w:val="restart"/>
            <w:vAlign w:val="center"/>
          </w:tcPr>
          <w:p w14:paraId="2251F56C"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rFonts w:eastAsia="Times New Roman" w:cs="Times New Roman"/>
                <w:color w:val="000000"/>
                <w:kern w:val="0"/>
                <w:sz w:val="18"/>
                <w:szCs w:val="18"/>
                <w:lang w:eastAsia="en-AU"/>
                <w14:ligatures w14:val="none"/>
              </w:rPr>
              <w:t xml:space="preserve">2,000 </w:t>
            </w:r>
            <w:r>
              <w:rPr>
                <w:rFonts w:eastAsia="Times New Roman" w:cs="Times New Roman"/>
                <w:color w:val="000000"/>
                <w:kern w:val="0"/>
                <w:sz w:val="18"/>
                <w:szCs w:val="18"/>
                <w:lang w:eastAsia="en-AU"/>
                <w14:ligatures w14:val="none"/>
              </w:rPr>
              <w:t>or</w:t>
            </w:r>
            <w:r w:rsidRPr="00F7416B">
              <w:rPr>
                <w:rFonts w:eastAsia="Times New Roman" w:cs="Times New Roman"/>
                <w:color w:val="000000"/>
                <w:kern w:val="0"/>
                <w:sz w:val="18"/>
                <w:szCs w:val="18"/>
                <w:lang w:eastAsia="en-AU"/>
                <w14:ligatures w14:val="none"/>
              </w:rPr>
              <w:t xml:space="preserve"> 2,300</w:t>
            </w:r>
          </w:p>
        </w:tc>
        <w:tc>
          <w:tcPr>
            <w:tcW w:w="1630" w:type="dxa"/>
            <w:vMerge w:val="restart"/>
            <w:vAlign w:val="center"/>
          </w:tcPr>
          <w:p w14:paraId="3D40E7FB" w14:textId="77777777" w:rsidR="00F61D64" w:rsidRPr="00F7416B" w:rsidRDefault="00F61D64" w:rsidP="003A31ED">
            <w:pPr>
              <w:spacing w:after="0" w:line="240" w:lineRule="auto"/>
              <w:jc w:val="center"/>
              <w:rPr>
                <w:sz w:val="18"/>
                <w:szCs w:val="18"/>
              </w:rPr>
            </w:pPr>
            <w:r w:rsidRPr="00F7416B">
              <w:rPr>
                <w:sz w:val="18"/>
                <w:szCs w:val="18"/>
              </w:rPr>
              <w:t>2,300</w:t>
            </w:r>
          </w:p>
        </w:tc>
        <w:tc>
          <w:tcPr>
            <w:tcW w:w="1630" w:type="dxa"/>
            <w:vMerge/>
            <w:noWrap/>
            <w:vAlign w:val="center"/>
          </w:tcPr>
          <w:p w14:paraId="7E10676A"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559" w:type="dxa"/>
            <w:vMerge w:val="restart"/>
            <w:vAlign w:val="center"/>
          </w:tcPr>
          <w:p w14:paraId="565C488A"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2,300</w:t>
            </w:r>
          </w:p>
        </w:tc>
        <w:tc>
          <w:tcPr>
            <w:tcW w:w="1701" w:type="dxa"/>
            <w:vMerge/>
            <w:noWrap/>
            <w:vAlign w:val="center"/>
          </w:tcPr>
          <w:p w14:paraId="2D57B9DD"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vAlign w:val="center"/>
          </w:tcPr>
          <w:p w14:paraId="1982240F"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984" w:type="dxa"/>
            <w:vMerge/>
          </w:tcPr>
          <w:p w14:paraId="30AE25F2"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r>
      <w:tr w:rsidR="00F61D64" w:rsidRPr="00F7416B" w14:paraId="71590995" w14:textId="77777777" w:rsidTr="003A31ED">
        <w:trPr>
          <w:trHeight w:val="255"/>
        </w:trPr>
        <w:tc>
          <w:tcPr>
            <w:tcW w:w="1413" w:type="dxa"/>
            <w:noWrap/>
          </w:tcPr>
          <w:p w14:paraId="2B4734B1" w14:textId="77777777" w:rsidR="00F61D64" w:rsidRPr="00F7416B" w:rsidRDefault="00F61D64" w:rsidP="003A31ED">
            <w:pPr>
              <w:spacing w:after="0" w:line="240" w:lineRule="auto"/>
              <w:rPr>
                <w:rFonts w:eastAsia="Times New Roman" w:cs="Times New Roman"/>
                <w:color w:val="000000"/>
                <w:kern w:val="0"/>
                <w:sz w:val="18"/>
                <w:szCs w:val="18"/>
                <w:lang w:eastAsia="en-AU"/>
                <w14:ligatures w14:val="none"/>
              </w:rPr>
            </w:pPr>
            <w:r w:rsidRPr="00F7416B">
              <w:rPr>
                <w:sz w:val="18"/>
                <w:szCs w:val="18"/>
              </w:rPr>
              <w:t>15 yr</w:t>
            </w:r>
          </w:p>
        </w:tc>
        <w:tc>
          <w:tcPr>
            <w:tcW w:w="1701" w:type="dxa"/>
            <w:vMerge/>
            <w:vAlign w:val="center"/>
          </w:tcPr>
          <w:p w14:paraId="65BD3A2C"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630" w:type="dxa"/>
            <w:vMerge/>
          </w:tcPr>
          <w:p w14:paraId="276D9BF4" w14:textId="77777777" w:rsidR="00F61D64" w:rsidRPr="00F7416B" w:rsidRDefault="00F61D64" w:rsidP="003A31ED">
            <w:pPr>
              <w:spacing w:after="0" w:line="240" w:lineRule="auto"/>
              <w:jc w:val="center"/>
              <w:rPr>
                <w:sz w:val="18"/>
                <w:szCs w:val="18"/>
              </w:rPr>
            </w:pPr>
          </w:p>
        </w:tc>
        <w:tc>
          <w:tcPr>
            <w:tcW w:w="1630" w:type="dxa"/>
            <w:vMerge/>
            <w:noWrap/>
            <w:vAlign w:val="center"/>
          </w:tcPr>
          <w:p w14:paraId="33049DAF"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559" w:type="dxa"/>
            <w:vMerge/>
            <w:vAlign w:val="center"/>
          </w:tcPr>
          <w:p w14:paraId="53220556"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val="restart"/>
            <w:noWrap/>
            <w:vAlign w:val="center"/>
          </w:tcPr>
          <w:p w14:paraId="5B338803"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sidRPr="00F7416B">
              <w:rPr>
                <w:sz w:val="18"/>
                <w:szCs w:val="18"/>
              </w:rPr>
              <w:t>2,300</w:t>
            </w:r>
          </w:p>
        </w:tc>
        <w:tc>
          <w:tcPr>
            <w:tcW w:w="1701" w:type="dxa"/>
            <w:vMerge/>
            <w:vAlign w:val="center"/>
          </w:tcPr>
          <w:p w14:paraId="62F5B7C6"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984" w:type="dxa"/>
            <w:vMerge/>
          </w:tcPr>
          <w:p w14:paraId="07981B39"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r>
      <w:tr w:rsidR="00F61D64" w:rsidRPr="00F7416B" w14:paraId="29B06FCF" w14:textId="77777777" w:rsidTr="003A31ED">
        <w:trPr>
          <w:trHeight w:val="255"/>
        </w:trPr>
        <w:tc>
          <w:tcPr>
            <w:tcW w:w="1413" w:type="dxa"/>
            <w:noWrap/>
            <w:vAlign w:val="center"/>
          </w:tcPr>
          <w:p w14:paraId="7FD19BF3" w14:textId="77777777" w:rsidR="00F61D64" w:rsidRPr="00F7416B" w:rsidRDefault="00F61D64" w:rsidP="003A31ED">
            <w:pPr>
              <w:spacing w:after="0" w:line="240" w:lineRule="auto"/>
              <w:rPr>
                <w:sz w:val="18"/>
                <w:szCs w:val="18"/>
              </w:rPr>
            </w:pPr>
            <w:r w:rsidRPr="00F7416B">
              <w:rPr>
                <w:sz w:val="18"/>
                <w:szCs w:val="18"/>
              </w:rPr>
              <w:t>16 yr</w:t>
            </w:r>
          </w:p>
        </w:tc>
        <w:tc>
          <w:tcPr>
            <w:tcW w:w="1701" w:type="dxa"/>
            <w:vMerge/>
            <w:vAlign w:val="center"/>
          </w:tcPr>
          <w:p w14:paraId="2758BF2D"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630" w:type="dxa"/>
            <w:vMerge/>
          </w:tcPr>
          <w:p w14:paraId="12AAEB9B" w14:textId="77777777" w:rsidR="00F61D64" w:rsidRPr="00F7416B" w:rsidRDefault="00F61D64" w:rsidP="003A31ED">
            <w:pPr>
              <w:spacing w:after="0" w:line="240" w:lineRule="auto"/>
              <w:jc w:val="center"/>
              <w:rPr>
                <w:sz w:val="18"/>
                <w:szCs w:val="18"/>
              </w:rPr>
            </w:pPr>
          </w:p>
        </w:tc>
        <w:tc>
          <w:tcPr>
            <w:tcW w:w="1630" w:type="dxa"/>
            <w:vMerge/>
            <w:noWrap/>
            <w:vAlign w:val="center"/>
          </w:tcPr>
          <w:p w14:paraId="421D4D02"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559" w:type="dxa"/>
            <w:vMerge/>
            <w:vAlign w:val="center"/>
          </w:tcPr>
          <w:p w14:paraId="79202C4D"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noWrap/>
            <w:vAlign w:val="center"/>
          </w:tcPr>
          <w:p w14:paraId="6250795C"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tcPr>
          <w:p w14:paraId="444CB422"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984" w:type="dxa"/>
            <w:vMerge w:val="restart"/>
            <w:vAlign w:val="center"/>
          </w:tcPr>
          <w:p w14:paraId="4DA763E7"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r>
              <w:rPr>
                <w:rFonts w:eastAsia="Times New Roman" w:cs="Times New Roman"/>
                <w:color w:val="000000"/>
                <w:kern w:val="0"/>
                <w:sz w:val="18"/>
                <w:szCs w:val="18"/>
                <w:lang w:eastAsia="en-AU"/>
                <w14:ligatures w14:val="none"/>
              </w:rPr>
              <w:t>2,000</w:t>
            </w:r>
          </w:p>
        </w:tc>
      </w:tr>
      <w:tr w:rsidR="00F61D64" w:rsidRPr="00F7416B" w14:paraId="338D222E" w14:textId="77777777" w:rsidTr="003A31ED">
        <w:trPr>
          <w:trHeight w:val="255"/>
        </w:trPr>
        <w:tc>
          <w:tcPr>
            <w:tcW w:w="1413" w:type="dxa"/>
            <w:noWrap/>
            <w:vAlign w:val="center"/>
          </w:tcPr>
          <w:p w14:paraId="70BE1856" w14:textId="77777777" w:rsidR="00F61D64" w:rsidRPr="00F7416B" w:rsidRDefault="00F61D64" w:rsidP="003A31ED">
            <w:pPr>
              <w:spacing w:after="0" w:line="240" w:lineRule="auto"/>
              <w:rPr>
                <w:sz w:val="18"/>
                <w:szCs w:val="18"/>
              </w:rPr>
            </w:pPr>
            <w:r w:rsidRPr="00F7416B">
              <w:rPr>
                <w:sz w:val="18"/>
                <w:szCs w:val="18"/>
              </w:rPr>
              <w:t>17 yr</w:t>
            </w:r>
          </w:p>
        </w:tc>
        <w:tc>
          <w:tcPr>
            <w:tcW w:w="1701" w:type="dxa"/>
            <w:vMerge/>
            <w:vAlign w:val="center"/>
          </w:tcPr>
          <w:p w14:paraId="47B887AA"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630" w:type="dxa"/>
            <w:vMerge/>
          </w:tcPr>
          <w:p w14:paraId="0D39584E" w14:textId="77777777" w:rsidR="00F61D64" w:rsidRPr="00F7416B" w:rsidRDefault="00F61D64" w:rsidP="003A31ED">
            <w:pPr>
              <w:spacing w:after="0" w:line="240" w:lineRule="auto"/>
              <w:jc w:val="center"/>
              <w:rPr>
                <w:sz w:val="18"/>
                <w:szCs w:val="18"/>
              </w:rPr>
            </w:pPr>
          </w:p>
        </w:tc>
        <w:tc>
          <w:tcPr>
            <w:tcW w:w="1630" w:type="dxa"/>
            <w:vMerge/>
            <w:noWrap/>
            <w:vAlign w:val="center"/>
          </w:tcPr>
          <w:p w14:paraId="6BFD701D"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559" w:type="dxa"/>
            <w:vMerge/>
            <w:vAlign w:val="center"/>
          </w:tcPr>
          <w:p w14:paraId="74C3092F"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noWrap/>
            <w:vAlign w:val="center"/>
          </w:tcPr>
          <w:p w14:paraId="79444BA1"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701" w:type="dxa"/>
            <w:vMerge/>
          </w:tcPr>
          <w:p w14:paraId="4C164D8F"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c>
          <w:tcPr>
            <w:tcW w:w="1984" w:type="dxa"/>
            <w:vMerge/>
          </w:tcPr>
          <w:p w14:paraId="0EAA3A59" w14:textId="77777777" w:rsidR="00F61D64" w:rsidRPr="00F7416B" w:rsidRDefault="00F61D64" w:rsidP="003A31ED">
            <w:pPr>
              <w:spacing w:after="0" w:line="240" w:lineRule="auto"/>
              <w:jc w:val="center"/>
              <w:rPr>
                <w:rFonts w:eastAsia="Times New Roman" w:cs="Times New Roman"/>
                <w:color w:val="000000"/>
                <w:kern w:val="0"/>
                <w:sz w:val="18"/>
                <w:szCs w:val="18"/>
                <w:lang w:eastAsia="en-AU"/>
                <w14:ligatures w14:val="none"/>
              </w:rPr>
            </w:pPr>
          </w:p>
        </w:tc>
      </w:tr>
    </w:tbl>
    <w:p w14:paraId="4864FAE1" w14:textId="77777777" w:rsidR="00F61D64" w:rsidRDefault="00F61D64" w:rsidP="00F61D64">
      <w:pPr>
        <w:spacing w:after="0"/>
        <w:rPr>
          <w:rFonts w:eastAsia="Times New Roman" w:cs="Times New Roman"/>
          <w:sz w:val="20"/>
          <w:szCs w:val="20"/>
        </w:rPr>
      </w:pPr>
      <w:r>
        <w:rPr>
          <w:rFonts w:eastAsia="Times New Roman" w:cs="Times New Roman"/>
          <w:sz w:val="20"/>
          <w:szCs w:val="20"/>
        </w:rPr>
        <w:t>*EFSA has not set a CDRR instead opting to set a ‘safe and adequate’ intake that incorporates both adequate requirement and chronic disease risk reduction principles.</w:t>
      </w:r>
    </w:p>
    <w:p w14:paraId="64F95E1B" w14:textId="77777777" w:rsidR="00F61D64" w:rsidRDefault="00F61D64" w:rsidP="00F61D64">
      <w:pPr>
        <w:rPr>
          <w:sz w:val="20"/>
          <w:szCs w:val="20"/>
        </w:rPr>
      </w:pPr>
      <w:r>
        <w:rPr>
          <w:sz w:val="20"/>
          <w:szCs w:val="20"/>
        </w:rPr>
        <w:t>^</w:t>
      </w:r>
      <w:r w:rsidRPr="008C2AB7">
        <w:rPr>
          <w:sz w:val="20"/>
          <w:szCs w:val="20"/>
        </w:rPr>
        <w:t xml:space="preserve"> D-A-CH age grouping for adults is 19 years and older </w:t>
      </w:r>
    </w:p>
    <w:p w14:paraId="4D9C1FE1" w14:textId="77777777"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Balance of effects (benefits and harms)</w:t>
      </w:r>
    </w:p>
    <w:p w14:paraId="797FCE0E" w14:textId="77777777" w:rsidR="00F61D64" w:rsidRDefault="00F61D64" w:rsidP="00F61D64">
      <w:pPr>
        <w:rPr>
          <w:rFonts w:eastAsia="Times New Roman" w:cs="Arial"/>
          <w:iCs/>
        </w:rPr>
      </w:pPr>
      <w:r w:rsidRPr="00A725AD">
        <w:rPr>
          <w:rFonts w:eastAsia="Times New Roman" w:cs="Arial"/>
          <w:iCs/>
        </w:rPr>
        <w:t>The NHMRC’s Methodological Framework for developing NRVs suggests that there should be at least moderate certainty evidence of chronic disease risk reduction to establish a CDRR value</w:t>
      </w:r>
      <w:r>
        <w:rPr>
          <w:rFonts w:eastAsia="Times New Roman" w:cs="Arial"/>
          <w:iCs/>
        </w:rPr>
        <w:t xml:space="preserve"> </w:t>
      </w:r>
      <w:r>
        <w:rPr>
          <w:rFonts w:eastAsia="Times New Roman" w:cs="Arial"/>
          <w:iCs/>
        </w:rPr>
        <w:fldChar w:fldCharType="begin"/>
      </w:r>
      <w:r>
        <w:rPr>
          <w:rFonts w:eastAsia="Times New Roman" w:cs="Arial"/>
          <w:iCs/>
        </w:rPr>
        <w:instrText xml:space="preserve"> ADDIN EN.CITE &lt;EndNote&gt;&lt;Cite ExcludeAuth="1"&gt;&lt;Author&gt;National Health and Medical Research Council&lt;/Author&gt;&lt;Year&gt;2026&lt;/Year&gt;&lt;RecNum&gt;4727&lt;/RecNum&gt;&lt;Prefix&gt;NHMRC`, &lt;/Prefix&gt;&lt;DisplayText&gt;(NHMRC, 2026)&lt;/DisplayText&gt;&lt;record&gt;&lt;rec-number&gt;4727&lt;/rec-number&gt;&lt;foreign-keys&gt;&lt;key app="EN" db-id="wwsdv2wwp29fenerv0kx5tw9zxtx2fdrprx2" timestamp="1780273346"&gt;4727&lt;/key&gt;&lt;/foreign-keys&gt;&lt;ref-type name="Government Document"&gt;46&lt;/ref-type&gt;&lt;contributors&gt;&lt;authors&gt;&lt;author&gt;National Health and Medical Research Council, NHMRC&lt;/author&gt;&lt;/authors&gt;&lt;/contributors&gt;&lt;titles&gt;&lt;title&gt;Methodological Framework for the Review of Nutrient Reference Values&lt;/title&gt;&lt;/titles&gt;&lt;edition&gt;V3.6 May 2026&lt;/edition&gt;&lt;dates&gt;&lt;year&gt;2026&lt;/year&gt;&lt;/dates&gt;&lt;pub-location&gt;Canberra, ACT&lt;/pub-location&gt;&lt;publisher&gt;NHMRC&lt;/publisher&gt;&lt;urls&gt;&lt;related-urls&gt;&lt;url&gt;URL TBC ONCE PUBLISHED&lt;/url&gt;&lt;/related-urls&gt;&lt;/urls&gt;&lt;/record&gt;&lt;/Cite&gt;&lt;/EndNote&gt;</w:instrText>
      </w:r>
      <w:r>
        <w:rPr>
          <w:rFonts w:eastAsia="Times New Roman" w:cs="Arial"/>
          <w:iCs/>
        </w:rPr>
        <w:fldChar w:fldCharType="separate"/>
      </w:r>
      <w:r>
        <w:rPr>
          <w:rFonts w:eastAsia="Times New Roman" w:cs="Arial"/>
          <w:iCs/>
          <w:noProof/>
        </w:rPr>
        <w:t>(NHMRC, 2026)</w:t>
      </w:r>
      <w:r>
        <w:rPr>
          <w:rFonts w:eastAsia="Times New Roman" w:cs="Arial"/>
          <w:iCs/>
        </w:rPr>
        <w:fldChar w:fldCharType="end"/>
      </w:r>
      <w:r>
        <w:rPr>
          <w:rFonts w:eastAsia="Times New Roman" w:cs="Arial"/>
          <w:iCs/>
        </w:rPr>
        <w:t>.</w:t>
      </w:r>
      <w:r w:rsidRPr="00A725AD">
        <w:rPr>
          <w:rFonts w:eastAsia="Times New Roman" w:cs="Arial"/>
          <w:iCs/>
        </w:rPr>
        <w:t xml:space="preserve"> Whilst </w:t>
      </w:r>
      <w:r>
        <w:rPr>
          <w:rFonts w:eastAsia="Times New Roman" w:cs="Arial"/>
          <w:iCs/>
        </w:rPr>
        <w:t>m</w:t>
      </w:r>
      <w:r w:rsidRPr="00A725AD">
        <w:rPr>
          <w:rFonts w:eastAsia="Times New Roman" w:cs="Arial"/>
          <w:iCs/>
        </w:rPr>
        <w:t>oderate certainty evidence exists among the adult population, there is greater uncertainty about the benefits of a low sodium diet for reducing chronic disease risk among children.</w:t>
      </w:r>
      <w:r w:rsidRPr="002B4FFE">
        <w:t xml:space="preserve"> </w:t>
      </w:r>
      <w:r>
        <w:t xml:space="preserve">This is consistent with the NASEM (2017) approach to CDRR. </w:t>
      </w:r>
    </w:p>
    <w:p w14:paraId="3710EEB1" w14:textId="77777777" w:rsidR="00F61D64" w:rsidRPr="00A725AD" w:rsidRDefault="00F61D64" w:rsidP="00F61D64">
      <w:pPr>
        <w:spacing w:after="120"/>
        <w:rPr>
          <w:rFonts w:eastAsia="Times New Roman" w:cs="Arial"/>
          <w:iCs/>
        </w:rPr>
      </w:pPr>
      <w:r w:rsidRPr="00A725AD">
        <w:rPr>
          <w:rFonts w:eastAsia="Times New Roman" w:cs="Arial"/>
          <w:iCs/>
        </w:rPr>
        <w:t xml:space="preserve">Nevertheless, significant contextual factors weigh in favour of establishing a CDRR for children to support long-term health. This includes evidence that dietary </w:t>
      </w:r>
      <w:r>
        <w:rPr>
          <w:rFonts w:eastAsia="Times New Roman" w:cs="Arial"/>
          <w:iCs/>
        </w:rPr>
        <w:t xml:space="preserve">patterns consumed in childhood can help shape food acceptance and </w:t>
      </w:r>
      <w:r w:rsidRPr="00A725AD">
        <w:rPr>
          <w:rFonts w:eastAsia="Times New Roman" w:cs="Arial"/>
          <w:iCs/>
        </w:rPr>
        <w:t xml:space="preserve">preferences </w:t>
      </w:r>
      <w:r>
        <w:rPr>
          <w:rFonts w:eastAsia="Times New Roman" w:cs="Arial"/>
          <w:iCs/>
        </w:rPr>
        <w:t xml:space="preserve">throughout the life course </w:t>
      </w:r>
      <w:r>
        <w:rPr>
          <w:rFonts w:eastAsia="Times New Roman" w:cs="Arial"/>
          <w:iCs/>
        </w:rPr>
        <w:fldChar w:fldCharType="begin">
          <w:fldData xml:space="preserve">PEVuZE5vdGU+PENpdGU+PEF1dGhvcj5Iw7ZybmVsbDwvQXV0aG9yPjxZZWFyPjIwMjQ8L1llYXI+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</w:fldData>
        </w:fldChar>
      </w:r>
      <w:r>
        <w:rPr>
          <w:rFonts w:eastAsia="Times New Roman" w:cs="Arial"/>
          <w:iCs/>
        </w:rPr>
        <w:instrText xml:space="preserve"> ADDIN EN.CITE </w:instrText>
      </w:r>
      <w:r>
        <w:rPr>
          <w:rFonts w:eastAsia="Times New Roman" w:cs="Arial"/>
          <w:iCs/>
        </w:rPr>
        <w:fldChar w:fldCharType="begin">
          <w:fldData xml:space="preserve">PEVuZE5vdGU+PENpdGU+PEF1dGhvcj5Iw7ZybmVsbDwvQXV0aG9yPjxZZWFyPjIwMjQ8L1llYXI+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</w:fldData>
        </w:fldChar>
      </w:r>
      <w:r>
        <w:rPr>
          <w:rFonts w:eastAsia="Times New Roman" w:cs="Arial"/>
          <w:iCs/>
        </w:rPr>
        <w:instrText xml:space="preserve"> ADDIN EN.CITE.DATA </w:instrText>
      </w:r>
      <w:r>
        <w:rPr>
          <w:rFonts w:eastAsia="Times New Roman" w:cs="Arial"/>
          <w:iCs/>
        </w:rPr>
      </w:r>
      <w:r>
        <w:rPr>
          <w:rFonts w:eastAsia="Times New Roman" w:cs="Arial"/>
          <w:iCs/>
        </w:rPr>
        <w:fldChar w:fldCharType="end"/>
      </w:r>
      <w:r>
        <w:rPr>
          <w:rFonts w:eastAsia="Times New Roman" w:cs="Arial"/>
          <w:iCs/>
        </w:rPr>
      </w:r>
      <w:r>
        <w:rPr>
          <w:rFonts w:eastAsia="Times New Roman" w:cs="Arial"/>
          <w:iCs/>
        </w:rPr>
        <w:fldChar w:fldCharType="separate"/>
      </w:r>
      <w:r>
        <w:rPr>
          <w:rFonts w:eastAsia="Times New Roman" w:cs="Arial"/>
          <w:iCs/>
          <w:noProof/>
        </w:rPr>
        <w:t>(Chong, 2022; Hörnell &amp; Lagström, 2024; Mahmood et al., 2021)</w:t>
      </w:r>
      <w:r>
        <w:rPr>
          <w:rFonts w:eastAsia="Times New Roman" w:cs="Arial"/>
          <w:iCs/>
        </w:rPr>
        <w:fldChar w:fldCharType="end"/>
      </w:r>
      <w:r>
        <w:rPr>
          <w:rFonts w:eastAsia="Times New Roman" w:cs="Arial"/>
          <w:iCs/>
        </w:rPr>
        <w:t xml:space="preserve">, in particular </w:t>
      </w:r>
      <w:r w:rsidRPr="00A725AD">
        <w:rPr>
          <w:rFonts w:eastAsia="Times New Roman" w:cs="Arial"/>
          <w:iCs/>
        </w:rPr>
        <w:t xml:space="preserve">an association between dietary salt exposure in infancy and development of salty-taste acceptance </w:t>
      </w:r>
      <w:r>
        <w:rPr>
          <w:rFonts w:eastAsia="Times New Roman" w:cs="Arial"/>
          <w:iCs/>
        </w:rPr>
        <w:fldChar w:fldCharType="begin"/>
      </w:r>
      <w:r>
        <w:rPr>
          <w:rFonts w:eastAsia="Times New Roman" w:cs="Arial"/>
          <w:iCs/>
        </w:rPr>
        <w:instrText xml:space="preserve"> ADDIN EN.CITE &lt;EndNote&gt;&lt;Cite&gt;&lt;Author&gt;Stein&lt;/Author&gt;&lt;Year&gt;2012&lt;/Year&gt;&lt;RecNum&gt;4736&lt;/RecNum&gt;&lt;DisplayText&gt;(Stein et al., 2012)&lt;/DisplayText&gt;&lt;record&gt;&lt;rec-number&gt;4736&lt;/rec-number&gt;&lt;foreign-keys&gt;&lt;key app="EN" db-id="wwsdv2wwp29fenerv0kx5tw9zxtx2fdrprx2" timestamp="1780381161"&gt;4736&lt;/key&gt;&lt;/foreign-keys&gt;&lt;ref-type name="Journal Article"&gt;17&lt;/ref-type&gt;&lt;contributors&gt;&lt;authors&gt;&lt;author&gt;Stein, L. J.&lt;/author&gt;&lt;author&gt;Cowart, B. J.&lt;/author&gt;&lt;author&gt;Beauchamp, G. K.&lt;/author&gt;&lt;/authors&gt;&lt;/contributors&gt;&lt;auth-address&gt;Monell Chemical Senses Center, Philadelphia, PA 19104-3308, USA. stein@monell.org&lt;/auth-address&gt;&lt;titles&gt;&lt;title&gt;The development of salty taste acceptance is related to dietary experience in human infants: a prospective study&lt;/title&gt;&lt;secondary-title&gt;Am J Clin Nutr&lt;/secondary-title&gt;&lt;/titles&gt;&lt;periodical&gt;&lt;full-title&gt;Am J Clin Nutr&lt;/full-title&gt;&lt;/periodical&gt;&lt;pages&gt;123-9&lt;/pages&gt;&lt;volume&gt;95&lt;/volume&gt;&lt;number&gt;1&lt;/number&gt;&lt;keywords&gt;&lt;keyword&gt;Child, Preschool&lt;/keyword&gt;&lt;keyword&gt;*Diet&lt;/keyword&gt;&lt;keyword&gt;Dietary Carbohydrates/administration &amp;amp; dosage&lt;/keyword&gt;&lt;keyword&gt;Double-Blind Method&lt;/keyword&gt;&lt;keyword&gt;Female&lt;/keyword&gt;&lt;keyword&gt;Follow-Up Studies&lt;/keyword&gt;&lt;keyword&gt;*Food Preferences&lt;/keyword&gt;&lt;keyword&gt;Humans&lt;/keyword&gt;&lt;keyword&gt;Infant&lt;/keyword&gt;&lt;keyword&gt;*Infant Behavior&lt;/keyword&gt;&lt;keyword&gt;Male&lt;/keyword&gt;&lt;keyword&gt;Prospective Studies&lt;/keyword&gt;&lt;keyword&gt;Sodium Chloride, Dietary/*administration &amp;amp; dosage&lt;/keyword&gt;&lt;keyword&gt;*Taste&lt;/keyword&gt;&lt;/keywords&gt;&lt;dates&gt;&lt;year&gt;2012&lt;/year&gt;&lt;pub-dates&gt;&lt;date&gt;Jan&lt;/date&gt;&lt;/pub-dates&gt;&lt;/dates&gt;&lt;isbn&gt;0002-9165 (Print)&amp;#xD;0002-9165&lt;/isbn&gt;&lt;accession-num&gt;22189260&lt;/accession-num&gt;&lt;urls&gt;&lt;/urls&gt;&lt;custom2&gt;PMC3238456&lt;/custom2&gt;&lt;electronic-resource-num&gt;10.3945/ajcn.111.014282&lt;/electronic-resource-num&gt;&lt;remote-database-provider&gt;NLM&lt;/remote-database-provider&gt;&lt;language&gt;eng&lt;/language&gt;&lt;/record&gt;&lt;/Cite&gt;&lt;/EndNote&gt;</w:instrText>
      </w:r>
      <w:r>
        <w:rPr>
          <w:rFonts w:eastAsia="Times New Roman" w:cs="Arial"/>
          <w:iCs/>
        </w:rPr>
        <w:fldChar w:fldCharType="separate"/>
      </w:r>
      <w:r>
        <w:rPr>
          <w:rFonts w:eastAsia="Times New Roman" w:cs="Arial"/>
          <w:iCs/>
          <w:noProof/>
        </w:rPr>
        <w:t>(Stein et al., 2012)</w:t>
      </w:r>
      <w:r>
        <w:rPr>
          <w:rFonts w:eastAsia="Times New Roman" w:cs="Arial"/>
          <w:iCs/>
        </w:rPr>
        <w:fldChar w:fldCharType="end"/>
      </w:r>
      <w:r w:rsidRPr="00A725AD">
        <w:rPr>
          <w:rFonts w:eastAsia="Times New Roman" w:cs="Arial"/>
          <w:iCs/>
        </w:rPr>
        <w:t xml:space="preserve">. Furthermore, although there is uncertainty about the relationship between sodium intake and blood pressure in childhood, studies suggest that </w:t>
      </w:r>
      <w:r w:rsidRPr="00A725AD">
        <w:rPr>
          <w:rFonts w:eastAsia="Times New Roman" w:cs="Arial"/>
          <w:iCs/>
        </w:rPr>
        <w:lastRenderedPageBreak/>
        <w:t xml:space="preserve">blood pressure </w:t>
      </w:r>
      <w:r>
        <w:rPr>
          <w:rFonts w:eastAsia="Times New Roman" w:cs="Arial"/>
          <w:iCs/>
        </w:rPr>
        <w:t xml:space="preserve">and cardiovascular disease risk </w:t>
      </w:r>
      <w:r w:rsidRPr="00A725AD">
        <w:rPr>
          <w:rFonts w:eastAsia="Times New Roman" w:cs="Arial"/>
          <w:iCs/>
        </w:rPr>
        <w:t xml:space="preserve">tracks </w:t>
      </w:r>
      <w:r>
        <w:rPr>
          <w:rFonts w:eastAsia="Times New Roman" w:cs="Arial"/>
          <w:iCs/>
        </w:rPr>
        <w:t xml:space="preserve">from early childhood into adulthood </w:t>
      </w:r>
      <w:r>
        <w:rPr>
          <w:rFonts w:eastAsia="Times New Roman" w:cs="Arial"/>
          <w:iCs/>
        </w:rPr>
        <w:fldChar w:fldCharType="begin">
          <w:fldData xml:space="preserve">PEVuZE5vdGU+PENpdGU+PEF1dGhvcj5DaGVuPC9BdXRob3I+PFllYXI+MjAwODwvWWVhcj48UmVj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</w:fldData>
        </w:fldChar>
      </w:r>
      <w:r>
        <w:rPr>
          <w:rFonts w:eastAsia="Times New Roman" w:cs="Arial"/>
          <w:iCs/>
        </w:rPr>
        <w:instrText xml:space="preserve"> ADDIN EN.CITE </w:instrText>
      </w:r>
      <w:r>
        <w:rPr>
          <w:rFonts w:eastAsia="Times New Roman" w:cs="Arial"/>
          <w:iCs/>
        </w:rPr>
        <w:fldChar w:fldCharType="begin">
          <w:fldData xml:space="preserve">PEVuZE5vdGU+PENpdGU+PEF1dGhvcj5DaGVuPC9BdXRob3I+PFllYXI+MjAwODwvWWVhcj48UmVj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</w:fldData>
        </w:fldChar>
      </w:r>
      <w:r>
        <w:rPr>
          <w:rFonts w:eastAsia="Times New Roman" w:cs="Arial"/>
          <w:iCs/>
        </w:rPr>
        <w:instrText xml:space="preserve"> ADDIN EN.CITE.DATA </w:instrText>
      </w:r>
      <w:r>
        <w:rPr>
          <w:rFonts w:eastAsia="Times New Roman" w:cs="Arial"/>
          <w:iCs/>
        </w:rPr>
      </w:r>
      <w:r>
        <w:rPr>
          <w:rFonts w:eastAsia="Times New Roman" w:cs="Arial"/>
          <w:iCs/>
        </w:rPr>
        <w:fldChar w:fldCharType="end"/>
      </w:r>
      <w:r>
        <w:rPr>
          <w:rFonts w:eastAsia="Times New Roman" w:cs="Arial"/>
          <w:iCs/>
        </w:rPr>
      </w:r>
      <w:r>
        <w:rPr>
          <w:rFonts w:eastAsia="Times New Roman" w:cs="Arial"/>
          <w:iCs/>
        </w:rPr>
        <w:fldChar w:fldCharType="separate"/>
      </w:r>
      <w:r>
        <w:rPr>
          <w:rFonts w:eastAsia="Times New Roman" w:cs="Arial"/>
          <w:iCs/>
          <w:noProof/>
        </w:rPr>
        <w:t>(Chen &amp; Wang, 2008)</w:t>
      </w:r>
      <w:r>
        <w:rPr>
          <w:rFonts w:eastAsia="Times New Roman" w:cs="Arial"/>
          <w:iCs/>
        </w:rPr>
        <w:fldChar w:fldCharType="end"/>
      </w:r>
      <w:r w:rsidRPr="00A725AD">
        <w:rPr>
          <w:rFonts w:eastAsia="Times New Roman" w:cs="Arial"/>
          <w:iCs/>
        </w:rPr>
        <w:t>.</w:t>
      </w:r>
      <w:r>
        <w:rPr>
          <w:rFonts w:eastAsia="Times New Roman" w:cs="Arial"/>
          <w:iCs/>
        </w:rPr>
        <w:t xml:space="preserve"> On this basis, the US NASEM (2019) determined that establishing a CDRR in children was appropriate, to ensure that the NRVs were protective over the life course. </w:t>
      </w:r>
    </w:p>
    <w:p w14:paraId="1FA1BCAB" w14:textId="77777777" w:rsidR="00F61D64" w:rsidRPr="00C65E26" w:rsidRDefault="00F61D64" w:rsidP="00F61D64">
      <w:pPr>
        <w:spacing w:after="120"/>
        <w:rPr>
          <w:rFonts w:eastAsia="Times New Roman" w:cs="Arial"/>
          <w:iCs/>
        </w:rPr>
      </w:pPr>
      <w:r>
        <w:rPr>
          <w:rFonts w:eastAsia="Times New Roman" w:cs="Arial"/>
          <w:iCs/>
        </w:rPr>
        <w:t xml:space="preserve">In contrast to a CDRR, a </w:t>
      </w:r>
      <w:r w:rsidRPr="00A725AD">
        <w:rPr>
          <w:rFonts w:eastAsia="Times New Roman" w:cs="Arial"/>
          <w:iCs/>
        </w:rPr>
        <w:t xml:space="preserve">UL </w:t>
      </w:r>
      <w:r>
        <w:rPr>
          <w:rFonts w:eastAsia="Times New Roman" w:cs="Arial"/>
          <w:iCs/>
        </w:rPr>
        <w:t>is defined as “</w:t>
      </w:r>
      <w:r>
        <w:t xml:space="preserve">the highest mean daily nutrient intake level likely to pose no adverse (toxic) health effects to individuals in the general population” </w:t>
      </w:r>
      <w:r>
        <w:fldChar w:fldCharType="begin"/>
      </w:r>
      <w:r>
        <w:instrText xml:space="preserve"> ADDIN EN.CITE &lt;EndNote&gt;&lt;Cite&gt;&lt;Author&gt;National Health and Medical Research Council&lt;/Author&gt;&lt;Year&gt;2026&lt;/Year&gt;&lt;RecNum&gt;4727&lt;/RecNum&gt;&lt;DisplayText&gt;(National Health and Medical Research Council, 2026)&lt;/DisplayText&gt;&lt;record&gt;&lt;rec-number&gt;4727&lt;/rec-number&gt;&lt;foreign-keys&gt;&lt;key app="EN" db-id="wwsdv2wwp29fenerv0kx5tw9zxtx2fdrprx2" timestamp="1780273346"&gt;4727&lt;/key&gt;&lt;/foreign-keys&gt;&lt;ref-type name="Government Document"&gt;46&lt;/ref-type&gt;&lt;contributors&gt;&lt;authors&gt;&lt;author&gt;National Health and Medical Research Council, NHMRC&lt;/author&gt;&lt;/authors&gt;&lt;/contributors&gt;&lt;titles&gt;&lt;title&gt;Methodological Framework for the Review of Nutrient Reference Values&lt;/title&gt;&lt;/titles&gt;&lt;edition&gt;V3.6 May 2026&lt;/edition&gt;&lt;dates&gt;&lt;year&gt;2026&lt;/year&gt;&lt;/dates&gt;&lt;pub-location&gt;Canberra, ACT&lt;/pub-location&gt;&lt;publisher&gt;NHMRC&lt;/publisher&gt;&lt;urls&gt;&lt;related-urls&gt;&lt;url&gt;URL TBC ONCE PUBLISHED&lt;/url&gt;&lt;/related-urls&gt;&lt;/urls&gt;&lt;/record&gt;&lt;/Cite&gt;&lt;/EndNote&gt;</w:instrText>
      </w:r>
      <w:r>
        <w:fldChar w:fldCharType="separate"/>
      </w:r>
      <w:r>
        <w:rPr>
          <w:noProof/>
        </w:rPr>
        <w:t>(National Health and Medical Research Council, 2026)</w:t>
      </w:r>
      <w:r>
        <w:fldChar w:fldCharType="end"/>
      </w:r>
      <w:r>
        <w:t xml:space="preserve">. A UL </w:t>
      </w:r>
      <w:r>
        <w:rPr>
          <w:rFonts w:eastAsia="Times New Roman" w:cs="Arial"/>
          <w:iCs/>
        </w:rPr>
        <w:t xml:space="preserve">is </w:t>
      </w:r>
      <w:r w:rsidRPr="00BF43D5">
        <w:t>calculated b</w:t>
      </w:r>
      <w:r w:rsidRPr="003F1F90">
        <w:t xml:space="preserve">ased on toxicological adverse effects – that is, adverse events that occur at a distinct threshold that differentiates ‘safe’ and ‘unsafe’ intakes. However, in the case of sodium this distinction </w:t>
      </w:r>
      <w:r>
        <w:t xml:space="preserve">is difficult, in view of the </w:t>
      </w:r>
      <w:r w:rsidRPr="003F1F90">
        <w:rPr>
          <w:rFonts w:eastAsia="Times New Roman" w:cs="Arial"/>
          <w:iCs/>
        </w:rPr>
        <w:t>progressive and continuous relationship between sodium intake and blood pressure</w:t>
      </w:r>
      <w:r>
        <w:rPr>
          <w:rFonts w:eastAsia="Times New Roman" w:cs="Arial"/>
          <w:iCs/>
        </w:rPr>
        <w:t xml:space="preserve">. </w:t>
      </w:r>
    </w:p>
    <w:p w14:paraId="1ACFA0B9" w14:textId="2A9B6586" w:rsidR="00F61D64" w:rsidRPr="00A725AD" w:rsidRDefault="00F61D64" w:rsidP="00F61D64">
      <w:pPr>
        <w:spacing w:after="120"/>
        <w:rPr>
          <w:rFonts w:eastAsia="Times New Roman" w:cs="Arial"/>
          <w:iCs/>
        </w:rPr>
      </w:pPr>
      <w:r w:rsidRPr="00A725AD">
        <w:rPr>
          <w:rFonts w:eastAsia="Times New Roman" w:cs="Arial"/>
          <w:iCs/>
        </w:rPr>
        <w:t xml:space="preserve">The current UL in children is extrapolated from the 2006 UL in adults which was set at 2,300 mg/day on the basis that there were low levels of hypertension observed with intakes below this threshold </w:t>
      </w:r>
      <w:r w:rsidRPr="00A725AD">
        <w:rPr>
          <w:rFonts w:eastAsia="Times New Roman" w:cs="Arial"/>
          <w:iCs/>
        </w:rPr>
        <w:fldChar w:fldCharType="begin"/>
      </w:r>
      <w:r>
        <w:rPr>
          <w:rFonts w:eastAsia="Times New Roman" w:cs="Arial"/>
          <w:iCs/>
        </w:rPr>
        <w:instrText xml:space="preserve"> ADDIN EN.CITE &lt;EndNote&gt;&lt;Cite ExcludeAuth="1"&gt;&lt;Author&gt;National Health and Medical Research Council&lt;/Author&gt;&lt;Year&gt;2006&lt;/Year&gt;&lt;RecNum&gt;4629&lt;/RecNum&gt;&lt;Prefix&gt;NHMRC`, &lt;/Prefix&gt;&lt;DisplayText&gt;(NHMRC, 2006b)&lt;/DisplayText&gt;&lt;record&gt;&lt;rec-number&gt;4629&lt;/rec-number&gt;&lt;foreign-keys&gt;&lt;key app="EN" db-id="wwsdv2wwp29fenerv0kx5tw9zxtx2fdrprx2" timestamp="1774923627"&gt;4629&lt;/key&gt;&lt;/foreign-keys&gt;&lt;ref-type name="Government Document"&gt;46&lt;/ref-type&gt;&lt;contributors&gt;&lt;authors&gt;&lt;author&gt;National Health and Medical Research Council, NHMRC&lt;/author&gt;&lt;/authors&gt;&lt;secondary-authors&gt;&lt;author&gt;Australian Government Department of Health and Ageing&lt;/author&gt;&lt;/secondary-authors&gt;&lt;/contributors&gt;&lt;titles&gt;&lt;title&gt;Nutrient Reference Values for Australia and New Zealand&lt;/title&gt;&lt;/titles&gt;&lt;dates&gt;&lt;year&gt;2006&lt;/year&gt;&lt;/dates&gt;&lt;pub-location&gt;Canberra&lt;/pub-location&gt;&lt;publisher&gt;NHMRC&lt;/publisher&gt;&lt;urls&gt;&lt;related-urls&gt;&lt;url&gt;https://www.nhmrc.gov.au/about-us/publications/nutrient-reference-values-australia-and-new-zealand-including-recommended-dietary-intakes&lt;/url&gt;&lt;/related-urls&gt;&lt;/urls&gt;&lt;/record&gt;&lt;/Cite&gt;&lt;/EndNote&gt;</w:instrText>
      </w:r>
      <w:r w:rsidRPr="00A725AD">
        <w:rPr>
          <w:rFonts w:eastAsia="Times New Roman" w:cs="Arial"/>
          <w:iCs/>
        </w:rPr>
        <w:fldChar w:fldCharType="separate"/>
      </w:r>
      <w:r>
        <w:rPr>
          <w:rFonts w:eastAsia="Times New Roman" w:cs="Arial"/>
          <w:iCs/>
          <w:noProof/>
        </w:rPr>
        <w:t>(NHMRC, 2006b)</w:t>
      </w:r>
      <w:r w:rsidRPr="00A725AD">
        <w:rPr>
          <w:rFonts w:eastAsia="Times New Roman" w:cs="Arial"/>
          <w:iCs/>
        </w:rPr>
        <w:fldChar w:fldCharType="end"/>
      </w:r>
      <w:r w:rsidRPr="00A725AD">
        <w:rPr>
          <w:rFonts w:eastAsia="Times New Roman" w:cs="Arial"/>
          <w:iCs/>
        </w:rPr>
        <w:t xml:space="preserve">. However, the </w:t>
      </w:r>
      <w:r>
        <w:rPr>
          <w:rFonts w:eastAsia="Times New Roman" w:cs="Arial"/>
          <w:iCs/>
        </w:rPr>
        <w:t xml:space="preserve">adult UL was replaced with </w:t>
      </w:r>
      <w:proofErr w:type="gramStart"/>
      <w:r>
        <w:rPr>
          <w:rFonts w:eastAsia="Times New Roman" w:cs="Arial"/>
          <w:iCs/>
        </w:rPr>
        <w:t>a</w:t>
      </w:r>
      <w:proofErr w:type="gramEnd"/>
      <w:r>
        <w:rPr>
          <w:rFonts w:eastAsia="Times New Roman" w:cs="Arial"/>
          <w:iCs/>
        </w:rPr>
        <w:t xml:space="preserve"> SDT (now CDRR) in 2017, to recognise that </w:t>
      </w:r>
      <w:r w:rsidRPr="00A725AD">
        <w:rPr>
          <w:rFonts w:eastAsia="Times New Roman" w:cs="Arial"/>
          <w:iCs/>
        </w:rPr>
        <w:t>the</w:t>
      </w:r>
      <w:r>
        <w:rPr>
          <w:rFonts w:eastAsia="Times New Roman" w:cs="Arial"/>
          <w:iCs/>
        </w:rPr>
        <w:t xml:space="preserve"> risk of high </w:t>
      </w:r>
      <w:r w:rsidRPr="00A725AD">
        <w:rPr>
          <w:rFonts w:eastAsia="Times New Roman" w:cs="Arial"/>
          <w:iCs/>
        </w:rPr>
        <w:t xml:space="preserve">sodium </w:t>
      </w:r>
      <w:r>
        <w:rPr>
          <w:rFonts w:eastAsia="Times New Roman" w:cs="Arial"/>
          <w:iCs/>
        </w:rPr>
        <w:t>exposure relates to increased chronic disease risk</w:t>
      </w:r>
      <w:r w:rsidRPr="00A725AD">
        <w:rPr>
          <w:rFonts w:eastAsia="Times New Roman" w:cs="Arial"/>
          <w:iCs/>
        </w:rPr>
        <w:t xml:space="preserve">. In view of these considerations, establishing a CDRR instead of a UL in children and adolescents </w:t>
      </w:r>
      <w:r>
        <w:rPr>
          <w:rFonts w:eastAsia="Times New Roman" w:cs="Arial"/>
          <w:iCs/>
        </w:rPr>
        <w:t xml:space="preserve">may </w:t>
      </w:r>
      <w:r w:rsidRPr="00A725AD">
        <w:rPr>
          <w:rFonts w:eastAsia="Times New Roman" w:cs="Arial"/>
          <w:iCs/>
        </w:rPr>
        <w:t xml:space="preserve">more accurately reflect the </w:t>
      </w:r>
      <w:r>
        <w:rPr>
          <w:rFonts w:eastAsia="Times New Roman" w:cs="Arial"/>
          <w:iCs/>
        </w:rPr>
        <w:t xml:space="preserve">nature of the harm associated with higher sodium intake. </w:t>
      </w:r>
    </w:p>
    <w:p w14:paraId="2A55A051" w14:textId="77777777"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Certainty of the evidence</w:t>
      </w:r>
    </w:p>
    <w:p w14:paraId="31F4055D" w14:textId="77777777" w:rsidR="00F61D64" w:rsidRDefault="00F61D64" w:rsidP="00F61D64">
      <w:r>
        <w:t>The AHRQ (2018) review found l</w:t>
      </w:r>
      <w:r w:rsidRPr="002D2515">
        <w:t xml:space="preserve">ow strength of evidence for a lack of beneficial effect of sodium reduction on systolic </w:t>
      </w:r>
      <w:r>
        <w:t xml:space="preserve">blood pressure </w:t>
      </w:r>
      <w:r w:rsidRPr="002D2515">
        <w:t>in children</w:t>
      </w:r>
      <w:r>
        <w:t>. The evidence for a relationship between sodium intake and arterial stiffness is uncertain, comprising a single cross-sectional study.</w:t>
      </w:r>
    </w:p>
    <w:p w14:paraId="797E94A0" w14:textId="77777777"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Values, preferences and feasibility (consumers, communities)</w:t>
      </w:r>
    </w:p>
    <w:p w14:paraId="0818C826" w14:textId="77777777" w:rsidR="00F61D64" w:rsidRDefault="00F61D64" w:rsidP="00F61D64">
      <w:pPr>
        <w:pStyle w:val="Heading4"/>
      </w:pPr>
      <w:r w:rsidRPr="007638CD">
        <w:t>Values and preferences</w:t>
      </w:r>
    </w:p>
    <w:p w14:paraId="39C2FD65" w14:textId="4E688FF9" w:rsidR="00F61D64" w:rsidRDefault="00F61D64" w:rsidP="00F61D64">
      <w:pPr>
        <w:spacing w:after="120"/>
        <w:ind w:right="34"/>
        <w:rPr>
          <w:rFonts w:eastAsia="Times New Roman" w:cs="Arial"/>
        </w:rPr>
      </w:pPr>
      <w:r>
        <w:t xml:space="preserve">Evidence suggests that although the public have a good understanding of the risks associated with high salt intake, they may lack understanding of current recommendations or of how their own intake compares with these. </w:t>
      </w:r>
      <w:r>
        <w:fldChar w:fldCharType="begin">
          <w:fldData xml:space="preserve">PEVuZE5vdGU+PENpdGU+PEF1dGhvcj5CaGFuYTwvQXV0aG9yPjxZZWFyPjIwMTg8L1llYXI+PFJl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</w:fldData>
        </w:fldChar>
      </w:r>
      <w:r>
        <w:instrText xml:space="preserve"> ADDIN EN.CITE </w:instrText>
      </w:r>
      <w:r>
        <w:fldChar w:fldCharType="begin">
          <w:fldData xml:space="preserve">PEVuZE5vdGU+PENpdGU+PEF1dGhvcj5CaGFuYTwvQXV0aG9yPjxZZWFyPjIwMTg8L1llYXI+PFJl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</w:fldData>
        </w:fldChar>
      </w:r>
      <w:r>
        <w:instrText xml:space="preserve"> ADDIN EN.CITE.DATA </w:instrText>
      </w:r>
      <w:r>
        <w:fldChar w:fldCharType="end"/>
      </w:r>
      <w:r>
        <w:fldChar w:fldCharType="separate"/>
      </w:r>
      <w:r>
        <w:rPr>
          <w:noProof/>
        </w:rPr>
        <w:t>(Bhana et al., 2018; Grimes, Kelley, et al., 2017; Land et al., 2014)</w:t>
      </w:r>
      <w:r>
        <w:fldChar w:fldCharType="end"/>
      </w:r>
      <w:r w:rsidRPr="00BB0551">
        <w:rPr>
          <w:rFonts w:eastAsia="Times New Roman" w:cs="Arial"/>
        </w:rPr>
        <w:t>.</w:t>
      </w:r>
      <w:r>
        <w:rPr>
          <w:rFonts w:eastAsia="Times New Roman" w:cs="Arial"/>
        </w:rPr>
        <w:t xml:space="preserve"> Despite high salt consumption within the general population, two thirds of parents believed that their intakes were equal to or below the recommended daily limits highlighting potential gaps in this knowledge </w:t>
      </w:r>
      <w:r>
        <w:rPr>
          <w:rFonts w:eastAsia="Times New Roman" w:cs="Arial"/>
        </w:rPr>
        <w:fldChar w:fldCharType="begin">
          <w:fldData xml:space="preserve">PEVuZE5vdGU+PENpdGU+PEF1dGhvcj5LaG9raGFyPC9BdXRob3I+PFllYXI+MjAxODwvWWVhcj48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</w:fldData>
        </w:fldChar>
      </w:r>
      <w:r>
        <w:rPr>
          <w:rFonts w:eastAsia="Times New Roman" w:cs="Arial"/>
        </w:rPr>
        <w:instrText xml:space="preserve"> ADDIN EN.CITE </w:instrText>
      </w:r>
      <w:r>
        <w:rPr>
          <w:rFonts w:eastAsia="Times New Roman" w:cs="Arial"/>
        </w:rPr>
        <w:fldChar w:fldCharType="begin">
          <w:fldData xml:space="preserve">PEVuZE5vdGU+PENpdGU+PEF1dGhvcj5LaG9raGFyPC9BdXRob3I+PFllYXI+MjAxODwvWWVhcj48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</w:fldData>
        </w:fldChar>
      </w:r>
      <w:r>
        <w:rPr>
          <w:rFonts w:eastAsia="Times New Roman" w:cs="Arial"/>
        </w:rPr>
        <w:instrText xml:space="preserve"> ADDIN EN.CITE.DATA </w:instrText>
      </w:r>
      <w:r>
        <w:rPr>
          <w:rFonts w:eastAsia="Times New Roman" w:cs="Arial"/>
        </w:rPr>
      </w:r>
      <w:r>
        <w:rPr>
          <w:rFonts w:eastAsia="Times New Roman" w:cs="Arial"/>
        </w:rPr>
        <w:fldChar w:fldCharType="end"/>
      </w:r>
      <w:r>
        <w:rPr>
          <w:rFonts w:eastAsia="Times New Roman" w:cs="Arial"/>
        </w:rPr>
      </w:r>
      <w:r>
        <w:rPr>
          <w:rFonts w:eastAsia="Times New Roman" w:cs="Arial"/>
        </w:rPr>
        <w:fldChar w:fldCharType="separate"/>
      </w:r>
      <w:r>
        <w:rPr>
          <w:rFonts w:eastAsia="Times New Roman" w:cs="Arial"/>
          <w:noProof/>
        </w:rPr>
        <w:t>(Khokhar et al., 2018)</w:t>
      </w:r>
      <w:r>
        <w:rPr>
          <w:rFonts w:eastAsia="Times New Roman" w:cs="Arial"/>
        </w:rPr>
        <w:fldChar w:fldCharType="end"/>
      </w:r>
      <w:r>
        <w:rPr>
          <w:rFonts w:eastAsia="Times New Roman" w:cs="Arial"/>
        </w:rPr>
        <w:t>.</w:t>
      </w:r>
    </w:p>
    <w:p w14:paraId="087FF040" w14:textId="77777777" w:rsidR="00F61D64" w:rsidRPr="002C0460" w:rsidRDefault="00F61D64" w:rsidP="00F61D64">
      <w:pPr>
        <w:spacing w:after="120"/>
        <w:ind w:right="34"/>
        <w:rPr>
          <w:rFonts w:eastAsia="Times New Roman" w:cs="Arial"/>
        </w:rPr>
      </w:pPr>
      <w:r>
        <w:rPr>
          <w:rFonts w:eastAsia="Times New Roman" w:cs="Arial"/>
        </w:rPr>
        <w:t xml:space="preserve">A survey in 837 Australian parents found that most parents are aware </w:t>
      </w:r>
      <w:r w:rsidRPr="002C0460">
        <w:rPr>
          <w:rFonts w:eastAsia="Times New Roman" w:cs="Arial"/>
        </w:rPr>
        <w:t xml:space="preserve">that high salt intake is harmful </w:t>
      </w:r>
      <w:r>
        <w:rPr>
          <w:rFonts w:eastAsia="Times New Roman" w:cs="Arial"/>
        </w:rPr>
        <w:t>to health (91%), and around 3 in 4 understand that this risk also applies to child health (77%). A</w:t>
      </w:r>
      <w:r w:rsidRPr="002C0460">
        <w:rPr>
          <w:rFonts w:eastAsia="Times New Roman" w:cs="Arial"/>
        </w:rPr>
        <w:t xml:space="preserve">lthough many parents </w:t>
      </w:r>
      <w:r>
        <w:rPr>
          <w:rFonts w:eastAsia="Times New Roman" w:cs="Arial"/>
        </w:rPr>
        <w:t xml:space="preserve">agreed that it was important to </w:t>
      </w:r>
      <w:r w:rsidRPr="002C0460">
        <w:rPr>
          <w:rFonts w:eastAsia="Times New Roman" w:cs="Arial"/>
        </w:rPr>
        <w:t>reduc</w:t>
      </w:r>
      <w:r>
        <w:rPr>
          <w:rFonts w:eastAsia="Times New Roman" w:cs="Arial"/>
        </w:rPr>
        <w:t>e</w:t>
      </w:r>
      <w:r w:rsidRPr="002C0460">
        <w:rPr>
          <w:rFonts w:eastAsia="Times New Roman" w:cs="Arial"/>
        </w:rPr>
        <w:t xml:space="preserve"> salt </w:t>
      </w:r>
      <w:r>
        <w:rPr>
          <w:rFonts w:eastAsia="Times New Roman" w:cs="Arial"/>
        </w:rPr>
        <w:t>in their child’s diet</w:t>
      </w:r>
      <w:r w:rsidRPr="002C0460">
        <w:rPr>
          <w:rFonts w:eastAsia="Times New Roman" w:cs="Arial"/>
        </w:rPr>
        <w:t xml:space="preserve">, </w:t>
      </w:r>
      <w:r>
        <w:rPr>
          <w:rFonts w:eastAsia="Times New Roman" w:cs="Arial"/>
        </w:rPr>
        <w:t xml:space="preserve">one in two </w:t>
      </w:r>
      <w:r w:rsidRPr="002C0460">
        <w:rPr>
          <w:rFonts w:eastAsia="Times New Roman" w:cs="Arial"/>
        </w:rPr>
        <w:t>still add</w:t>
      </w:r>
      <w:r>
        <w:rPr>
          <w:rFonts w:eastAsia="Times New Roman" w:cs="Arial"/>
        </w:rPr>
        <w:t>ed</w:t>
      </w:r>
      <w:r w:rsidRPr="002C0460">
        <w:rPr>
          <w:rFonts w:eastAsia="Times New Roman" w:cs="Arial"/>
        </w:rPr>
        <w:t xml:space="preserve"> salt during cooking or at the table. Greater awareness of the impacts of salt on </w:t>
      </w:r>
      <w:r>
        <w:rPr>
          <w:rFonts w:eastAsia="Times New Roman" w:cs="Arial"/>
        </w:rPr>
        <w:t>child health</w:t>
      </w:r>
      <w:r w:rsidRPr="002C0460">
        <w:rPr>
          <w:rFonts w:eastAsia="Times New Roman" w:cs="Arial"/>
        </w:rPr>
        <w:t xml:space="preserve"> </w:t>
      </w:r>
      <w:r>
        <w:rPr>
          <w:rFonts w:eastAsia="Times New Roman" w:cs="Arial"/>
        </w:rPr>
        <w:t>wa</w:t>
      </w:r>
      <w:r w:rsidRPr="002C0460">
        <w:rPr>
          <w:rFonts w:eastAsia="Times New Roman" w:cs="Arial"/>
        </w:rPr>
        <w:t>s associated with lower discretionary salt use</w:t>
      </w:r>
      <w:r>
        <w:rPr>
          <w:rFonts w:eastAsia="Times New Roman" w:cs="Arial"/>
        </w:rPr>
        <w:t xml:space="preserve"> </w:t>
      </w:r>
      <w:r>
        <w:rPr>
          <w:rFonts w:eastAsia="Times New Roman" w:cs="Arial"/>
        </w:rPr>
        <w:fldChar w:fldCharType="begin">
          <w:fldData xml:space="preserve">PEVuZE5vdGU+PENpdGU+PEF1dGhvcj5LaG9raGFyPC9BdXRob3I+PFllYXI+MjAxODwvWWVhcj48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</w:fldData>
        </w:fldChar>
      </w:r>
      <w:r>
        <w:rPr>
          <w:rFonts w:eastAsia="Times New Roman" w:cs="Arial"/>
        </w:rPr>
        <w:instrText xml:space="preserve"> ADDIN EN.CITE </w:instrText>
      </w:r>
      <w:r>
        <w:rPr>
          <w:rFonts w:eastAsia="Times New Roman" w:cs="Arial"/>
        </w:rPr>
        <w:fldChar w:fldCharType="begin">
          <w:fldData xml:space="preserve">PEVuZE5vdGU+PENpdGU+PEF1dGhvcj5LaG9raGFyPC9BdXRob3I+PFllYXI+MjAxODwvWWVhcj48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</w:fldData>
        </w:fldChar>
      </w:r>
      <w:r>
        <w:rPr>
          <w:rFonts w:eastAsia="Times New Roman" w:cs="Arial"/>
        </w:rPr>
        <w:instrText xml:space="preserve"> ADDIN EN.CITE.DATA </w:instrText>
      </w:r>
      <w:r>
        <w:rPr>
          <w:rFonts w:eastAsia="Times New Roman" w:cs="Arial"/>
        </w:rPr>
      </w:r>
      <w:r>
        <w:rPr>
          <w:rFonts w:eastAsia="Times New Roman" w:cs="Arial"/>
        </w:rPr>
        <w:fldChar w:fldCharType="end"/>
      </w:r>
      <w:r>
        <w:rPr>
          <w:rFonts w:eastAsia="Times New Roman" w:cs="Arial"/>
        </w:rPr>
      </w:r>
      <w:r>
        <w:rPr>
          <w:rFonts w:eastAsia="Times New Roman" w:cs="Arial"/>
        </w:rPr>
        <w:fldChar w:fldCharType="separate"/>
      </w:r>
      <w:r>
        <w:rPr>
          <w:rFonts w:eastAsia="Times New Roman" w:cs="Arial"/>
          <w:noProof/>
        </w:rPr>
        <w:t>(Khokhar et al., 2018)</w:t>
      </w:r>
      <w:r>
        <w:rPr>
          <w:rFonts w:eastAsia="Times New Roman" w:cs="Arial"/>
        </w:rPr>
        <w:fldChar w:fldCharType="end"/>
      </w:r>
      <w:r>
        <w:rPr>
          <w:rFonts w:eastAsia="Times New Roman" w:cs="Arial"/>
        </w:rPr>
        <w:t xml:space="preserve">. </w:t>
      </w:r>
    </w:p>
    <w:p w14:paraId="2F307196" w14:textId="77777777" w:rsidR="00F61D64" w:rsidRPr="0005013B" w:rsidRDefault="00F61D64" w:rsidP="00F61D64">
      <w:pPr>
        <w:pStyle w:val="Heading4"/>
      </w:pPr>
      <w:r w:rsidRPr="0005013B">
        <w:t>Feas</w:t>
      </w:r>
      <w:r>
        <w:t>i</w:t>
      </w:r>
      <w:r w:rsidRPr="0005013B">
        <w:t>bility</w:t>
      </w:r>
    </w:p>
    <w:p w14:paraId="70825304" w14:textId="2FB69696" w:rsidR="00F61D64" w:rsidRDefault="00F61D64" w:rsidP="00F61D64">
      <w:pPr>
        <w:spacing w:after="120"/>
      </w:pPr>
      <w:r>
        <w:rPr>
          <w:szCs w:val="20"/>
        </w:rPr>
        <w:t xml:space="preserve">Food modelling data for children and adolescents is </w:t>
      </w:r>
      <w:r w:rsidRPr="0021726E">
        <w:rPr>
          <w:szCs w:val="20"/>
        </w:rPr>
        <w:t xml:space="preserve">presented in </w:t>
      </w:r>
      <w:r w:rsidR="00B90577">
        <w:rPr>
          <w:szCs w:val="20"/>
        </w:rPr>
        <w:t>Table 31.</w:t>
      </w:r>
      <w:r w:rsidRPr="0021726E">
        <w:rPr>
          <w:szCs w:val="20"/>
        </w:rPr>
        <w:t xml:space="preserve"> </w:t>
      </w:r>
      <w:r w:rsidRPr="0021726E">
        <w:t>Modelling for</w:t>
      </w:r>
      <w:r w:rsidRPr="008C7C91">
        <w:t xml:space="preserve"> 7-day Total Diets </w:t>
      </w:r>
      <w:r>
        <w:t>indicates</w:t>
      </w:r>
      <w:r w:rsidRPr="008C7C91">
        <w:t xml:space="preserve"> that intakes of sodium less than the current UL are achievable – although only just - for most children with light to moderate activity, except for those aged 2 to 3 years. However, for children with the highest energy needs modelled intakes from 7-day Total Diets exceed the current UL for all children except those aged 9-11 </w:t>
      </w:r>
      <w:r w:rsidRPr="008C7C91">
        <w:fldChar w:fldCharType="begin"/>
      </w:r>
      <w:r w:rsidRPr="008C7C91">
        <w:instrText xml:space="preserve"> ADDIN EN.CITE &lt;EndNote&gt;&lt;Cite ExcludeAuth="1"&gt;&lt;Author&gt;National Health and Medical Research Council&lt;/Author&gt;&lt;Year&gt;2011&lt;/Year&gt;&lt;RecNum&gt;4683&lt;/RecNum&gt;&lt;Prefix&gt;NHMRC`, &lt;/Prefix&gt;&lt;DisplayText&gt;(NHMRC, 2011)&lt;/DisplayText&gt;&lt;record&gt;&lt;rec-number&gt;4683&lt;/rec-number&gt;&lt;foreign-keys&gt;&lt;key app="EN" db-id="wwsdv2wwp29fenerv0kx5tw9zxtx2fdrprx2" timestamp="1776057437"&gt;4683&lt;/key&gt;&lt;/foreign-keys&gt;&lt;ref-type name="Generic"&gt;13&lt;/ref-type&gt;&lt;contributors&gt;&lt;authors&gt;&lt;author&gt;National Health and Medical Research Council, NHMRC&lt;/author&gt;&lt;/authors&gt;&lt;secondary-authors&gt;&lt;author&gt;National Health and Medical Research Council, NHMRC&lt;/author&gt;&lt;/secondary-authors&gt;&lt;/contributors&gt;&lt;titles&gt;&lt;title&gt;A Modelling System to Inform the Revision of the Australian Guide to Healthy Eating&lt;/title&gt;&lt;/titles&gt;&lt;dates&gt;&lt;year&gt;2011&lt;/year&gt;&lt;/dates&gt;&lt;pub-location&gt;Canberra, ACT&lt;/pub-location&gt;&lt;urls&gt;&lt;/urls&gt;&lt;/record&gt;&lt;/Cite&gt;&lt;/EndNote&gt;</w:instrText>
      </w:r>
      <w:r w:rsidRPr="008C7C91">
        <w:fldChar w:fldCharType="separate"/>
      </w:r>
      <w:r w:rsidRPr="008C7C91">
        <w:rPr>
          <w:noProof/>
        </w:rPr>
        <w:t>(NHMRC, 2011)</w:t>
      </w:r>
      <w:r w:rsidRPr="008C7C91">
        <w:fldChar w:fldCharType="end"/>
      </w:r>
      <w:r w:rsidRPr="008C7C91">
        <w:t>. For diets with cereal</w:t>
      </w:r>
      <w:r>
        <w:t xml:space="preserve"> intakes in the upper range, all children had estimated sodium intakes above the age-relevant UL. If the current CDRR (formerly SDT) is adopted – and extrapolated to children – it is likely that even more of the modelled diets will exceed the NRV recommendation, owing to the adult CDRR of 2,000 mg/day being lower than the previous adult UL or 2,300 mg/day from which current ULs have been derived. This modelling </w:t>
      </w:r>
      <w:r>
        <w:rPr>
          <w:rFonts w:eastAsia="Times New Roman" w:cs="Arial"/>
          <w:szCs w:val="20"/>
        </w:rPr>
        <w:t xml:space="preserve">should be interpreted with </w:t>
      </w:r>
      <w:r>
        <w:rPr>
          <w:rFonts w:eastAsia="Times New Roman" w:cs="Arial"/>
          <w:szCs w:val="20"/>
        </w:rPr>
        <w:lastRenderedPageBreak/>
        <w:t xml:space="preserve">caution given the significant time elapsed since modelling was </w:t>
      </w:r>
      <w:proofErr w:type="gramStart"/>
      <w:r>
        <w:rPr>
          <w:rFonts w:eastAsia="Times New Roman" w:cs="Arial"/>
          <w:szCs w:val="20"/>
        </w:rPr>
        <w:t>undertaken, and</w:t>
      </w:r>
      <w:proofErr w:type="gramEnd"/>
      <w:r>
        <w:rPr>
          <w:rFonts w:eastAsia="Times New Roman" w:cs="Arial"/>
          <w:szCs w:val="20"/>
        </w:rPr>
        <w:t xml:space="preserve"> noting changes in both dietary patterns and sodium in the food supply since this time. </w:t>
      </w:r>
      <w:r>
        <w:t xml:space="preserve">This modelling predates the Healthy Food Partnership (HFP) program, so it does not reflect any reformulation-related reductions in sodium in the food supply, with associated reductions in the sodium content of participating products estimated at 4.3% (ABS, 2025).  </w:t>
      </w:r>
    </w:p>
    <w:p w14:paraId="78609D40" w14:textId="1CEECA92" w:rsidR="00B90577" w:rsidRDefault="00B90577" w:rsidP="00B90577">
      <w:pPr>
        <w:pStyle w:val="Caption"/>
        <w:keepNext/>
        <w:spacing w:after="0"/>
      </w:pPr>
      <w:r>
        <w:t xml:space="preserve">Table </w:t>
      </w:r>
      <w:r>
        <w:fldChar w:fldCharType="begin"/>
      </w:r>
      <w:r>
        <w:instrText>SEQ Table \* ARABIC</w:instrText>
      </w:r>
      <w:r>
        <w:fldChar w:fldCharType="separate"/>
      </w:r>
      <w:r>
        <w:rPr>
          <w:noProof/>
        </w:rPr>
        <w:t>31</w:t>
      </w:r>
      <w:r>
        <w:fldChar w:fldCharType="end"/>
      </w:r>
      <w:r>
        <w:t xml:space="preserve"> - </w:t>
      </w:r>
      <w:r w:rsidRPr="00B7033B">
        <w:t>Food modelling data - children and adolescents (NHMRC, 2011)</w:t>
      </w:r>
    </w:p>
    <w:tbl>
      <w:tblPr>
        <w:tblStyle w:val="TableGrid2"/>
        <w:tblpPr w:leftFromText="180" w:rightFromText="180" w:vertAnchor="text" w:horzAnchor="margin" w:tblpXSpec="center" w:tblpY="338"/>
        <w:tblW w:w="15233" w:type="dxa"/>
        <w:tblLook w:val="04A0" w:firstRow="1" w:lastRow="0" w:firstColumn="1" w:lastColumn="0" w:noHBand="0" w:noVBand="1"/>
      </w:tblPr>
      <w:tblGrid>
        <w:gridCol w:w="1105"/>
        <w:gridCol w:w="1035"/>
        <w:gridCol w:w="1257"/>
        <w:gridCol w:w="673"/>
        <w:gridCol w:w="765"/>
        <w:gridCol w:w="765"/>
        <w:gridCol w:w="765"/>
        <w:gridCol w:w="766"/>
        <w:gridCol w:w="765"/>
        <w:gridCol w:w="765"/>
        <w:gridCol w:w="766"/>
        <w:gridCol w:w="1483"/>
        <w:gridCol w:w="1399"/>
        <w:gridCol w:w="8"/>
        <w:gridCol w:w="1424"/>
        <w:gridCol w:w="1470"/>
        <w:gridCol w:w="8"/>
        <w:gridCol w:w="14"/>
      </w:tblGrid>
      <w:tr w:rsidR="00F61D64" w:rsidRPr="000D2DF6" w14:paraId="2EBDB9EE" w14:textId="77777777" w:rsidTr="003A31ED">
        <w:tc>
          <w:tcPr>
            <w:tcW w:w="1105" w:type="dxa"/>
            <w:vMerge w:val="restart"/>
            <w:shd w:val="clear" w:color="auto" w:fill="005F85"/>
            <w:vAlign w:val="bottom"/>
          </w:tcPr>
          <w:p w14:paraId="52B7C440" w14:textId="77777777" w:rsidR="00F61D64" w:rsidRPr="000D2DF6" w:rsidRDefault="00F61D64" w:rsidP="003A31ED">
            <w:pPr>
              <w:spacing w:after="0"/>
              <w:ind w:left="-88" w:right="33"/>
              <w:jc w:val="center"/>
              <w:rPr>
                <w:rFonts w:ascii="Aptos" w:eastAsia="Times New Roman" w:hAnsi="Aptos" w:cs="Arial"/>
                <w:b/>
                <w:bCs/>
                <w:color w:val="FFFFFF"/>
                <w:sz w:val="20"/>
                <w:szCs w:val="20"/>
              </w:rPr>
            </w:pPr>
            <w:bookmarkStart w:id="187" w:name="_Ref231329191"/>
            <w:r w:rsidRPr="000D2DF6">
              <w:rPr>
                <w:rFonts w:ascii="Aptos" w:eastAsia="Times New Roman" w:hAnsi="Aptos" w:cs="Arial"/>
                <w:b/>
                <w:bCs/>
                <w:color w:val="FFFFFF"/>
                <w:sz w:val="20"/>
                <w:szCs w:val="20"/>
              </w:rPr>
              <w:t>Age group (years)</w:t>
            </w:r>
          </w:p>
        </w:tc>
        <w:tc>
          <w:tcPr>
            <w:tcW w:w="1035" w:type="dxa"/>
            <w:vMerge w:val="restart"/>
            <w:shd w:val="clear" w:color="auto" w:fill="005F85"/>
          </w:tcPr>
          <w:p w14:paraId="6EF0B891" w14:textId="77777777" w:rsidR="00F61D64" w:rsidRPr="000D2DF6" w:rsidRDefault="00F61D64"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Core food groups^</w:t>
            </w:r>
          </w:p>
          <w:p w14:paraId="23E59368" w14:textId="77777777" w:rsidR="00F61D64" w:rsidRPr="000D2DF6" w:rsidRDefault="00F61D64"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1257" w:type="dxa"/>
            <w:vMerge w:val="restart"/>
            <w:shd w:val="clear" w:color="auto" w:fill="156082" w:themeFill="accent1"/>
          </w:tcPr>
          <w:p w14:paraId="3954B2A8" w14:textId="77777777" w:rsidR="00F61D64" w:rsidRPr="000D2DF6" w:rsidRDefault="00F61D64"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Intake from AGTHE98</w:t>
            </w:r>
            <w:r>
              <w:rPr>
                <w:rFonts w:ascii="Aptos" w:eastAsia="Times New Roman" w:hAnsi="Aptos" w:cs="Arial"/>
                <w:b/>
                <w:bCs/>
                <w:color w:val="FFFFFF"/>
                <w:sz w:val="20"/>
                <w:szCs w:val="20"/>
              </w:rPr>
              <w:t>^</w:t>
            </w:r>
          </w:p>
          <w:p w14:paraId="0156A184" w14:textId="77777777" w:rsidR="00F61D64" w:rsidRPr="000D2DF6" w:rsidRDefault="00F61D64"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6030" w:type="dxa"/>
            <w:gridSpan w:val="8"/>
            <w:shd w:val="clear" w:color="auto" w:fill="005F85"/>
          </w:tcPr>
          <w:p w14:paraId="737EE731" w14:textId="77777777" w:rsidR="00F61D64" w:rsidRPr="000D2DF6" w:rsidRDefault="00F61D64" w:rsidP="003A31ED">
            <w:pPr>
              <w:spacing w:after="0"/>
              <w:ind w:right="34"/>
              <w:jc w:val="center"/>
              <w:rPr>
                <w:rFonts w:ascii="Aptos" w:eastAsia="Times New Roman" w:hAnsi="Aptos" w:cs="Arial"/>
                <w:b/>
                <w:bCs/>
                <w:color w:val="FFFFFF"/>
                <w:sz w:val="20"/>
                <w:szCs w:val="20"/>
              </w:rPr>
            </w:pPr>
            <w:r>
              <w:rPr>
                <w:rFonts w:ascii="Aptos" w:eastAsia="Times New Roman" w:hAnsi="Aptos" w:cs="Arial"/>
                <w:b/>
                <w:bCs/>
                <w:color w:val="FFFFFF"/>
                <w:sz w:val="20"/>
                <w:szCs w:val="20"/>
              </w:rPr>
              <w:t>Foundation diets</w:t>
            </w:r>
          </w:p>
        </w:tc>
        <w:tc>
          <w:tcPr>
            <w:tcW w:w="5806" w:type="dxa"/>
            <w:gridSpan w:val="7"/>
            <w:shd w:val="clear" w:color="auto" w:fill="005F85"/>
          </w:tcPr>
          <w:p w14:paraId="66784360" w14:textId="77777777" w:rsidR="00F61D64" w:rsidRDefault="00F61D64" w:rsidP="003A31ED">
            <w:pPr>
              <w:spacing w:after="0"/>
              <w:ind w:right="34"/>
              <w:jc w:val="center"/>
              <w:rPr>
                <w:rFonts w:ascii="Aptos" w:eastAsia="Times New Roman" w:hAnsi="Aptos" w:cs="Arial"/>
                <w:b/>
                <w:bCs/>
                <w:color w:val="FFFFFF"/>
                <w:sz w:val="20"/>
                <w:szCs w:val="20"/>
              </w:rPr>
            </w:pPr>
            <w:r>
              <w:rPr>
                <w:rFonts w:ascii="Aptos" w:eastAsia="Times New Roman" w:hAnsi="Aptos" w:cs="Arial"/>
                <w:b/>
                <w:bCs/>
                <w:color w:val="FFFFFF"/>
                <w:sz w:val="20"/>
                <w:szCs w:val="20"/>
              </w:rPr>
              <w:t>7-day Total Diet</w:t>
            </w:r>
          </w:p>
        </w:tc>
      </w:tr>
      <w:tr w:rsidR="00F61D64" w:rsidRPr="000D2DF6" w14:paraId="4365E90F" w14:textId="77777777" w:rsidTr="003A31ED">
        <w:trPr>
          <w:gridAfter w:val="1"/>
          <w:wAfter w:w="14" w:type="dxa"/>
        </w:trPr>
        <w:tc>
          <w:tcPr>
            <w:tcW w:w="1105" w:type="dxa"/>
            <w:vMerge/>
            <w:shd w:val="clear" w:color="auto" w:fill="005F85"/>
            <w:vAlign w:val="bottom"/>
          </w:tcPr>
          <w:p w14:paraId="3F92A332" w14:textId="77777777" w:rsidR="00F61D64" w:rsidRPr="000D2DF6" w:rsidRDefault="00F61D64" w:rsidP="003A31ED">
            <w:pPr>
              <w:spacing w:after="0"/>
              <w:ind w:left="-88" w:right="33"/>
              <w:jc w:val="center"/>
              <w:rPr>
                <w:rFonts w:ascii="Aptos" w:eastAsia="Times New Roman" w:hAnsi="Aptos" w:cs="Arial"/>
                <w:b/>
                <w:bCs/>
                <w:color w:val="FFFFFF"/>
                <w:sz w:val="20"/>
                <w:szCs w:val="20"/>
              </w:rPr>
            </w:pPr>
          </w:p>
        </w:tc>
        <w:tc>
          <w:tcPr>
            <w:tcW w:w="1035" w:type="dxa"/>
            <w:vMerge/>
            <w:shd w:val="clear" w:color="auto" w:fill="005F85"/>
          </w:tcPr>
          <w:p w14:paraId="778B96CB" w14:textId="77777777" w:rsidR="00F61D64" w:rsidRPr="000D2DF6" w:rsidRDefault="00F61D64" w:rsidP="003A31ED">
            <w:pPr>
              <w:spacing w:after="0"/>
              <w:jc w:val="center"/>
              <w:rPr>
                <w:rFonts w:ascii="Aptos" w:eastAsia="Times New Roman" w:hAnsi="Aptos" w:cs="Arial"/>
                <w:b/>
                <w:bCs/>
                <w:color w:val="FFFFFF"/>
                <w:sz w:val="20"/>
                <w:szCs w:val="20"/>
              </w:rPr>
            </w:pPr>
          </w:p>
        </w:tc>
        <w:tc>
          <w:tcPr>
            <w:tcW w:w="1257" w:type="dxa"/>
            <w:vMerge/>
            <w:shd w:val="clear" w:color="auto" w:fill="156082" w:themeFill="accent1"/>
          </w:tcPr>
          <w:p w14:paraId="4124DD96" w14:textId="77777777" w:rsidR="00F61D64" w:rsidRPr="000D2DF6" w:rsidRDefault="00F61D64" w:rsidP="003A31ED">
            <w:pPr>
              <w:spacing w:after="0"/>
              <w:jc w:val="center"/>
              <w:rPr>
                <w:rFonts w:ascii="Aptos" w:eastAsia="Times New Roman" w:hAnsi="Aptos" w:cs="Arial"/>
                <w:b/>
                <w:bCs/>
                <w:color w:val="FFFFFF"/>
                <w:sz w:val="20"/>
                <w:szCs w:val="20"/>
              </w:rPr>
            </w:pPr>
          </w:p>
        </w:tc>
        <w:tc>
          <w:tcPr>
            <w:tcW w:w="1438" w:type="dxa"/>
            <w:gridSpan w:val="2"/>
            <w:shd w:val="clear" w:color="auto" w:fill="005F85"/>
          </w:tcPr>
          <w:p w14:paraId="3E559670" w14:textId="77777777" w:rsidR="00F61D64" w:rsidRPr="000D2DF6" w:rsidRDefault="00F61D64" w:rsidP="003A31ED">
            <w:pPr>
              <w:spacing w:after="0"/>
              <w:jc w:val="center"/>
              <w:rPr>
                <w:rFonts w:ascii="Aptos" w:eastAsia="Times New Roman" w:hAnsi="Aptos" w:cs="Arial"/>
                <w:b/>
                <w:bCs/>
                <w:color w:val="FFFFFF"/>
                <w:sz w:val="20"/>
                <w:szCs w:val="20"/>
              </w:rPr>
            </w:pPr>
            <w:r>
              <w:rPr>
                <w:rFonts w:ascii="Aptos" w:eastAsia="Times New Roman" w:hAnsi="Aptos" w:cs="Arial"/>
                <w:b/>
                <w:bCs/>
                <w:color w:val="FFFFFF"/>
                <w:sz w:val="20"/>
                <w:szCs w:val="20"/>
              </w:rPr>
              <w:t>O</w:t>
            </w:r>
            <w:r w:rsidRPr="000D2DF6">
              <w:rPr>
                <w:rFonts w:ascii="Aptos" w:eastAsia="Times New Roman" w:hAnsi="Aptos" w:cs="Arial"/>
                <w:b/>
                <w:bCs/>
                <w:color w:val="FFFFFF"/>
                <w:sz w:val="20"/>
                <w:szCs w:val="20"/>
              </w:rPr>
              <w:t>verall</w:t>
            </w:r>
          </w:p>
          <w:p w14:paraId="74792372" w14:textId="77777777" w:rsidR="00F61D64" w:rsidRPr="000D2DF6" w:rsidRDefault="00F61D64"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1530" w:type="dxa"/>
            <w:gridSpan w:val="2"/>
            <w:shd w:val="clear" w:color="auto" w:fill="005F85"/>
          </w:tcPr>
          <w:p w14:paraId="6651C7AB" w14:textId="77777777" w:rsidR="00F61D64" w:rsidRPr="000D2DF6" w:rsidRDefault="00F61D64"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Intake from rice-based diets</w:t>
            </w:r>
          </w:p>
          <w:p w14:paraId="6A65E3AE" w14:textId="77777777" w:rsidR="00F61D64" w:rsidRPr="000D2DF6" w:rsidRDefault="00F61D64"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1531" w:type="dxa"/>
            <w:gridSpan w:val="2"/>
            <w:shd w:val="clear" w:color="auto" w:fill="005F85"/>
          </w:tcPr>
          <w:p w14:paraId="61DC6E04" w14:textId="77777777" w:rsidR="00F61D64" w:rsidRPr="000D2DF6" w:rsidRDefault="00F61D64" w:rsidP="003A31ED">
            <w:pPr>
              <w:spacing w:after="0"/>
              <w:ind w:right="27"/>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Intake from pasta-based diets</w:t>
            </w:r>
          </w:p>
          <w:p w14:paraId="60756731" w14:textId="77777777" w:rsidR="00F61D64" w:rsidRPr="000D2DF6" w:rsidRDefault="00F61D64" w:rsidP="003A31ED">
            <w:pPr>
              <w:spacing w:after="0"/>
              <w:ind w:right="27"/>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1531" w:type="dxa"/>
            <w:gridSpan w:val="2"/>
            <w:shd w:val="clear" w:color="auto" w:fill="005F85"/>
          </w:tcPr>
          <w:p w14:paraId="1304B78B" w14:textId="77777777" w:rsidR="00F61D64" w:rsidRPr="000D2DF6" w:rsidRDefault="00F61D64" w:rsidP="003A31ED">
            <w:pPr>
              <w:spacing w:after="0"/>
              <w:ind w:right="3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 xml:space="preserve">Intake from </w:t>
            </w:r>
            <w:proofErr w:type="spellStart"/>
            <w:r w:rsidRPr="000D2DF6">
              <w:rPr>
                <w:rFonts w:ascii="Aptos" w:eastAsia="Times New Roman" w:hAnsi="Aptos" w:cs="Arial"/>
                <w:b/>
                <w:bCs/>
                <w:color w:val="FFFFFF"/>
                <w:sz w:val="20"/>
                <w:szCs w:val="20"/>
              </w:rPr>
              <w:t>lacto</w:t>
            </w:r>
            <w:proofErr w:type="spellEnd"/>
            <w:r w:rsidRPr="000D2DF6">
              <w:rPr>
                <w:rFonts w:ascii="Aptos" w:eastAsia="Times New Roman" w:hAnsi="Aptos" w:cs="Arial"/>
                <w:b/>
                <w:bCs/>
                <w:color w:val="FFFFFF"/>
                <w:sz w:val="20"/>
                <w:szCs w:val="20"/>
              </w:rPr>
              <w:t>-ovo-vego diets</w:t>
            </w:r>
          </w:p>
          <w:p w14:paraId="370202D3" w14:textId="77777777" w:rsidR="00F61D64" w:rsidRPr="000D2DF6" w:rsidRDefault="00F61D64" w:rsidP="003A31ED">
            <w:pPr>
              <w:spacing w:after="0"/>
              <w:ind w:right="3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2890" w:type="dxa"/>
            <w:gridSpan w:val="3"/>
            <w:shd w:val="clear" w:color="auto" w:fill="005F85"/>
          </w:tcPr>
          <w:p w14:paraId="63331C63" w14:textId="77777777" w:rsidR="00F61D64" w:rsidRDefault="00F61D64" w:rsidP="003A31ED">
            <w:pPr>
              <w:spacing w:after="0"/>
              <w:ind w:right="34"/>
              <w:jc w:val="center"/>
              <w:rPr>
                <w:rFonts w:eastAsia="Times New Roman" w:cs="Arial"/>
                <w:b/>
                <w:bCs/>
                <w:color w:val="FFFFFF"/>
                <w:sz w:val="20"/>
                <w:szCs w:val="20"/>
              </w:rPr>
            </w:pPr>
            <w:r>
              <w:rPr>
                <w:rFonts w:eastAsia="Times New Roman" w:cs="Arial"/>
                <w:b/>
                <w:bCs/>
                <w:color w:val="FFFFFF"/>
                <w:sz w:val="20"/>
                <w:szCs w:val="20"/>
              </w:rPr>
              <w:t>Mid energy level</w:t>
            </w:r>
          </w:p>
          <w:p w14:paraId="3AD4E399" w14:textId="77777777" w:rsidR="00F61D64" w:rsidRDefault="00F61D64" w:rsidP="003A31ED">
            <w:pPr>
              <w:spacing w:after="0"/>
              <w:ind w:right="34"/>
              <w:jc w:val="center"/>
              <w:rPr>
                <w:rFonts w:eastAsia="Times New Roman" w:cs="Arial"/>
                <w:b/>
                <w:bCs/>
                <w:color w:val="FFFFFF"/>
                <w:sz w:val="20"/>
                <w:szCs w:val="20"/>
              </w:rPr>
            </w:pPr>
            <w:r>
              <w:rPr>
                <w:rFonts w:eastAsia="Times New Roman" w:cs="Arial"/>
                <w:b/>
                <w:bCs/>
                <w:color w:val="FFFFFF"/>
                <w:sz w:val="20"/>
                <w:szCs w:val="20"/>
              </w:rPr>
              <w:t>(average height, light-moderate activity)</w:t>
            </w:r>
          </w:p>
          <w:p w14:paraId="142C3210" w14:textId="77777777" w:rsidR="00F61D64" w:rsidRPr="000D2DF6" w:rsidRDefault="00F61D64" w:rsidP="003A31ED">
            <w:pPr>
              <w:spacing w:after="0"/>
              <w:ind w:right="3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c>
          <w:tcPr>
            <w:tcW w:w="2902" w:type="dxa"/>
            <w:gridSpan w:val="3"/>
            <w:shd w:val="clear" w:color="auto" w:fill="005F85"/>
          </w:tcPr>
          <w:p w14:paraId="7E893C3E" w14:textId="77777777" w:rsidR="00F61D64" w:rsidRDefault="00F61D64" w:rsidP="003A31ED">
            <w:pPr>
              <w:spacing w:after="0"/>
              <w:ind w:right="34"/>
              <w:jc w:val="center"/>
              <w:rPr>
                <w:rFonts w:eastAsia="Times New Roman" w:cs="Arial"/>
                <w:b/>
                <w:bCs/>
                <w:color w:val="FFFFFF"/>
                <w:sz w:val="20"/>
                <w:szCs w:val="20"/>
              </w:rPr>
            </w:pPr>
            <w:r>
              <w:rPr>
                <w:rFonts w:eastAsia="Times New Roman" w:cs="Arial"/>
                <w:b/>
                <w:bCs/>
                <w:color w:val="FFFFFF"/>
                <w:sz w:val="20"/>
                <w:szCs w:val="20"/>
              </w:rPr>
              <w:t xml:space="preserve">High energy level </w:t>
            </w:r>
          </w:p>
          <w:p w14:paraId="71D90BB5" w14:textId="77777777" w:rsidR="00F61D64" w:rsidRDefault="00F61D64" w:rsidP="003A31ED">
            <w:pPr>
              <w:spacing w:after="0"/>
              <w:ind w:right="34"/>
              <w:jc w:val="center"/>
              <w:rPr>
                <w:rFonts w:eastAsia="Times New Roman" w:cs="Arial"/>
                <w:b/>
                <w:bCs/>
                <w:color w:val="FFFFFF"/>
                <w:sz w:val="20"/>
                <w:szCs w:val="20"/>
              </w:rPr>
            </w:pPr>
            <w:r>
              <w:rPr>
                <w:rFonts w:eastAsia="Times New Roman" w:cs="Arial"/>
                <w:b/>
                <w:bCs/>
                <w:color w:val="FFFFFF"/>
                <w:sz w:val="20"/>
                <w:szCs w:val="20"/>
              </w:rPr>
              <w:t>(tallest, highest activity)</w:t>
            </w:r>
          </w:p>
          <w:p w14:paraId="2EA32241" w14:textId="77777777" w:rsidR="00F61D64" w:rsidRPr="000D2DF6" w:rsidRDefault="00F61D64" w:rsidP="003A31ED">
            <w:pPr>
              <w:spacing w:after="0"/>
              <w:ind w:right="3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(mg/day)</w:t>
            </w:r>
          </w:p>
        </w:tc>
      </w:tr>
      <w:tr w:rsidR="00F61D64" w:rsidRPr="000D2DF6" w14:paraId="61DD997F" w14:textId="77777777" w:rsidTr="003A31ED">
        <w:trPr>
          <w:gridAfter w:val="2"/>
          <w:wAfter w:w="22" w:type="dxa"/>
          <w:trHeight w:val="321"/>
        </w:trPr>
        <w:tc>
          <w:tcPr>
            <w:tcW w:w="1105" w:type="dxa"/>
            <w:vMerge/>
            <w:shd w:val="clear" w:color="auto" w:fill="005F85"/>
          </w:tcPr>
          <w:p w14:paraId="37AACF4C" w14:textId="77777777" w:rsidR="00F61D64" w:rsidRPr="000D2DF6" w:rsidRDefault="00F61D64" w:rsidP="003A31ED">
            <w:pPr>
              <w:spacing w:after="0"/>
              <w:ind w:right="-1346"/>
              <w:rPr>
                <w:rFonts w:ascii="Aptos" w:eastAsia="Times New Roman" w:hAnsi="Aptos" w:cs="Arial"/>
                <w:b/>
                <w:bCs/>
                <w:color w:val="FFFFFF"/>
                <w:sz w:val="20"/>
                <w:szCs w:val="20"/>
              </w:rPr>
            </w:pPr>
          </w:p>
        </w:tc>
        <w:tc>
          <w:tcPr>
            <w:tcW w:w="1035" w:type="dxa"/>
            <w:shd w:val="clear" w:color="auto" w:fill="005F85"/>
            <w:vAlign w:val="bottom"/>
          </w:tcPr>
          <w:p w14:paraId="2EDF7133" w14:textId="77777777" w:rsidR="00F61D64" w:rsidRPr="000D2DF6" w:rsidRDefault="00F61D64" w:rsidP="003A31ED">
            <w:pPr>
              <w:spacing w:after="0"/>
              <w:jc w:val="center"/>
              <w:rPr>
                <w:rFonts w:ascii="Aptos" w:eastAsia="Times New Roman" w:hAnsi="Aptos" w:cs="Arial"/>
                <w:b/>
                <w:bCs/>
                <w:color w:val="FFFFFF"/>
                <w:sz w:val="20"/>
                <w:szCs w:val="20"/>
              </w:rPr>
            </w:pPr>
            <w:r>
              <w:rPr>
                <w:rFonts w:ascii="Aptos" w:eastAsia="Times New Roman" w:hAnsi="Aptos" w:cs="Arial"/>
                <w:b/>
                <w:bCs/>
                <w:color w:val="FFFFFF"/>
                <w:sz w:val="20"/>
                <w:szCs w:val="20"/>
              </w:rPr>
              <w:t>All</w:t>
            </w:r>
          </w:p>
        </w:tc>
        <w:tc>
          <w:tcPr>
            <w:tcW w:w="1257" w:type="dxa"/>
            <w:shd w:val="clear" w:color="auto" w:fill="156082" w:themeFill="accent1"/>
            <w:vAlign w:val="bottom"/>
          </w:tcPr>
          <w:p w14:paraId="4D067C28" w14:textId="77777777" w:rsidR="00F61D64" w:rsidRPr="000D2DF6" w:rsidRDefault="00F61D64" w:rsidP="003A31ED">
            <w:pPr>
              <w:spacing w:after="0"/>
              <w:jc w:val="center"/>
              <w:rPr>
                <w:rFonts w:ascii="Aptos" w:eastAsia="Times New Roman" w:hAnsi="Aptos" w:cs="Arial"/>
                <w:b/>
                <w:bCs/>
                <w:color w:val="FFFFFF"/>
                <w:sz w:val="20"/>
                <w:szCs w:val="20"/>
              </w:rPr>
            </w:pPr>
            <w:r>
              <w:rPr>
                <w:rFonts w:ascii="Aptos" w:eastAsia="Times New Roman" w:hAnsi="Aptos" w:cs="Arial"/>
                <w:b/>
                <w:bCs/>
                <w:color w:val="FFFFFF"/>
                <w:sz w:val="20"/>
                <w:szCs w:val="20"/>
              </w:rPr>
              <w:t>All</w:t>
            </w:r>
          </w:p>
        </w:tc>
        <w:tc>
          <w:tcPr>
            <w:tcW w:w="673" w:type="dxa"/>
            <w:shd w:val="clear" w:color="auto" w:fill="005F85"/>
            <w:vAlign w:val="bottom"/>
          </w:tcPr>
          <w:p w14:paraId="0CD5E114" w14:textId="77777777" w:rsidR="00F61D64" w:rsidRPr="000D2DF6" w:rsidRDefault="00F61D64"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765" w:type="dxa"/>
            <w:shd w:val="clear" w:color="auto" w:fill="005F85"/>
            <w:vAlign w:val="bottom"/>
          </w:tcPr>
          <w:p w14:paraId="042867E1" w14:textId="77777777" w:rsidR="00F61D64" w:rsidRPr="000D2DF6" w:rsidRDefault="00F61D64" w:rsidP="003A31ED">
            <w:pPr>
              <w:spacing w:after="0"/>
              <w:ind w:right="-112"/>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c>
          <w:tcPr>
            <w:tcW w:w="765" w:type="dxa"/>
            <w:shd w:val="clear" w:color="auto" w:fill="005F85"/>
            <w:vAlign w:val="bottom"/>
          </w:tcPr>
          <w:p w14:paraId="1D25CB47" w14:textId="77777777" w:rsidR="00F61D64" w:rsidRPr="000D2DF6" w:rsidRDefault="00F61D64"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765" w:type="dxa"/>
            <w:shd w:val="clear" w:color="auto" w:fill="005F85"/>
            <w:vAlign w:val="bottom"/>
          </w:tcPr>
          <w:p w14:paraId="4DF42089" w14:textId="77777777" w:rsidR="00F61D64" w:rsidRPr="000D2DF6" w:rsidRDefault="00F61D64" w:rsidP="003A31ED">
            <w:pPr>
              <w:spacing w:after="0"/>
              <w:ind w:right="-11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c>
          <w:tcPr>
            <w:tcW w:w="766" w:type="dxa"/>
            <w:shd w:val="clear" w:color="auto" w:fill="005F85"/>
            <w:vAlign w:val="bottom"/>
          </w:tcPr>
          <w:p w14:paraId="2990F506" w14:textId="77777777" w:rsidR="00F61D64" w:rsidRPr="000D2DF6" w:rsidRDefault="00F61D64"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765" w:type="dxa"/>
            <w:shd w:val="clear" w:color="auto" w:fill="005F85"/>
            <w:vAlign w:val="bottom"/>
          </w:tcPr>
          <w:p w14:paraId="3914A512" w14:textId="77777777" w:rsidR="00F61D64" w:rsidRPr="000D2DF6" w:rsidRDefault="00F61D64" w:rsidP="003A31ED">
            <w:pPr>
              <w:spacing w:after="0"/>
              <w:ind w:right="-108"/>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c>
          <w:tcPr>
            <w:tcW w:w="765" w:type="dxa"/>
            <w:shd w:val="clear" w:color="auto" w:fill="005F85"/>
            <w:vAlign w:val="bottom"/>
          </w:tcPr>
          <w:p w14:paraId="680D7EBA" w14:textId="77777777" w:rsidR="00F61D64" w:rsidRPr="000D2DF6" w:rsidRDefault="00F61D64" w:rsidP="003A31ED">
            <w:pPr>
              <w:spacing w:after="0"/>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766" w:type="dxa"/>
            <w:shd w:val="clear" w:color="auto" w:fill="005F85"/>
            <w:vAlign w:val="bottom"/>
          </w:tcPr>
          <w:p w14:paraId="68C38195" w14:textId="77777777" w:rsidR="00F61D64" w:rsidRPr="000D2DF6" w:rsidRDefault="00F61D64" w:rsidP="003A31ED">
            <w:pPr>
              <w:spacing w:after="0"/>
              <w:ind w:right="-10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c>
          <w:tcPr>
            <w:tcW w:w="1483" w:type="dxa"/>
            <w:shd w:val="clear" w:color="auto" w:fill="005F85"/>
            <w:vAlign w:val="bottom"/>
          </w:tcPr>
          <w:p w14:paraId="2F4F0D11" w14:textId="77777777" w:rsidR="00F61D64" w:rsidRPr="000D2DF6" w:rsidRDefault="00F61D64" w:rsidP="003A31ED">
            <w:pPr>
              <w:spacing w:after="0"/>
              <w:ind w:right="-10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1399" w:type="dxa"/>
            <w:shd w:val="clear" w:color="auto" w:fill="005F85"/>
            <w:vAlign w:val="bottom"/>
          </w:tcPr>
          <w:p w14:paraId="06B51A26" w14:textId="77777777" w:rsidR="00F61D64" w:rsidRPr="000D2DF6" w:rsidRDefault="00F61D64" w:rsidP="003A31ED">
            <w:pPr>
              <w:spacing w:after="0"/>
              <w:ind w:right="-10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c>
          <w:tcPr>
            <w:tcW w:w="1432" w:type="dxa"/>
            <w:gridSpan w:val="2"/>
            <w:shd w:val="clear" w:color="auto" w:fill="005F85"/>
            <w:vAlign w:val="bottom"/>
          </w:tcPr>
          <w:p w14:paraId="6CB8D687" w14:textId="77777777" w:rsidR="00F61D64" w:rsidRPr="000D2DF6" w:rsidRDefault="00F61D64" w:rsidP="003A31ED">
            <w:pPr>
              <w:spacing w:after="0"/>
              <w:ind w:right="-10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F</w:t>
            </w:r>
          </w:p>
        </w:tc>
        <w:tc>
          <w:tcPr>
            <w:tcW w:w="1470" w:type="dxa"/>
            <w:shd w:val="clear" w:color="auto" w:fill="005F85"/>
            <w:vAlign w:val="bottom"/>
          </w:tcPr>
          <w:p w14:paraId="0A0AF820" w14:textId="77777777" w:rsidR="00F61D64" w:rsidRPr="000D2DF6" w:rsidRDefault="00F61D64" w:rsidP="003A31ED">
            <w:pPr>
              <w:spacing w:after="0"/>
              <w:ind w:right="-104"/>
              <w:jc w:val="center"/>
              <w:rPr>
                <w:rFonts w:ascii="Aptos" w:eastAsia="Times New Roman" w:hAnsi="Aptos" w:cs="Arial"/>
                <w:b/>
                <w:bCs/>
                <w:color w:val="FFFFFF"/>
                <w:sz w:val="20"/>
                <w:szCs w:val="20"/>
              </w:rPr>
            </w:pPr>
            <w:r w:rsidRPr="000D2DF6">
              <w:rPr>
                <w:rFonts w:ascii="Aptos" w:eastAsia="Times New Roman" w:hAnsi="Aptos" w:cs="Arial"/>
                <w:b/>
                <w:bCs/>
                <w:color w:val="FFFFFF"/>
                <w:sz w:val="20"/>
                <w:szCs w:val="20"/>
              </w:rPr>
              <w:t>M</w:t>
            </w:r>
          </w:p>
        </w:tc>
      </w:tr>
      <w:tr w:rsidR="00F61D64" w:rsidRPr="000D2DF6" w14:paraId="61ECE941" w14:textId="77777777" w:rsidTr="003A31ED">
        <w:trPr>
          <w:gridAfter w:val="2"/>
          <w:wAfter w:w="22" w:type="dxa"/>
        </w:trPr>
        <w:tc>
          <w:tcPr>
            <w:tcW w:w="1105" w:type="dxa"/>
            <w:vAlign w:val="center"/>
          </w:tcPr>
          <w:p w14:paraId="0D568DFB" w14:textId="77777777" w:rsidR="00F61D64" w:rsidRPr="000D2DF6" w:rsidRDefault="00F61D64" w:rsidP="003A31ED">
            <w:pPr>
              <w:spacing w:after="0"/>
              <w:ind w:right="-1346"/>
              <w:rPr>
                <w:rFonts w:ascii="Aptos" w:eastAsia="Times New Roman" w:hAnsi="Aptos" w:cs="Arial"/>
                <w:sz w:val="20"/>
                <w:szCs w:val="20"/>
              </w:rPr>
            </w:pPr>
            <w:r w:rsidRPr="000D2DF6">
              <w:rPr>
                <w:rFonts w:ascii="Aptos" w:eastAsia="Times New Roman" w:hAnsi="Aptos" w:cs="Arial"/>
                <w:sz w:val="20"/>
                <w:szCs w:val="20"/>
              </w:rPr>
              <w:t xml:space="preserve">13-23 </w:t>
            </w:r>
            <w:proofErr w:type="spellStart"/>
            <w:r w:rsidRPr="000D2DF6">
              <w:rPr>
                <w:rFonts w:ascii="Aptos" w:eastAsia="Times New Roman" w:hAnsi="Aptos" w:cs="Arial"/>
                <w:sz w:val="20"/>
                <w:szCs w:val="20"/>
              </w:rPr>
              <w:t>mo</w:t>
            </w:r>
            <w:proofErr w:type="spellEnd"/>
          </w:p>
        </w:tc>
        <w:tc>
          <w:tcPr>
            <w:tcW w:w="1035" w:type="dxa"/>
            <w:vAlign w:val="center"/>
          </w:tcPr>
          <w:p w14:paraId="4C919ECA" w14:textId="77777777" w:rsidR="00F61D64" w:rsidRPr="000D2DF6" w:rsidRDefault="00F61D64" w:rsidP="003A31ED">
            <w:pPr>
              <w:spacing w:after="0"/>
              <w:ind w:right="38"/>
              <w:jc w:val="center"/>
              <w:rPr>
                <w:rFonts w:ascii="Aptos" w:eastAsia="Times New Roman" w:hAnsi="Aptos" w:cs="Arial"/>
                <w:sz w:val="20"/>
                <w:szCs w:val="20"/>
              </w:rPr>
            </w:pPr>
            <w:r>
              <w:rPr>
                <w:rFonts w:ascii="Aptos" w:eastAsia="Times New Roman" w:hAnsi="Aptos" w:cs="Arial"/>
                <w:sz w:val="20"/>
                <w:szCs w:val="20"/>
              </w:rPr>
              <w:t>NR</w:t>
            </w:r>
          </w:p>
        </w:tc>
        <w:tc>
          <w:tcPr>
            <w:tcW w:w="1257" w:type="dxa"/>
            <w:vAlign w:val="center"/>
          </w:tcPr>
          <w:p w14:paraId="0985859A" w14:textId="77777777" w:rsidR="00F61D64" w:rsidRPr="000D2DF6" w:rsidRDefault="00F61D64" w:rsidP="003A31ED">
            <w:pPr>
              <w:spacing w:after="0"/>
              <w:ind w:right="-115"/>
              <w:jc w:val="center"/>
              <w:rPr>
                <w:rFonts w:ascii="Aptos" w:eastAsia="Times New Roman" w:hAnsi="Aptos" w:cs="Arial"/>
                <w:sz w:val="20"/>
                <w:szCs w:val="20"/>
              </w:rPr>
            </w:pPr>
            <w:r>
              <w:rPr>
                <w:rFonts w:ascii="Aptos" w:eastAsia="Times New Roman" w:hAnsi="Aptos" w:cs="Arial"/>
                <w:sz w:val="20"/>
                <w:szCs w:val="20"/>
              </w:rPr>
              <w:t>NR</w:t>
            </w:r>
          </w:p>
        </w:tc>
        <w:tc>
          <w:tcPr>
            <w:tcW w:w="673" w:type="dxa"/>
            <w:vAlign w:val="center"/>
          </w:tcPr>
          <w:p w14:paraId="62630CBB" w14:textId="77777777" w:rsidR="00F61D64" w:rsidRPr="000D2DF6" w:rsidRDefault="00F61D64" w:rsidP="003A31ED">
            <w:pPr>
              <w:spacing w:after="0"/>
              <w:ind w:right="-115"/>
              <w:jc w:val="center"/>
              <w:rPr>
                <w:rFonts w:ascii="Aptos" w:eastAsia="Times New Roman" w:hAnsi="Aptos" w:cs="Arial"/>
                <w:sz w:val="20"/>
                <w:szCs w:val="20"/>
              </w:rPr>
            </w:pPr>
            <w:r>
              <w:rPr>
                <w:rFonts w:ascii="Aptos" w:eastAsia="Times New Roman" w:hAnsi="Aptos" w:cs="Arial"/>
                <w:sz w:val="20"/>
                <w:szCs w:val="20"/>
              </w:rPr>
              <w:t>701</w:t>
            </w:r>
          </w:p>
        </w:tc>
        <w:tc>
          <w:tcPr>
            <w:tcW w:w="765" w:type="dxa"/>
            <w:vAlign w:val="center"/>
          </w:tcPr>
          <w:p w14:paraId="0CEC4D16"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716</w:t>
            </w:r>
          </w:p>
        </w:tc>
        <w:tc>
          <w:tcPr>
            <w:tcW w:w="765" w:type="dxa"/>
            <w:vAlign w:val="center"/>
          </w:tcPr>
          <w:p w14:paraId="6055EEBA" w14:textId="77777777" w:rsidR="00F61D64" w:rsidRPr="000D2DF6" w:rsidRDefault="00F61D64" w:rsidP="003A31ED">
            <w:pPr>
              <w:spacing w:after="0"/>
              <w:ind w:right="36"/>
              <w:jc w:val="center"/>
              <w:rPr>
                <w:rFonts w:ascii="Aptos" w:eastAsia="Times New Roman" w:hAnsi="Aptos" w:cs="Arial"/>
                <w:sz w:val="20"/>
                <w:szCs w:val="20"/>
              </w:rPr>
            </w:pPr>
            <w:r>
              <w:rPr>
                <w:rFonts w:ascii="Aptos" w:eastAsia="Times New Roman" w:hAnsi="Aptos" w:cs="Arial"/>
                <w:sz w:val="20"/>
                <w:szCs w:val="20"/>
              </w:rPr>
              <w:t>NR</w:t>
            </w:r>
          </w:p>
        </w:tc>
        <w:tc>
          <w:tcPr>
            <w:tcW w:w="765" w:type="dxa"/>
            <w:vAlign w:val="center"/>
          </w:tcPr>
          <w:p w14:paraId="5BB43614" w14:textId="77777777" w:rsidR="00F61D64" w:rsidRPr="000D2DF6" w:rsidRDefault="00F61D64" w:rsidP="003A31ED">
            <w:pPr>
              <w:spacing w:after="0"/>
              <w:ind w:right="-115"/>
              <w:jc w:val="center"/>
              <w:rPr>
                <w:rFonts w:ascii="Aptos" w:eastAsia="Times New Roman" w:hAnsi="Aptos" w:cs="Arial"/>
                <w:sz w:val="20"/>
                <w:szCs w:val="20"/>
              </w:rPr>
            </w:pPr>
            <w:r>
              <w:rPr>
                <w:rFonts w:ascii="Aptos" w:eastAsia="Times New Roman" w:hAnsi="Aptos" w:cs="Arial"/>
                <w:sz w:val="20"/>
                <w:szCs w:val="20"/>
              </w:rPr>
              <w:t>NR</w:t>
            </w:r>
          </w:p>
        </w:tc>
        <w:tc>
          <w:tcPr>
            <w:tcW w:w="766" w:type="dxa"/>
            <w:vAlign w:val="center"/>
          </w:tcPr>
          <w:p w14:paraId="2B8B754F" w14:textId="77777777" w:rsidR="00F61D64" w:rsidRPr="000D2DF6" w:rsidRDefault="00F61D64" w:rsidP="003A31ED">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765" w:type="dxa"/>
            <w:vAlign w:val="center"/>
          </w:tcPr>
          <w:p w14:paraId="20201B96" w14:textId="77777777" w:rsidR="00F61D64" w:rsidRPr="000D2DF6" w:rsidRDefault="00F61D64" w:rsidP="003A31ED">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765" w:type="dxa"/>
            <w:vAlign w:val="center"/>
          </w:tcPr>
          <w:p w14:paraId="0ACF12B3"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NR</w:t>
            </w:r>
          </w:p>
        </w:tc>
        <w:tc>
          <w:tcPr>
            <w:tcW w:w="766" w:type="dxa"/>
            <w:vAlign w:val="center"/>
          </w:tcPr>
          <w:p w14:paraId="450D2243"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NR</w:t>
            </w:r>
          </w:p>
        </w:tc>
        <w:tc>
          <w:tcPr>
            <w:tcW w:w="1483" w:type="dxa"/>
          </w:tcPr>
          <w:p w14:paraId="23E837E3"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NR</w:t>
            </w:r>
          </w:p>
        </w:tc>
        <w:tc>
          <w:tcPr>
            <w:tcW w:w="1399" w:type="dxa"/>
          </w:tcPr>
          <w:p w14:paraId="1EB4C740"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NR</w:t>
            </w:r>
          </w:p>
        </w:tc>
        <w:tc>
          <w:tcPr>
            <w:tcW w:w="1432" w:type="dxa"/>
            <w:gridSpan w:val="2"/>
          </w:tcPr>
          <w:p w14:paraId="184C962E"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NR</w:t>
            </w:r>
          </w:p>
        </w:tc>
        <w:tc>
          <w:tcPr>
            <w:tcW w:w="1470" w:type="dxa"/>
          </w:tcPr>
          <w:p w14:paraId="4D2A1177"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NR</w:t>
            </w:r>
          </w:p>
        </w:tc>
      </w:tr>
      <w:tr w:rsidR="00F61D64" w:rsidRPr="000D2DF6" w14:paraId="6ABE5326" w14:textId="77777777" w:rsidTr="003A31ED">
        <w:trPr>
          <w:gridAfter w:val="2"/>
          <w:wAfter w:w="22" w:type="dxa"/>
        </w:trPr>
        <w:tc>
          <w:tcPr>
            <w:tcW w:w="1105" w:type="dxa"/>
            <w:vAlign w:val="center"/>
          </w:tcPr>
          <w:p w14:paraId="58BD5973" w14:textId="77777777" w:rsidR="00F61D64" w:rsidRPr="000D2DF6" w:rsidRDefault="00F61D64" w:rsidP="003A31ED">
            <w:pPr>
              <w:spacing w:after="0"/>
              <w:ind w:right="-1346"/>
              <w:rPr>
                <w:rFonts w:ascii="Aptos" w:eastAsia="Times New Roman" w:hAnsi="Aptos" w:cs="Arial"/>
                <w:sz w:val="20"/>
                <w:szCs w:val="20"/>
              </w:rPr>
            </w:pPr>
            <w:r w:rsidRPr="000D2DF6">
              <w:rPr>
                <w:rFonts w:ascii="Aptos" w:eastAsia="Times New Roman" w:hAnsi="Aptos" w:cs="Arial"/>
                <w:sz w:val="20"/>
                <w:szCs w:val="20"/>
              </w:rPr>
              <w:t>2 - 3 yr</w:t>
            </w:r>
          </w:p>
        </w:tc>
        <w:tc>
          <w:tcPr>
            <w:tcW w:w="1035" w:type="dxa"/>
            <w:vAlign w:val="center"/>
          </w:tcPr>
          <w:p w14:paraId="731D6DC3" w14:textId="77777777" w:rsidR="00F61D64" w:rsidRPr="000D2DF6" w:rsidRDefault="00F61D64" w:rsidP="003A31ED">
            <w:pPr>
              <w:spacing w:after="0"/>
              <w:ind w:right="38"/>
              <w:jc w:val="center"/>
              <w:rPr>
                <w:rFonts w:ascii="Aptos" w:eastAsia="Times New Roman" w:hAnsi="Aptos" w:cs="Arial"/>
                <w:sz w:val="20"/>
                <w:szCs w:val="20"/>
              </w:rPr>
            </w:pPr>
            <w:r>
              <w:rPr>
                <w:rFonts w:ascii="Aptos" w:eastAsia="Times New Roman" w:hAnsi="Aptos" w:cs="Arial"/>
                <w:sz w:val="20"/>
                <w:szCs w:val="20"/>
              </w:rPr>
              <w:t>NR</w:t>
            </w:r>
          </w:p>
        </w:tc>
        <w:tc>
          <w:tcPr>
            <w:tcW w:w="1257" w:type="dxa"/>
            <w:vAlign w:val="center"/>
          </w:tcPr>
          <w:p w14:paraId="4B08BBA3" w14:textId="77777777" w:rsidR="00F61D64" w:rsidRPr="000D2DF6" w:rsidRDefault="00F61D64" w:rsidP="003A31ED">
            <w:pPr>
              <w:spacing w:after="0"/>
              <w:ind w:right="-115"/>
              <w:jc w:val="center"/>
              <w:rPr>
                <w:rFonts w:ascii="Aptos" w:eastAsia="Times New Roman" w:hAnsi="Aptos" w:cs="Arial"/>
                <w:sz w:val="20"/>
                <w:szCs w:val="20"/>
              </w:rPr>
            </w:pPr>
            <w:r>
              <w:rPr>
                <w:rFonts w:ascii="Aptos" w:eastAsia="Times New Roman" w:hAnsi="Aptos" w:cs="Arial"/>
                <w:sz w:val="20"/>
                <w:szCs w:val="20"/>
              </w:rPr>
              <w:t>NR</w:t>
            </w:r>
          </w:p>
        </w:tc>
        <w:tc>
          <w:tcPr>
            <w:tcW w:w="673" w:type="dxa"/>
            <w:vAlign w:val="center"/>
          </w:tcPr>
          <w:p w14:paraId="29134857"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80</w:t>
            </w:r>
            <w:r>
              <w:rPr>
                <w:rFonts w:ascii="Aptos" w:eastAsia="Times New Roman" w:hAnsi="Aptos" w:cs="Arial"/>
                <w:sz w:val="20"/>
                <w:szCs w:val="20"/>
              </w:rPr>
              <w:t>6</w:t>
            </w:r>
          </w:p>
        </w:tc>
        <w:tc>
          <w:tcPr>
            <w:tcW w:w="765" w:type="dxa"/>
            <w:vAlign w:val="center"/>
          </w:tcPr>
          <w:p w14:paraId="63CAE933"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821</w:t>
            </w:r>
          </w:p>
        </w:tc>
        <w:tc>
          <w:tcPr>
            <w:tcW w:w="765" w:type="dxa"/>
            <w:vAlign w:val="center"/>
          </w:tcPr>
          <w:p w14:paraId="7A61412F" w14:textId="77777777" w:rsidR="00F61D64" w:rsidRPr="000D2DF6" w:rsidRDefault="00F61D64" w:rsidP="003A31ED">
            <w:pPr>
              <w:spacing w:after="0"/>
              <w:ind w:right="36"/>
              <w:jc w:val="center"/>
              <w:rPr>
                <w:rFonts w:ascii="Aptos" w:eastAsia="Times New Roman" w:hAnsi="Aptos" w:cs="Arial"/>
                <w:sz w:val="20"/>
                <w:szCs w:val="20"/>
              </w:rPr>
            </w:pPr>
            <w:r>
              <w:rPr>
                <w:rFonts w:ascii="Aptos" w:eastAsia="Times New Roman" w:hAnsi="Aptos" w:cs="Arial"/>
                <w:sz w:val="20"/>
                <w:szCs w:val="20"/>
              </w:rPr>
              <w:t>NR</w:t>
            </w:r>
          </w:p>
        </w:tc>
        <w:tc>
          <w:tcPr>
            <w:tcW w:w="765" w:type="dxa"/>
            <w:vAlign w:val="center"/>
          </w:tcPr>
          <w:p w14:paraId="000EAB5A" w14:textId="77777777" w:rsidR="00F61D64" w:rsidRPr="000D2DF6" w:rsidRDefault="00F61D64" w:rsidP="003A31ED">
            <w:pPr>
              <w:spacing w:after="0"/>
              <w:ind w:right="-115"/>
              <w:jc w:val="center"/>
              <w:rPr>
                <w:rFonts w:ascii="Aptos" w:eastAsia="Times New Roman" w:hAnsi="Aptos" w:cs="Arial"/>
                <w:sz w:val="20"/>
                <w:szCs w:val="20"/>
              </w:rPr>
            </w:pPr>
            <w:r>
              <w:rPr>
                <w:rFonts w:ascii="Aptos" w:eastAsia="Times New Roman" w:hAnsi="Aptos" w:cs="Arial"/>
                <w:sz w:val="20"/>
                <w:szCs w:val="20"/>
              </w:rPr>
              <w:t>NR</w:t>
            </w:r>
          </w:p>
        </w:tc>
        <w:tc>
          <w:tcPr>
            <w:tcW w:w="766" w:type="dxa"/>
            <w:vAlign w:val="center"/>
          </w:tcPr>
          <w:p w14:paraId="4DD05829" w14:textId="77777777" w:rsidR="00F61D64" w:rsidRPr="000D2DF6" w:rsidRDefault="00F61D64" w:rsidP="003A31ED">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765" w:type="dxa"/>
            <w:vAlign w:val="center"/>
          </w:tcPr>
          <w:p w14:paraId="4CD30D23" w14:textId="77777777" w:rsidR="00F61D64" w:rsidRPr="000D2DF6" w:rsidRDefault="00F61D64" w:rsidP="003A31ED">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765" w:type="dxa"/>
            <w:vAlign w:val="center"/>
          </w:tcPr>
          <w:p w14:paraId="57ABE2F0"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666</w:t>
            </w:r>
          </w:p>
        </w:tc>
        <w:tc>
          <w:tcPr>
            <w:tcW w:w="766" w:type="dxa"/>
            <w:vAlign w:val="center"/>
          </w:tcPr>
          <w:p w14:paraId="782DE840" w14:textId="77777777" w:rsidR="00F61D64" w:rsidRPr="000D2DF6" w:rsidRDefault="00F61D64" w:rsidP="003A31ED">
            <w:pPr>
              <w:spacing w:after="0"/>
              <w:ind w:right="34"/>
              <w:jc w:val="center"/>
              <w:rPr>
                <w:rFonts w:ascii="Aptos" w:eastAsia="Times New Roman" w:hAnsi="Aptos" w:cs="Arial"/>
                <w:sz w:val="20"/>
                <w:szCs w:val="20"/>
              </w:rPr>
            </w:pPr>
            <w:r w:rsidRPr="000D2DF6">
              <w:rPr>
                <w:rFonts w:ascii="Aptos" w:eastAsia="Times New Roman" w:hAnsi="Aptos" w:cs="Arial"/>
                <w:sz w:val="20"/>
                <w:szCs w:val="20"/>
              </w:rPr>
              <w:t>79</w:t>
            </w:r>
            <w:r>
              <w:rPr>
                <w:rFonts w:ascii="Aptos" w:eastAsia="Times New Roman" w:hAnsi="Aptos" w:cs="Arial"/>
                <w:sz w:val="20"/>
                <w:szCs w:val="20"/>
              </w:rPr>
              <w:t>8</w:t>
            </w:r>
          </w:p>
        </w:tc>
        <w:tc>
          <w:tcPr>
            <w:tcW w:w="1483" w:type="dxa"/>
            <w:vAlign w:val="center"/>
          </w:tcPr>
          <w:p w14:paraId="1433E201"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849 to 946</w:t>
            </w:r>
          </w:p>
        </w:tc>
        <w:tc>
          <w:tcPr>
            <w:tcW w:w="1399" w:type="dxa"/>
            <w:shd w:val="clear" w:color="auto" w:fill="FAE2D5" w:themeFill="accent2" w:themeFillTint="33"/>
            <w:vAlign w:val="center"/>
          </w:tcPr>
          <w:p w14:paraId="2571F27E"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950 to 1077</w:t>
            </w:r>
          </w:p>
        </w:tc>
        <w:tc>
          <w:tcPr>
            <w:tcW w:w="1432" w:type="dxa"/>
            <w:gridSpan w:val="2"/>
            <w:shd w:val="clear" w:color="auto" w:fill="FAE2D5" w:themeFill="accent2" w:themeFillTint="33"/>
            <w:vAlign w:val="center"/>
          </w:tcPr>
          <w:p w14:paraId="1F70931C"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1027 to 1178</w:t>
            </w:r>
          </w:p>
        </w:tc>
        <w:tc>
          <w:tcPr>
            <w:tcW w:w="1470" w:type="dxa"/>
            <w:shd w:val="clear" w:color="auto" w:fill="FAE2D5" w:themeFill="accent2" w:themeFillTint="33"/>
            <w:vAlign w:val="center"/>
          </w:tcPr>
          <w:p w14:paraId="3CC849A7"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1196 to 1329</w:t>
            </w:r>
          </w:p>
        </w:tc>
      </w:tr>
      <w:tr w:rsidR="00F61D64" w:rsidRPr="000D2DF6" w14:paraId="09C18B46" w14:textId="77777777" w:rsidTr="003A31ED">
        <w:trPr>
          <w:gridAfter w:val="2"/>
          <w:wAfter w:w="22" w:type="dxa"/>
        </w:trPr>
        <w:tc>
          <w:tcPr>
            <w:tcW w:w="1105" w:type="dxa"/>
            <w:vAlign w:val="center"/>
          </w:tcPr>
          <w:p w14:paraId="2288BD96" w14:textId="77777777" w:rsidR="00F61D64" w:rsidRPr="000D2DF6" w:rsidRDefault="00F61D64" w:rsidP="003A31ED">
            <w:pPr>
              <w:spacing w:after="0"/>
              <w:ind w:right="-1346"/>
              <w:rPr>
                <w:rFonts w:ascii="Aptos" w:eastAsia="Times New Roman" w:hAnsi="Aptos" w:cs="Arial"/>
                <w:sz w:val="20"/>
                <w:szCs w:val="20"/>
              </w:rPr>
            </w:pPr>
            <w:r w:rsidRPr="000D2DF6">
              <w:rPr>
                <w:rFonts w:ascii="Aptos" w:eastAsia="Times New Roman" w:hAnsi="Aptos" w:cs="Arial"/>
                <w:sz w:val="20"/>
                <w:szCs w:val="20"/>
              </w:rPr>
              <w:t>4 - 8 yr</w:t>
            </w:r>
          </w:p>
        </w:tc>
        <w:tc>
          <w:tcPr>
            <w:tcW w:w="1035" w:type="dxa"/>
            <w:vAlign w:val="center"/>
          </w:tcPr>
          <w:p w14:paraId="72DDE2BB" w14:textId="77777777" w:rsidR="00F61D64" w:rsidRPr="000D2DF6" w:rsidRDefault="00F61D64" w:rsidP="003A31ED">
            <w:pPr>
              <w:spacing w:after="0"/>
              <w:ind w:right="38"/>
              <w:jc w:val="center"/>
              <w:rPr>
                <w:rFonts w:ascii="Aptos" w:eastAsia="Times New Roman" w:hAnsi="Aptos" w:cs="Arial"/>
                <w:sz w:val="20"/>
                <w:szCs w:val="20"/>
              </w:rPr>
            </w:pPr>
            <w:r w:rsidRPr="000D2DF6">
              <w:rPr>
                <w:rFonts w:ascii="Aptos" w:eastAsia="Times New Roman" w:hAnsi="Aptos" w:cs="Arial"/>
                <w:sz w:val="20"/>
                <w:szCs w:val="20"/>
              </w:rPr>
              <w:t>441^</w:t>
            </w:r>
          </w:p>
        </w:tc>
        <w:tc>
          <w:tcPr>
            <w:tcW w:w="1257" w:type="dxa"/>
            <w:shd w:val="clear" w:color="auto" w:fill="FAE2D5" w:themeFill="accent2" w:themeFillTint="33"/>
            <w:vAlign w:val="center"/>
          </w:tcPr>
          <w:p w14:paraId="45500576"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1321 to 170</w:t>
            </w:r>
            <w:r>
              <w:rPr>
                <w:rFonts w:ascii="Aptos" w:eastAsia="Times New Roman" w:hAnsi="Aptos" w:cs="Arial"/>
                <w:sz w:val="20"/>
                <w:szCs w:val="20"/>
              </w:rPr>
              <w:t>5</w:t>
            </w:r>
          </w:p>
        </w:tc>
        <w:tc>
          <w:tcPr>
            <w:tcW w:w="673" w:type="dxa"/>
            <w:vAlign w:val="center"/>
          </w:tcPr>
          <w:p w14:paraId="29EE5E81"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95</w:t>
            </w:r>
            <w:r>
              <w:rPr>
                <w:rFonts w:ascii="Aptos" w:eastAsia="Times New Roman" w:hAnsi="Aptos" w:cs="Arial"/>
                <w:sz w:val="20"/>
                <w:szCs w:val="20"/>
              </w:rPr>
              <w:t>2</w:t>
            </w:r>
          </w:p>
        </w:tc>
        <w:tc>
          <w:tcPr>
            <w:tcW w:w="765" w:type="dxa"/>
            <w:vAlign w:val="center"/>
          </w:tcPr>
          <w:p w14:paraId="38AC3E26"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1007</w:t>
            </w:r>
          </w:p>
        </w:tc>
        <w:tc>
          <w:tcPr>
            <w:tcW w:w="765" w:type="dxa"/>
            <w:vAlign w:val="center"/>
          </w:tcPr>
          <w:p w14:paraId="42D915FD" w14:textId="77777777" w:rsidR="00F61D64" w:rsidRPr="000D2DF6" w:rsidRDefault="00F61D64" w:rsidP="003A31ED">
            <w:pPr>
              <w:spacing w:after="0"/>
              <w:ind w:right="36"/>
              <w:jc w:val="center"/>
              <w:rPr>
                <w:rFonts w:ascii="Aptos" w:eastAsia="Times New Roman" w:hAnsi="Aptos" w:cs="Arial"/>
                <w:sz w:val="20"/>
                <w:szCs w:val="20"/>
              </w:rPr>
            </w:pPr>
            <w:r>
              <w:rPr>
                <w:rFonts w:ascii="Aptos" w:eastAsia="Times New Roman" w:hAnsi="Aptos" w:cs="Arial"/>
                <w:sz w:val="20"/>
                <w:szCs w:val="20"/>
              </w:rPr>
              <w:t>NR</w:t>
            </w:r>
          </w:p>
        </w:tc>
        <w:tc>
          <w:tcPr>
            <w:tcW w:w="765" w:type="dxa"/>
            <w:vAlign w:val="center"/>
          </w:tcPr>
          <w:p w14:paraId="1D2D711D" w14:textId="77777777" w:rsidR="00F61D64" w:rsidRPr="000D2DF6" w:rsidRDefault="00F61D64" w:rsidP="003A31ED">
            <w:pPr>
              <w:spacing w:after="0"/>
              <w:ind w:right="-115"/>
              <w:jc w:val="center"/>
              <w:rPr>
                <w:rFonts w:ascii="Aptos" w:eastAsia="Times New Roman" w:hAnsi="Aptos" w:cs="Arial"/>
                <w:sz w:val="20"/>
                <w:szCs w:val="20"/>
              </w:rPr>
            </w:pPr>
            <w:r>
              <w:rPr>
                <w:rFonts w:ascii="Aptos" w:eastAsia="Times New Roman" w:hAnsi="Aptos" w:cs="Arial"/>
                <w:sz w:val="20"/>
                <w:szCs w:val="20"/>
              </w:rPr>
              <w:t>NR</w:t>
            </w:r>
          </w:p>
        </w:tc>
        <w:tc>
          <w:tcPr>
            <w:tcW w:w="766" w:type="dxa"/>
            <w:vAlign w:val="center"/>
          </w:tcPr>
          <w:p w14:paraId="73593615" w14:textId="77777777" w:rsidR="00F61D64" w:rsidRPr="000D2DF6" w:rsidRDefault="00F61D64" w:rsidP="003A31ED">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765" w:type="dxa"/>
            <w:vAlign w:val="center"/>
          </w:tcPr>
          <w:p w14:paraId="407CA795" w14:textId="77777777" w:rsidR="00F61D64" w:rsidRPr="000D2DF6" w:rsidRDefault="00F61D64" w:rsidP="003A31ED">
            <w:pPr>
              <w:spacing w:after="0"/>
              <w:ind w:right="27"/>
              <w:jc w:val="center"/>
              <w:rPr>
                <w:rFonts w:ascii="Aptos" w:eastAsia="Times New Roman" w:hAnsi="Aptos" w:cs="Arial"/>
                <w:sz w:val="20"/>
                <w:szCs w:val="20"/>
              </w:rPr>
            </w:pPr>
            <w:r>
              <w:rPr>
                <w:rFonts w:ascii="Aptos" w:eastAsia="Times New Roman" w:hAnsi="Aptos" w:cs="Arial"/>
                <w:sz w:val="20"/>
                <w:szCs w:val="20"/>
              </w:rPr>
              <w:t>NR</w:t>
            </w:r>
          </w:p>
        </w:tc>
        <w:tc>
          <w:tcPr>
            <w:tcW w:w="765" w:type="dxa"/>
            <w:vAlign w:val="center"/>
          </w:tcPr>
          <w:p w14:paraId="0935E4F6"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776</w:t>
            </w:r>
          </w:p>
        </w:tc>
        <w:tc>
          <w:tcPr>
            <w:tcW w:w="766" w:type="dxa"/>
            <w:vAlign w:val="center"/>
          </w:tcPr>
          <w:p w14:paraId="739D5F12" w14:textId="77777777" w:rsidR="00F61D64" w:rsidRPr="000D2DF6" w:rsidRDefault="00F61D64" w:rsidP="003A31ED">
            <w:pPr>
              <w:spacing w:after="0"/>
              <w:ind w:right="34"/>
              <w:jc w:val="center"/>
              <w:rPr>
                <w:rFonts w:ascii="Aptos" w:eastAsia="Times New Roman" w:hAnsi="Aptos" w:cs="Arial"/>
                <w:sz w:val="20"/>
                <w:szCs w:val="20"/>
              </w:rPr>
            </w:pPr>
            <w:r w:rsidRPr="000D2DF6">
              <w:rPr>
                <w:rFonts w:ascii="Aptos" w:eastAsia="Times New Roman" w:hAnsi="Aptos" w:cs="Arial"/>
                <w:sz w:val="20"/>
                <w:szCs w:val="20"/>
              </w:rPr>
              <w:t>86</w:t>
            </w:r>
            <w:r>
              <w:rPr>
                <w:rFonts w:ascii="Aptos" w:eastAsia="Times New Roman" w:hAnsi="Aptos" w:cs="Arial"/>
                <w:sz w:val="20"/>
                <w:szCs w:val="20"/>
              </w:rPr>
              <w:t>5</w:t>
            </w:r>
          </w:p>
        </w:tc>
        <w:tc>
          <w:tcPr>
            <w:tcW w:w="1483" w:type="dxa"/>
            <w:vAlign w:val="center"/>
          </w:tcPr>
          <w:p w14:paraId="77552E18"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1090 to 1282</w:t>
            </w:r>
          </w:p>
        </w:tc>
        <w:tc>
          <w:tcPr>
            <w:tcW w:w="1399" w:type="dxa"/>
            <w:vAlign w:val="center"/>
          </w:tcPr>
          <w:p w14:paraId="19D658F7"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1131 to 1406</w:t>
            </w:r>
          </w:p>
        </w:tc>
        <w:tc>
          <w:tcPr>
            <w:tcW w:w="1432" w:type="dxa"/>
            <w:gridSpan w:val="2"/>
            <w:shd w:val="clear" w:color="auto" w:fill="FAE2D5" w:themeFill="accent2" w:themeFillTint="33"/>
            <w:vAlign w:val="center"/>
          </w:tcPr>
          <w:p w14:paraId="4F1FB427"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1408 to 1621</w:t>
            </w:r>
          </w:p>
        </w:tc>
        <w:tc>
          <w:tcPr>
            <w:tcW w:w="1470" w:type="dxa"/>
            <w:shd w:val="clear" w:color="auto" w:fill="FAE2D5" w:themeFill="accent2" w:themeFillTint="33"/>
            <w:vAlign w:val="center"/>
          </w:tcPr>
          <w:p w14:paraId="0E4F0D65"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1529 to 1790</w:t>
            </w:r>
          </w:p>
        </w:tc>
      </w:tr>
      <w:tr w:rsidR="00F61D64" w:rsidRPr="000D2DF6" w14:paraId="1FFFD155" w14:textId="77777777" w:rsidTr="003A31ED">
        <w:trPr>
          <w:gridAfter w:val="2"/>
          <w:wAfter w:w="22" w:type="dxa"/>
        </w:trPr>
        <w:tc>
          <w:tcPr>
            <w:tcW w:w="1105" w:type="dxa"/>
            <w:vAlign w:val="center"/>
          </w:tcPr>
          <w:p w14:paraId="6108BD04" w14:textId="77777777" w:rsidR="00F61D64" w:rsidRPr="000D2DF6" w:rsidRDefault="00F61D64" w:rsidP="003A31ED">
            <w:pPr>
              <w:spacing w:after="0"/>
              <w:ind w:right="-1346"/>
              <w:rPr>
                <w:rFonts w:ascii="Aptos" w:eastAsia="Times New Roman" w:hAnsi="Aptos" w:cs="Arial"/>
                <w:sz w:val="20"/>
                <w:szCs w:val="20"/>
              </w:rPr>
            </w:pPr>
            <w:r w:rsidRPr="000D2DF6">
              <w:rPr>
                <w:rFonts w:ascii="Aptos" w:eastAsia="Times New Roman" w:hAnsi="Aptos" w:cs="Arial"/>
                <w:sz w:val="20"/>
                <w:szCs w:val="20"/>
              </w:rPr>
              <w:t>9 - 11 yr</w:t>
            </w:r>
          </w:p>
        </w:tc>
        <w:tc>
          <w:tcPr>
            <w:tcW w:w="1035" w:type="dxa"/>
            <w:vAlign w:val="center"/>
          </w:tcPr>
          <w:p w14:paraId="27483253" w14:textId="77777777" w:rsidR="00F61D64" w:rsidRPr="000D2DF6" w:rsidRDefault="00F61D64" w:rsidP="003A31ED">
            <w:pPr>
              <w:spacing w:after="0"/>
              <w:ind w:right="38"/>
              <w:jc w:val="center"/>
              <w:rPr>
                <w:rFonts w:ascii="Aptos" w:eastAsia="Times New Roman" w:hAnsi="Aptos" w:cs="Arial"/>
                <w:sz w:val="20"/>
                <w:szCs w:val="20"/>
              </w:rPr>
            </w:pPr>
            <w:r w:rsidRPr="000D2DF6">
              <w:rPr>
                <w:rFonts w:ascii="Aptos" w:eastAsia="Times New Roman" w:hAnsi="Aptos" w:cs="Arial"/>
                <w:sz w:val="20"/>
                <w:szCs w:val="20"/>
              </w:rPr>
              <w:t>556^</w:t>
            </w:r>
          </w:p>
        </w:tc>
        <w:tc>
          <w:tcPr>
            <w:tcW w:w="1257" w:type="dxa"/>
            <w:shd w:val="clear" w:color="auto" w:fill="FAE2D5" w:themeFill="accent2" w:themeFillTint="33"/>
            <w:vAlign w:val="center"/>
          </w:tcPr>
          <w:p w14:paraId="17BF54E6"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1571 to 214</w:t>
            </w:r>
            <w:r>
              <w:rPr>
                <w:rFonts w:ascii="Aptos" w:eastAsia="Times New Roman" w:hAnsi="Aptos" w:cs="Arial"/>
                <w:sz w:val="20"/>
                <w:szCs w:val="20"/>
              </w:rPr>
              <w:t>7</w:t>
            </w:r>
          </w:p>
        </w:tc>
        <w:tc>
          <w:tcPr>
            <w:tcW w:w="673" w:type="dxa"/>
            <w:vAlign w:val="center"/>
          </w:tcPr>
          <w:p w14:paraId="2228BE9E"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1189</w:t>
            </w:r>
          </w:p>
        </w:tc>
        <w:tc>
          <w:tcPr>
            <w:tcW w:w="765" w:type="dxa"/>
            <w:vAlign w:val="center"/>
          </w:tcPr>
          <w:p w14:paraId="10257CAE"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1175</w:t>
            </w:r>
          </w:p>
        </w:tc>
        <w:tc>
          <w:tcPr>
            <w:tcW w:w="765" w:type="dxa"/>
            <w:vAlign w:val="center"/>
          </w:tcPr>
          <w:p w14:paraId="092CEB6B" w14:textId="77777777" w:rsidR="00F61D64" w:rsidRPr="000D2DF6" w:rsidRDefault="00F61D64" w:rsidP="003A31ED">
            <w:pPr>
              <w:spacing w:after="0"/>
              <w:ind w:right="36"/>
              <w:jc w:val="center"/>
              <w:rPr>
                <w:rFonts w:ascii="Aptos" w:eastAsia="Times New Roman" w:hAnsi="Aptos" w:cs="Arial"/>
                <w:sz w:val="20"/>
                <w:szCs w:val="20"/>
              </w:rPr>
            </w:pPr>
            <w:r w:rsidRPr="000D2DF6">
              <w:rPr>
                <w:rFonts w:ascii="Aptos" w:eastAsia="Times New Roman" w:hAnsi="Aptos" w:cs="Arial"/>
                <w:sz w:val="20"/>
                <w:szCs w:val="20"/>
              </w:rPr>
              <w:t>831</w:t>
            </w:r>
          </w:p>
        </w:tc>
        <w:tc>
          <w:tcPr>
            <w:tcW w:w="765" w:type="dxa"/>
            <w:vAlign w:val="center"/>
          </w:tcPr>
          <w:p w14:paraId="1B5010EF"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751</w:t>
            </w:r>
          </w:p>
        </w:tc>
        <w:tc>
          <w:tcPr>
            <w:tcW w:w="766" w:type="dxa"/>
            <w:vAlign w:val="center"/>
          </w:tcPr>
          <w:p w14:paraId="69A668FA" w14:textId="77777777" w:rsidR="00F61D64" w:rsidRPr="000D2DF6" w:rsidRDefault="00F61D64" w:rsidP="003A31ED">
            <w:pPr>
              <w:spacing w:after="0"/>
              <w:ind w:right="27"/>
              <w:jc w:val="center"/>
              <w:rPr>
                <w:rFonts w:ascii="Aptos" w:eastAsia="Times New Roman" w:hAnsi="Aptos" w:cs="Arial"/>
                <w:sz w:val="20"/>
                <w:szCs w:val="20"/>
              </w:rPr>
            </w:pPr>
            <w:r w:rsidRPr="000D2DF6">
              <w:rPr>
                <w:rFonts w:ascii="Aptos" w:eastAsia="Times New Roman" w:hAnsi="Aptos" w:cs="Arial"/>
                <w:sz w:val="20"/>
                <w:szCs w:val="20"/>
              </w:rPr>
              <w:t>1048</w:t>
            </w:r>
          </w:p>
        </w:tc>
        <w:tc>
          <w:tcPr>
            <w:tcW w:w="765" w:type="dxa"/>
            <w:vAlign w:val="center"/>
          </w:tcPr>
          <w:p w14:paraId="30163BF4" w14:textId="77777777" w:rsidR="00F61D64" w:rsidRPr="000D2DF6" w:rsidRDefault="00F61D64" w:rsidP="003A31ED">
            <w:pPr>
              <w:spacing w:after="0"/>
              <w:ind w:right="27"/>
              <w:jc w:val="center"/>
              <w:rPr>
                <w:rFonts w:ascii="Aptos" w:eastAsia="Times New Roman" w:hAnsi="Aptos" w:cs="Arial"/>
                <w:sz w:val="20"/>
                <w:szCs w:val="20"/>
              </w:rPr>
            </w:pPr>
            <w:r w:rsidRPr="000D2DF6">
              <w:rPr>
                <w:rFonts w:ascii="Aptos" w:eastAsia="Times New Roman" w:hAnsi="Aptos" w:cs="Arial"/>
                <w:sz w:val="20"/>
                <w:szCs w:val="20"/>
              </w:rPr>
              <w:t>989</w:t>
            </w:r>
          </w:p>
        </w:tc>
        <w:tc>
          <w:tcPr>
            <w:tcW w:w="765" w:type="dxa"/>
            <w:vAlign w:val="center"/>
          </w:tcPr>
          <w:p w14:paraId="6006C027"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1054</w:t>
            </w:r>
          </w:p>
        </w:tc>
        <w:tc>
          <w:tcPr>
            <w:tcW w:w="766" w:type="dxa"/>
            <w:vAlign w:val="center"/>
          </w:tcPr>
          <w:p w14:paraId="7E068110" w14:textId="77777777" w:rsidR="00F61D64" w:rsidRPr="000D2DF6" w:rsidRDefault="00F61D64" w:rsidP="003A31ED">
            <w:pPr>
              <w:spacing w:after="0"/>
              <w:ind w:right="34"/>
              <w:jc w:val="center"/>
              <w:rPr>
                <w:rFonts w:ascii="Aptos" w:eastAsia="Times New Roman" w:hAnsi="Aptos" w:cs="Arial"/>
                <w:sz w:val="20"/>
                <w:szCs w:val="20"/>
              </w:rPr>
            </w:pPr>
            <w:r w:rsidRPr="000D2DF6">
              <w:rPr>
                <w:rFonts w:ascii="Aptos" w:eastAsia="Times New Roman" w:hAnsi="Aptos" w:cs="Arial"/>
                <w:sz w:val="20"/>
                <w:szCs w:val="20"/>
              </w:rPr>
              <w:t>91</w:t>
            </w:r>
            <w:r>
              <w:rPr>
                <w:rFonts w:ascii="Aptos" w:eastAsia="Times New Roman" w:hAnsi="Aptos" w:cs="Arial"/>
                <w:sz w:val="20"/>
                <w:szCs w:val="20"/>
              </w:rPr>
              <w:t>6</w:t>
            </w:r>
          </w:p>
        </w:tc>
        <w:tc>
          <w:tcPr>
            <w:tcW w:w="1483" w:type="dxa"/>
            <w:vAlign w:val="center"/>
          </w:tcPr>
          <w:p w14:paraId="5A924E67"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1231 to 1458</w:t>
            </w:r>
          </w:p>
        </w:tc>
        <w:tc>
          <w:tcPr>
            <w:tcW w:w="1399" w:type="dxa"/>
            <w:vAlign w:val="center"/>
          </w:tcPr>
          <w:p w14:paraId="39D6AE8B"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1330 to 1434</w:t>
            </w:r>
          </w:p>
        </w:tc>
        <w:tc>
          <w:tcPr>
            <w:tcW w:w="1432" w:type="dxa"/>
            <w:gridSpan w:val="2"/>
            <w:vAlign w:val="center"/>
          </w:tcPr>
          <w:p w14:paraId="7BF2DE43"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1502 to 1811</w:t>
            </w:r>
          </w:p>
        </w:tc>
        <w:tc>
          <w:tcPr>
            <w:tcW w:w="1470" w:type="dxa"/>
            <w:vAlign w:val="center"/>
          </w:tcPr>
          <w:p w14:paraId="2F45B364"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1613 to 1987</w:t>
            </w:r>
          </w:p>
        </w:tc>
      </w:tr>
      <w:tr w:rsidR="00F61D64" w:rsidRPr="000D2DF6" w14:paraId="474F22DE" w14:textId="77777777" w:rsidTr="003A31ED">
        <w:trPr>
          <w:gridAfter w:val="2"/>
          <w:wAfter w:w="22" w:type="dxa"/>
        </w:trPr>
        <w:tc>
          <w:tcPr>
            <w:tcW w:w="1105" w:type="dxa"/>
            <w:vAlign w:val="center"/>
          </w:tcPr>
          <w:p w14:paraId="340E60BA" w14:textId="77777777" w:rsidR="00F61D64" w:rsidRPr="000D2DF6" w:rsidRDefault="00F61D64" w:rsidP="003A31ED">
            <w:pPr>
              <w:spacing w:after="0"/>
              <w:ind w:right="-1346"/>
              <w:rPr>
                <w:rFonts w:ascii="Aptos" w:eastAsia="Times New Roman" w:hAnsi="Aptos" w:cs="Arial"/>
                <w:sz w:val="20"/>
                <w:szCs w:val="20"/>
              </w:rPr>
            </w:pPr>
            <w:r w:rsidRPr="000D2DF6">
              <w:rPr>
                <w:rFonts w:ascii="Aptos" w:eastAsia="Times New Roman" w:hAnsi="Aptos" w:cs="Arial"/>
                <w:sz w:val="20"/>
                <w:szCs w:val="20"/>
              </w:rPr>
              <w:t>12 - 13 yr</w:t>
            </w:r>
          </w:p>
        </w:tc>
        <w:tc>
          <w:tcPr>
            <w:tcW w:w="1035" w:type="dxa"/>
            <w:vMerge w:val="restart"/>
            <w:vAlign w:val="center"/>
          </w:tcPr>
          <w:p w14:paraId="26A197EA" w14:textId="77777777" w:rsidR="00F61D64" w:rsidRPr="000D2DF6" w:rsidRDefault="00F61D64" w:rsidP="003A31ED">
            <w:pPr>
              <w:spacing w:after="0"/>
              <w:ind w:right="38"/>
              <w:jc w:val="center"/>
              <w:rPr>
                <w:rFonts w:ascii="Aptos" w:eastAsia="Times New Roman" w:hAnsi="Aptos" w:cs="Arial"/>
                <w:sz w:val="20"/>
                <w:szCs w:val="20"/>
              </w:rPr>
            </w:pPr>
            <w:r w:rsidRPr="000D2DF6">
              <w:rPr>
                <w:rFonts w:ascii="Aptos" w:eastAsia="Times New Roman" w:hAnsi="Aptos" w:cs="Arial"/>
                <w:sz w:val="20"/>
                <w:szCs w:val="20"/>
              </w:rPr>
              <w:t>68</w:t>
            </w:r>
            <w:r>
              <w:rPr>
                <w:rFonts w:ascii="Aptos" w:eastAsia="Times New Roman" w:hAnsi="Aptos" w:cs="Arial"/>
                <w:sz w:val="20"/>
                <w:szCs w:val="20"/>
              </w:rPr>
              <w:t>8</w:t>
            </w:r>
            <w:r w:rsidRPr="000D2DF6">
              <w:rPr>
                <w:rFonts w:ascii="Aptos" w:eastAsia="Times New Roman" w:hAnsi="Aptos" w:cs="Arial"/>
                <w:sz w:val="20"/>
                <w:szCs w:val="20"/>
              </w:rPr>
              <w:t>^</w:t>
            </w:r>
          </w:p>
        </w:tc>
        <w:tc>
          <w:tcPr>
            <w:tcW w:w="1257" w:type="dxa"/>
            <w:vMerge w:val="restart"/>
            <w:shd w:val="clear" w:color="auto" w:fill="FAE2D5" w:themeFill="accent2" w:themeFillTint="33"/>
            <w:vAlign w:val="center"/>
          </w:tcPr>
          <w:p w14:paraId="204DA568"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150</w:t>
            </w:r>
            <w:r>
              <w:rPr>
                <w:rFonts w:ascii="Aptos" w:eastAsia="Times New Roman" w:hAnsi="Aptos" w:cs="Arial"/>
                <w:sz w:val="20"/>
                <w:szCs w:val="20"/>
              </w:rPr>
              <w:t>4</w:t>
            </w:r>
            <w:r w:rsidRPr="000D2DF6">
              <w:rPr>
                <w:rFonts w:ascii="Aptos" w:eastAsia="Times New Roman" w:hAnsi="Aptos" w:cs="Arial"/>
                <w:sz w:val="20"/>
                <w:szCs w:val="20"/>
              </w:rPr>
              <w:t xml:space="preserve"> to 2654</w:t>
            </w:r>
          </w:p>
        </w:tc>
        <w:tc>
          <w:tcPr>
            <w:tcW w:w="673" w:type="dxa"/>
            <w:vAlign w:val="center"/>
          </w:tcPr>
          <w:p w14:paraId="5DCF3F80"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1379</w:t>
            </w:r>
          </w:p>
        </w:tc>
        <w:tc>
          <w:tcPr>
            <w:tcW w:w="765" w:type="dxa"/>
            <w:vAlign w:val="center"/>
          </w:tcPr>
          <w:p w14:paraId="72C3FE98"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145</w:t>
            </w:r>
            <w:r>
              <w:rPr>
                <w:rFonts w:ascii="Aptos" w:eastAsia="Times New Roman" w:hAnsi="Aptos" w:cs="Arial"/>
                <w:sz w:val="20"/>
                <w:szCs w:val="20"/>
              </w:rPr>
              <w:t>6</w:t>
            </w:r>
          </w:p>
        </w:tc>
        <w:tc>
          <w:tcPr>
            <w:tcW w:w="765" w:type="dxa"/>
            <w:vAlign w:val="center"/>
          </w:tcPr>
          <w:p w14:paraId="640AF90A" w14:textId="77777777" w:rsidR="00F61D64" w:rsidRPr="000D2DF6" w:rsidRDefault="00F61D64" w:rsidP="003A31ED">
            <w:pPr>
              <w:spacing w:after="0"/>
              <w:ind w:right="36"/>
              <w:jc w:val="center"/>
              <w:rPr>
                <w:rFonts w:ascii="Aptos" w:eastAsia="Times New Roman" w:hAnsi="Aptos" w:cs="Arial"/>
                <w:sz w:val="20"/>
                <w:szCs w:val="20"/>
              </w:rPr>
            </w:pPr>
            <w:r w:rsidRPr="000D2DF6">
              <w:rPr>
                <w:rFonts w:ascii="Aptos" w:eastAsia="Times New Roman" w:hAnsi="Aptos" w:cs="Arial"/>
                <w:sz w:val="20"/>
                <w:szCs w:val="20"/>
              </w:rPr>
              <w:t>1017</w:t>
            </w:r>
          </w:p>
        </w:tc>
        <w:tc>
          <w:tcPr>
            <w:tcW w:w="765" w:type="dxa"/>
            <w:vAlign w:val="center"/>
          </w:tcPr>
          <w:p w14:paraId="1400DD29"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97</w:t>
            </w:r>
            <w:r>
              <w:rPr>
                <w:rFonts w:ascii="Aptos" w:eastAsia="Times New Roman" w:hAnsi="Aptos" w:cs="Arial"/>
                <w:sz w:val="20"/>
                <w:szCs w:val="20"/>
              </w:rPr>
              <w:t>0</w:t>
            </w:r>
          </w:p>
        </w:tc>
        <w:tc>
          <w:tcPr>
            <w:tcW w:w="766" w:type="dxa"/>
            <w:vAlign w:val="center"/>
          </w:tcPr>
          <w:p w14:paraId="00313049" w14:textId="77777777" w:rsidR="00F61D64" w:rsidRPr="000D2DF6" w:rsidRDefault="00F61D64" w:rsidP="003A31ED">
            <w:pPr>
              <w:spacing w:after="0"/>
              <w:ind w:right="27"/>
              <w:jc w:val="center"/>
              <w:rPr>
                <w:rFonts w:ascii="Aptos" w:eastAsia="Times New Roman" w:hAnsi="Aptos" w:cs="Arial"/>
                <w:sz w:val="20"/>
                <w:szCs w:val="20"/>
              </w:rPr>
            </w:pPr>
            <w:r w:rsidRPr="000D2DF6">
              <w:rPr>
                <w:rFonts w:ascii="Aptos" w:eastAsia="Times New Roman" w:hAnsi="Aptos" w:cs="Arial"/>
                <w:sz w:val="20"/>
                <w:szCs w:val="20"/>
              </w:rPr>
              <w:t>120</w:t>
            </w:r>
            <w:r>
              <w:rPr>
                <w:rFonts w:ascii="Aptos" w:eastAsia="Times New Roman" w:hAnsi="Aptos" w:cs="Arial"/>
                <w:sz w:val="20"/>
                <w:szCs w:val="20"/>
              </w:rPr>
              <w:t>4</w:t>
            </w:r>
          </w:p>
        </w:tc>
        <w:tc>
          <w:tcPr>
            <w:tcW w:w="765" w:type="dxa"/>
            <w:vAlign w:val="center"/>
          </w:tcPr>
          <w:p w14:paraId="7A161172" w14:textId="77777777" w:rsidR="00F61D64" w:rsidRPr="000D2DF6" w:rsidRDefault="00F61D64" w:rsidP="003A31ED">
            <w:pPr>
              <w:spacing w:after="0"/>
              <w:ind w:right="27"/>
              <w:jc w:val="center"/>
              <w:rPr>
                <w:rFonts w:ascii="Aptos" w:eastAsia="Times New Roman" w:hAnsi="Aptos" w:cs="Arial"/>
                <w:sz w:val="20"/>
                <w:szCs w:val="20"/>
              </w:rPr>
            </w:pPr>
            <w:r w:rsidRPr="000D2DF6">
              <w:rPr>
                <w:rFonts w:ascii="Aptos" w:eastAsia="Times New Roman" w:hAnsi="Aptos" w:cs="Arial"/>
                <w:sz w:val="20"/>
                <w:szCs w:val="20"/>
              </w:rPr>
              <w:t>1094</w:t>
            </w:r>
          </w:p>
        </w:tc>
        <w:tc>
          <w:tcPr>
            <w:tcW w:w="765" w:type="dxa"/>
            <w:vAlign w:val="center"/>
          </w:tcPr>
          <w:p w14:paraId="3BA833B5"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110</w:t>
            </w:r>
            <w:r>
              <w:rPr>
                <w:rFonts w:ascii="Aptos" w:eastAsia="Times New Roman" w:hAnsi="Aptos" w:cs="Arial"/>
                <w:sz w:val="20"/>
                <w:szCs w:val="20"/>
              </w:rPr>
              <w:t>7</w:t>
            </w:r>
          </w:p>
        </w:tc>
        <w:tc>
          <w:tcPr>
            <w:tcW w:w="766" w:type="dxa"/>
            <w:vAlign w:val="center"/>
          </w:tcPr>
          <w:p w14:paraId="3ED48131" w14:textId="77777777" w:rsidR="00F61D64" w:rsidRPr="000D2DF6" w:rsidRDefault="00F61D64" w:rsidP="003A31ED">
            <w:pPr>
              <w:spacing w:after="0"/>
              <w:ind w:right="34"/>
              <w:jc w:val="center"/>
              <w:rPr>
                <w:rFonts w:ascii="Aptos" w:eastAsia="Times New Roman" w:hAnsi="Aptos" w:cs="Arial"/>
                <w:sz w:val="20"/>
                <w:szCs w:val="20"/>
              </w:rPr>
            </w:pPr>
            <w:r w:rsidRPr="000D2DF6">
              <w:rPr>
                <w:rFonts w:ascii="Aptos" w:eastAsia="Times New Roman" w:hAnsi="Aptos" w:cs="Arial"/>
                <w:sz w:val="20"/>
                <w:szCs w:val="20"/>
              </w:rPr>
              <w:t>112</w:t>
            </w:r>
            <w:r>
              <w:rPr>
                <w:rFonts w:ascii="Aptos" w:eastAsia="Times New Roman" w:hAnsi="Aptos" w:cs="Arial"/>
                <w:sz w:val="20"/>
                <w:szCs w:val="20"/>
              </w:rPr>
              <w:t>4</w:t>
            </w:r>
          </w:p>
        </w:tc>
        <w:tc>
          <w:tcPr>
            <w:tcW w:w="1483" w:type="dxa"/>
            <w:vAlign w:val="center"/>
          </w:tcPr>
          <w:p w14:paraId="796D17DA"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1470 to 1749</w:t>
            </w:r>
          </w:p>
        </w:tc>
        <w:tc>
          <w:tcPr>
            <w:tcW w:w="1399" w:type="dxa"/>
            <w:vAlign w:val="center"/>
          </w:tcPr>
          <w:p w14:paraId="69390B57"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1563 to 1878</w:t>
            </w:r>
          </w:p>
        </w:tc>
        <w:tc>
          <w:tcPr>
            <w:tcW w:w="1432" w:type="dxa"/>
            <w:gridSpan w:val="2"/>
            <w:shd w:val="clear" w:color="auto" w:fill="FAE2D5" w:themeFill="accent2" w:themeFillTint="33"/>
            <w:vAlign w:val="center"/>
          </w:tcPr>
          <w:p w14:paraId="4C750044"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1819 to 2127</w:t>
            </w:r>
          </w:p>
        </w:tc>
        <w:tc>
          <w:tcPr>
            <w:tcW w:w="1470" w:type="dxa"/>
            <w:shd w:val="clear" w:color="auto" w:fill="FAE2D5" w:themeFill="accent2" w:themeFillTint="33"/>
            <w:vAlign w:val="center"/>
          </w:tcPr>
          <w:p w14:paraId="3F980D9D"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1978 to 2184</w:t>
            </w:r>
          </w:p>
        </w:tc>
      </w:tr>
      <w:tr w:rsidR="00F61D64" w:rsidRPr="000D2DF6" w14:paraId="355329F5" w14:textId="77777777" w:rsidTr="003A31ED">
        <w:trPr>
          <w:gridAfter w:val="2"/>
          <w:wAfter w:w="22" w:type="dxa"/>
        </w:trPr>
        <w:tc>
          <w:tcPr>
            <w:tcW w:w="1105" w:type="dxa"/>
            <w:vAlign w:val="center"/>
          </w:tcPr>
          <w:p w14:paraId="41F96887" w14:textId="77777777" w:rsidR="00F61D64" w:rsidRPr="000D2DF6" w:rsidRDefault="00F61D64" w:rsidP="003A31ED">
            <w:pPr>
              <w:spacing w:after="0"/>
              <w:ind w:right="-1346"/>
              <w:rPr>
                <w:rFonts w:ascii="Aptos" w:eastAsia="Times New Roman" w:hAnsi="Aptos" w:cs="Arial"/>
                <w:sz w:val="20"/>
                <w:szCs w:val="20"/>
              </w:rPr>
            </w:pPr>
            <w:r w:rsidRPr="000D2DF6">
              <w:rPr>
                <w:rFonts w:ascii="Aptos" w:eastAsia="Times New Roman" w:hAnsi="Aptos" w:cs="Arial"/>
                <w:sz w:val="20"/>
                <w:szCs w:val="20"/>
              </w:rPr>
              <w:t>14 - 18 yr</w:t>
            </w:r>
          </w:p>
        </w:tc>
        <w:tc>
          <w:tcPr>
            <w:tcW w:w="1035" w:type="dxa"/>
            <w:vMerge/>
            <w:vAlign w:val="center"/>
          </w:tcPr>
          <w:p w14:paraId="182BE0A2" w14:textId="77777777" w:rsidR="00F61D64" w:rsidRPr="000D2DF6" w:rsidRDefault="00F61D64" w:rsidP="003A31ED">
            <w:pPr>
              <w:spacing w:after="0"/>
              <w:ind w:right="38"/>
              <w:jc w:val="center"/>
              <w:rPr>
                <w:rFonts w:ascii="Aptos" w:eastAsia="Times New Roman" w:hAnsi="Aptos" w:cs="Arial"/>
                <w:sz w:val="20"/>
                <w:szCs w:val="20"/>
              </w:rPr>
            </w:pPr>
          </w:p>
        </w:tc>
        <w:tc>
          <w:tcPr>
            <w:tcW w:w="1257" w:type="dxa"/>
            <w:vMerge/>
            <w:shd w:val="clear" w:color="auto" w:fill="FAE2D5" w:themeFill="accent2" w:themeFillTint="33"/>
            <w:vAlign w:val="center"/>
          </w:tcPr>
          <w:p w14:paraId="6655554E" w14:textId="77777777" w:rsidR="00F61D64" w:rsidRPr="000D2DF6" w:rsidRDefault="00F61D64" w:rsidP="003A31ED">
            <w:pPr>
              <w:spacing w:after="0"/>
              <w:ind w:right="-115"/>
              <w:jc w:val="center"/>
              <w:rPr>
                <w:rFonts w:ascii="Aptos" w:eastAsia="Times New Roman" w:hAnsi="Aptos" w:cs="Arial"/>
                <w:sz w:val="20"/>
                <w:szCs w:val="20"/>
              </w:rPr>
            </w:pPr>
          </w:p>
        </w:tc>
        <w:tc>
          <w:tcPr>
            <w:tcW w:w="673" w:type="dxa"/>
            <w:vAlign w:val="center"/>
          </w:tcPr>
          <w:p w14:paraId="72B682D9"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1723</w:t>
            </w:r>
          </w:p>
        </w:tc>
        <w:tc>
          <w:tcPr>
            <w:tcW w:w="765" w:type="dxa"/>
            <w:vAlign w:val="center"/>
          </w:tcPr>
          <w:p w14:paraId="5EC6C627"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1635</w:t>
            </w:r>
          </w:p>
        </w:tc>
        <w:tc>
          <w:tcPr>
            <w:tcW w:w="765" w:type="dxa"/>
            <w:vAlign w:val="center"/>
          </w:tcPr>
          <w:p w14:paraId="0AACA1CF" w14:textId="77777777" w:rsidR="00F61D64" w:rsidRPr="000D2DF6" w:rsidRDefault="00F61D64" w:rsidP="003A31ED">
            <w:pPr>
              <w:spacing w:after="0"/>
              <w:ind w:right="36"/>
              <w:jc w:val="center"/>
              <w:rPr>
                <w:rFonts w:ascii="Aptos" w:eastAsia="Times New Roman" w:hAnsi="Aptos" w:cs="Arial"/>
                <w:sz w:val="20"/>
                <w:szCs w:val="20"/>
              </w:rPr>
            </w:pPr>
            <w:r w:rsidRPr="000D2DF6">
              <w:rPr>
                <w:rFonts w:ascii="Aptos" w:eastAsia="Times New Roman" w:hAnsi="Aptos" w:cs="Arial"/>
                <w:sz w:val="20"/>
                <w:szCs w:val="20"/>
              </w:rPr>
              <w:t>1151</w:t>
            </w:r>
          </w:p>
        </w:tc>
        <w:tc>
          <w:tcPr>
            <w:tcW w:w="765" w:type="dxa"/>
            <w:vAlign w:val="center"/>
          </w:tcPr>
          <w:p w14:paraId="1BC83B4C"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106</w:t>
            </w:r>
            <w:r>
              <w:rPr>
                <w:rFonts w:ascii="Aptos" w:eastAsia="Times New Roman" w:hAnsi="Aptos" w:cs="Arial"/>
                <w:sz w:val="20"/>
                <w:szCs w:val="20"/>
              </w:rPr>
              <w:t>2</w:t>
            </w:r>
          </w:p>
        </w:tc>
        <w:tc>
          <w:tcPr>
            <w:tcW w:w="766" w:type="dxa"/>
            <w:vAlign w:val="center"/>
          </w:tcPr>
          <w:p w14:paraId="6B9795D1" w14:textId="77777777" w:rsidR="00F61D64" w:rsidRPr="000D2DF6" w:rsidRDefault="00F61D64" w:rsidP="003A31ED">
            <w:pPr>
              <w:spacing w:after="0"/>
              <w:ind w:right="27"/>
              <w:jc w:val="center"/>
              <w:rPr>
                <w:rFonts w:ascii="Aptos" w:eastAsia="Times New Roman" w:hAnsi="Aptos" w:cs="Arial"/>
                <w:sz w:val="20"/>
                <w:szCs w:val="20"/>
              </w:rPr>
            </w:pPr>
            <w:r w:rsidRPr="000D2DF6">
              <w:rPr>
                <w:rFonts w:ascii="Aptos" w:eastAsia="Times New Roman" w:hAnsi="Aptos" w:cs="Arial"/>
                <w:sz w:val="20"/>
                <w:szCs w:val="20"/>
              </w:rPr>
              <w:t>1414</w:t>
            </w:r>
          </w:p>
        </w:tc>
        <w:tc>
          <w:tcPr>
            <w:tcW w:w="765" w:type="dxa"/>
            <w:vAlign w:val="center"/>
          </w:tcPr>
          <w:p w14:paraId="315B7082" w14:textId="77777777" w:rsidR="00F61D64" w:rsidRPr="000D2DF6" w:rsidRDefault="00F61D64" w:rsidP="003A31ED">
            <w:pPr>
              <w:spacing w:after="0"/>
              <w:ind w:right="27"/>
              <w:jc w:val="center"/>
              <w:rPr>
                <w:rFonts w:ascii="Aptos" w:eastAsia="Times New Roman" w:hAnsi="Aptos" w:cs="Arial"/>
                <w:sz w:val="20"/>
                <w:szCs w:val="20"/>
              </w:rPr>
            </w:pPr>
            <w:r w:rsidRPr="000D2DF6">
              <w:rPr>
                <w:rFonts w:ascii="Aptos" w:eastAsia="Times New Roman" w:hAnsi="Aptos" w:cs="Arial"/>
                <w:sz w:val="20"/>
                <w:szCs w:val="20"/>
              </w:rPr>
              <w:t>1271</w:t>
            </w:r>
          </w:p>
        </w:tc>
        <w:tc>
          <w:tcPr>
            <w:tcW w:w="765" w:type="dxa"/>
            <w:vAlign w:val="center"/>
          </w:tcPr>
          <w:p w14:paraId="1BF7EF30" w14:textId="77777777" w:rsidR="00F61D64" w:rsidRPr="000D2DF6" w:rsidRDefault="00F61D64" w:rsidP="003A31ED">
            <w:pPr>
              <w:spacing w:after="0"/>
              <w:ind w:right="-115"/>
              <w:jc w:val="center"/>
              <w:rPr>
                <w:rFonts w:ascii="Aptos" w:eastAsia="Times New Roman" w:hAnsi="Aptos" w:cs="Arial"/>
                <w:sz w:val="20"/>
                <w:szCs w:val="20"/>
              </w:rPr>
            </w:pPr>
            <w:r w:rsidRPr="000D2DF6">
              <w:rPr>
                <w:rFonts w:ascii="Aptos" w:eastAsia="Times New Roman" w:hAnsi="Aptos" w:cs="Arial"/>
                <w:sz w:val="20"/>
                <w:szCs w:val="20"/>
              </w:rPr>
              <w:t>1579</w:t>
            </w:r>
          </w:p>
        </w:tc>
        <w:tc>
          <w:tcPr>
            <w:tcW w:w="766" w:type="dxa"/>
            <w:vAlign w:val="center"/>
          </w:tcPr>
          <w:p w14:paraId="119FD49D" w14:textId="77777777" w:rsidR="00F61D64" w:rsidRPr="000D2DF6" w:rsidRDefault="00F61D64" w:rsidP="003A31ED">
            <w:pPr>
              <w:spacing w:after="0"/>
              <w:ind w:right="34"/>
              <w:jc w:val="center"/>
              <w:rPr>
                <w:rFonts w:ascii="Aptos" w:eastAsia="Times New Roman" w:hAnsi="Aptos" w:cs="Arial"/>
                <w:sz w:val="20"/>
                <w:szCs w:val="20"/>
              </w:rPr>
            </w:pPr>
            <w:r w:rsidRPr="000D2DF6">
              <w:rPr>
                <w:rFonts w:ascii="Aptos" w:eastAsia="Times New Roman" w:hAnsi="Aptos" w:cs="Arial"/>
                <w:sz w:val="20"/>
                <w:szCs w:val="20"/>
              </w:rPr>
              <w:t>1375</w:t>
            </w:r>
          </w:p>
        </w:tc>
        <w:tc>
          <w:tcPr>
            <w:tcW w:w="1483" w:type="dxa"/>
          </w:tcPr>
          <w:p w14:paraId="3BAC4C26"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1770 to 2137</w:t>
            </w:r>
          </w:p>
        </w:tc>
        <w:tc>
          <w:tcPr>
            <w:tcW w:w="1399" w:type="dxa"/>
          </w:tcPr>
          <w:p w14:paraId="5BF221B9"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2005 to 2296</w:t>
            </w:r>
          </w:p>
        </w:tc>
        <w:tc>
          <w:tcPr>
            <w:tcW w:w="1432" w:type="dxa"/>
            <w:gridSpan w:val="2"/>
            <w:shd w:val="clear" w:color="auto" w:fill="FAE2D5" w:themeFill="accent2" w:themeFillTint="33"/>
          </w:tcPr>
          <w:p w14:paraId="7304A0D4"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2241 to 2559</w:t>
            </w:r>
          </w:p>
        </w:tc>
        <w:tc>
          <w:tcPr>
            <w:tcW w:w="1470" w:type="dxa"/>
            <w:shd w:val="clear" w:color="auto" w:fill="FAE2D5" w:themeFill="accent2" w:themeFillTint="33"/>
          </w:tcPr>
          <w:p w14:paraId="139AD111" w14:textId="77777777" w:rsidR="00F61D64" w:rsidRPr="000D2DF6" w:rsidRDefault="00F61D64" w:rsidP="003A31ED">
            <w:pPr>
              <w:spacing w:after="0"/>
              <w:ind w:right="34"/>
              <w:jc w:val="center"/>
              <w:rPr>
                <w:rFonts w:ascii="Aptos" w:eastAsia="Times New Roman" w:hAnsi="Aptos" w:cs="Arial"/>
                <w:sz w:val="20"/>
                <w:szCs w:val="20"/>
              </w:rPr>
            </w:pPr>
            <w:r>
              <w:rPr>
                <w:rFonts w:ascii="Aptos" w:eastAsia="Times New Roman" w:hAnsi="Aptos" w:cs="Arial"/>
                <w:sz w:val="20"/>
                <w:szCs w:val="20"/>
              </w:rPr>
              <w:t>2499 to 2644</w:t>
            </w:r>
          </w:p>
        </w:tc>
      </w:tr>
    </w:tbl>
    <w:bookmarkEnd w:id="187"/>
    <w:p w14:paraId="2DCC02EF" w14:textId="77777777" w:rsidR="00F61D64" w:rsidRPr="000D2DF6" w:rsidRDefault="00F61D64" w:rsidP="00F61D64">
      <w:pPr>
        <w:spacing w:before="120"/>
        <w:ind w:right="172"/>
        <w:rPr>
          <w:rFonts w:eastAsia="Times New Roman" w:cs="Arial"/>
          <w:sz w:val="20"/>
          <w:szCs w:val="20"/>
        </w:rPr>
      </w:pPr>
      <w:r w:rsidRPr="000D2DF6">
        <w:rPr>
          <w:rFonts w:eastAsia="Times New Roman" w:cs="Arial"/>
          <w:sz w:val="20"/>
          <w:szCs w:val="20"/>
        </w:rPr>
        <w:t>^ Core food group and AGHTE98 modelling age groups: 4-7y; 8-11y; 12-18y</w:t>
      </w:r>
      <w:r>
        <w:rPr>
          <w:rFonts w:eastAsia="Times New Roman" w:cs="Arial"/>
          <w:sz w:val="20"/>
          <w:szCs w:val="20"/>
        </w:rPr>
        <w:t>; NR=Not reported</w:t>
      </w:r>
    </w:p>
    <w:p w14:paraId="06994B91" w14:textId="77777777"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Resource impacts</w:t>
      </w:r>
    </w:p>
    <w:p w14:paraId="41F4AAC1" w14:textId="77777777" w:rsidR="00F61D64" w:rsidRDefault="00F61D64" w:rsidP="00F61D64">
      <w:pPr>
        <w:rPr>
          <w:rFonts w:eastAsia="Times New Roman" w:cs="Arial"/>
          <w:iCs/>
          <w:szCs w:val="20"/>
        </w:rPr>
      </w:pPr>
      <w:r w:rsidRPr="003F785D">
        <w:rPr>
          <w:rFonts w:eastAsia="Times New Roman" w:cs="Arial"/>
          <w:iCs/>
          <w:szCs w:val="20"/>
        </w:rPr>
        <w:t xml:space="preserve">Retaining the current </w:t>
      </w:r>
      <w:r>
        <w:rPr>
          <w:rFonts w:eastAsia="Times New Roman" w:cs="Arial"/>
          <w:iCs/>
          <w:szCs w:val="20"/>
        </w:rPr>
        <w:t xml:space="preserve">UL recommendations for children and adolescents </w:t>
      </w:r>
      <w:r w:rsidRPr="003F785D">
        <w:rPr>
          <w:rFonts w:eastAsia="Times New Roman" w:cs="Arial"/>
          <w:iCs/>
          <w:szCs w:val="20"/>
        </w:rPr>
        <w:t xml:space="preserve">has no material </w:t>
      </w:r>
      <w:r>
        <w:rPr>
          <w:rFonts w:eastAsia="Times New Roman" w:cs="Arial"/>
          <w:iCs/>
          <w:szCs w:val="20"/>
        </w:rPr>
        <w:t>resource implications</w:t>
      </w:r>
      <w:r w:rsidRPr="003F785D">
        <w:rPr>
          <w:rFonts w:eastAsia="Times New Roman" w:cs="Arial"/>
          <w:iCs/>
          <w:szCs w:val="20"/>
        </w:rPr>
        <w:t>.</w:t>
      </w:r>
    </w:p>
    <w:p w14:paraId="624786FA" w14:textId="77777777" w:rsidR="00F61D64" w:rsidRDefault="00F61D64" w:rsidP="00F61D64">
      <w:pPr>
        <w:spacing w:after="120"/>
        <w:ind w:right="28"/>
        <w:rPr>
          <w:rFonts w:eastAsia="Times New Roman" w:cs="Arial"/>
          <w:iCs/>
        </w:rPr>
      </w:pPr>
      <w:r>
        <w:rPr>
          <w:rFonts w:eastAsia="Times New Roman" w:cs="Arial"/>
          <w:iCs/>
        </w:rPr>
        <w:t>In contrast, a</w:t>
      </w:r>
      <w:r w:rsidRPr="00BB0551">
        <w:rPr>
          <w:rFonts w:eastAsia="Times New Roman" w:cs="Arial"/>
          <w:iCs/>
        </w:rPr>
        <w:t xml:space="preserve">ny change to </w:t>
      </w:r>
      <w:r>
        <w:rPr>
          <w:rFonts w:eastAsia="Times New Roman" w:cs="Arial"/>
          <w:iCs/>
        </w:rPr>
        <w:t xml:space="preserve">these recommendations </w:t>
      </w:r>
      <w:r w:rsidRPr="00BB0551">
        <w:rPr>
          <w:rFonts w:eastAsia="Times New Roman" w:cs="Arial"/>
          <w:iCs/>
        </w:rPr>
        <w:t xml:space="preserve">may have implications for regulators, including FSANZ (food and food products) and the TGA (supplements). It may also have implications for evaluation of public health </w:t>
      </w:r>
      <w:r>
        <w:rPr>
          <w:rFonts w:eastAsia="Times New Roman" w:cs="Arial"/>
          <w:iCs/>
        </w:rPr>
        <w:t xml:space="preserve">policy, </w:t>
      </w:r>
      <w:r w:rsidRPr="00BB0551">
        <w:rPr>
          <w:rFonts w:eastAsia="Times New Roman" w:cs="Arial"/>
          <w:iCs/>
        </w:rPr>
        <w:t>programs</w:t>
      </w:r>
      <w:r>
        <w:rPr>
          <w:rFonts w:eastAsia="Times New Roman" w:cs="Arial"/>
          <w:iCs/>
        </w:rPr>
        <w:t xml:space="preserve"> and interventions</w:t>
      </w:r>
      <w:r w:rsidRPr="00BB0551">
        <w:rPr>
          <w:rFonts w:eastAsia="Times New Roman" w:cs="Arial"/>
          <w:iCs/>
        </w:rPr>
        <w:t>, such as the Healthy Food Partnership Reformulation Program.</w:t>
      </w:r>
      <w:r>
        <w:rPr>
          <w:rFonts w:eastAsia="Times New Roman" w:cs="Arial"/>
          <w:iCs/>
        </w:rPr>
        <w:t xml:space="preserve"> If this option is pursued, v</w:t>
      </w:r>
      <w:r w:rsidRPr="00BB0551">
        <w:rPr>
          <w:rFonts w:eastAsia="Times New Roman" w:cs="Arial"/>
          <w:iCs/>
        </w:rPr>
        <w:t>iews</w:t>
      </w:r>
      <w:r>
        <w:rPr>
          <w:rFonts w:eastAsia="Times New Roman" w:cs="Arial"/>
          <w:iCs/>
        </w:rPr>
        <w:t xml:space="preserve"> on the resource impacts</w:t>
      </w:r>
      <w:r w:rsidRPr="00BB0551">
        <w:rPr>
          <w:rFonts w:eastAsia="Times New Roman" w:cs="Arial"/>
          <w:iCs/>
        </w:rPr>
        <w:t xml:space="preserve"> </w:t>
      </w:r>
      <w:r>
        <w:rPr>
          <w:rFonts w:eastAsia="Times New Roman" w:cs="Arial"/>
          <w:iCs/>
        </w:rPr>
        <w:t xml:space="preserve">should </w:t>
      </w:r>
      <w:r w:rsidRPr="00BB0551">
        <w:rPr>
          <w:rFonts w:eastAsia="Times New Roman" w:cs="Arial"/>
          <w:iCs/>
        </w:rPr>
        <w:t>be sought during targeted/stakeholder consultation and considered when determining final NRVs.</w:t>
      </w:r>
    </w:p>
    <w:p w14:paraId="353A41C7" w14:textId="77777777" w:rsidR="00B90577" w:rsidRDefault="00B90577">
      <w:pPr>
        <w:rPr>
          <w:rFonts w:ascii="Gotham Medium" w:eastAsia="SimHei" w:hAnsi="Gotham Medium" w:cs="Arial"/>
          <w:i/>
          <w:iCs/>
          <w:color w:val="FFFFFF"/>
          <w:kern w:val="0"/>
          <w:lang w:eastAsia="en-AU"/>
          <w14:ligatures w14:val="none"/>
        </w:rPr>
      </w:pPr>
      <w:r>
        <w:rPr>
          <w:rFonts w:ascii="Gotham Medium" w:eastAsia="SimHei" w:hAnsi="Gotham Medium" w:cs="Arial"/>
          <w:i/>
          <w:iCs/>
          <w:color w:val="FFFFFF"/>
          <w:kern w:val="0"/>
          <w:lang w:eastAsia="en-AU"/>
          <w14:ligatures w14:val="none"/>
        </w:rPr>
        <w:br w:type="page"/>
      </w:r>
    </w:p>
    <w:p w14:paraId="6D120EFE" w14:textId="6483F426"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lastRenderedPageBreak/>
        <w:t>Other factors (health equity impacts, sustainability, nutrient interactions)</w:t>
      </w:r>
    </w:p>
    <w:p w14:paraId="68D60EDF" w14:textId="77777777" w:rsidR="00F61D64" w:rsidRDefault="00F61D64" w:rsidP="00F61D64">
      <w:pPr>
        <w:pStyle w:val="Heading4"/>
      </w:pPr>
      <w:r>
        <w:t>Equity impacts</w:t>
      </w:r>
    </w:p>
    <w:p w14:paraId="770570BA" w14:textId="77777777" w:rsidR="00F61D64" w:rsidRPr="008C1DD5" w:rsidRDefault="00F61D64" w:rsidP="00F61D64">
      <w:pPr>
        <w:spacing w:after="120"/>
        <w:ind w:right="172"/>
        <w:rPr>
          <w:rFonts w:eastAsia="Times New Roman" w:cs="Arial"/>
          <w:iCs/>
        </w:rPr>
      </w:pPr>
      <w:r>
        <w:rPr>
          <w:rFonts w:eastAsia="Times New Roman" w:cs="Arial"/>
          <w:iCs/>
        </w:rPr>
        <w:t xml:space="preserve">Australian studies indicate that </w:t>
      </w:r>
      <w:r w:rsidRPr="008C1DD5">
        <w:rPr>
          <w:rFonts w:eastAsia="Times New Roman" w:cs="Arial"/>
          <w:iCs/>
        </w:rPr>
        <w:t xml:space="preserve">children from lower socioeconomic backgrounds consume </w:t>
      </w:r>
      <w:r>
        <w:rPr>
          <w:rFonts w:eastAsia="Times New Roman" w:cs="Arial"/>
          <w:iCs/>
        </w:rPr>
        <w:t xml:space="preserve">around 200 to 230mg/day </w:t>
      </w:r>
      <w:r w:rsidRPr="008C1DD5">
        <w:rPr>
          <w:rFonts w:eastAsia="Times New Roman" w:cs="Arial"/>
          <w:iCs/>
        </w:rPr>
        <w:t xml:space="preserve">more sodium than those from higher socioeconomic groups. </w:t>
      </w:r>
      <w:r>
        <w:rPr>
          <w:rFonts w:eastAsia="Times New Roman" w:cs="Arial"/>
          <w:iCs/>
        </w:rPr>
        <w:t xml:space="preserve">Compared with the general population, data suggests that intakes are higher among younger Indigenous </w:t>
      </w:r>
      <w:r w:rsidRPr="008C1DD5">
        <w:rPr>
          <w:rFonts w:eastAsia="Times New Roman" w:cs="Arial"/>
          <w:iCs/>
        </w:rPr>
        <w:t xml:space="preserve">children </w:t>
      </w:r>
      <w:r>
        <w:rPr>
          <w:rFonts w:eastAsia="Times New Roman" w:cs="Arial"/>
          <w:iCs/>
        </w:rPr>
        <w:t xml:space="preserve">and Pacific children residing in New Zealand; no </w:t>
      </w:r>
      <w:r w:rsidRPr="008C1DD5">
        <w:rPr>
          <w:rFonts w:eastAsia="Times New Roman" w:cs="Arial"/>
          <w:iCs/>
        </w:rPr>
        <w:t xml:space="preserve">specific data </w:t>
      </w:r>
      <w:r>
        <w:rPr>
          <w:rFonts w:eastAsia="Times New Roman" w:cs="Arial"/>
          <w:iCs/>
        </w:rPr>
        <w:t xml:space="preserve">is available </w:t>
      </w:r>
      <w:r w:rsidRPr="008C1DD5">
        <w:rPr>
          <w:rFonts w:eastAsia="Times New Roman" w:cs="Arial"/>
          <w:iCs/>
        </w:rPr>
        <w:t>for Māori children</w:t>
      </w:r>
      <w:r>
        <w:rPr>
          <w:rFonts w:eastAsia="Times New Roman" w:cs="Arial"/>
          <w:iCs/>
        </w:rPr>
        <w:t xml:space="preserve">. </w:t>
      </w:r>
      <w:r w:rsidRPr="008C1DD5">
        <w:rPr>
          <w:rFonts w:eastAsia="Times New Roman" w:cs="Arial"/>
          <w:iCs/>
        </w:rPr>
        <w:t>Collectively, this evidence indicates that children from disadvantaged populations are exposed to higher sodium intakes early in life, highlighting the importance of ensuring that dietary guidance and public health strategies support equitable reductions in intake across all groups.</w:t>
      </w:r>
    </w:p>
    <w:p w14:paraId="26C2891B" w14:textId="77777777" w:rsidR="00F61D64" w:rsidRPr="00857B0C" w:rsidRDefault="00F61D64" w:rsidP="00F61D64">
      <w:pPr>
        <w:pStyle w:val="Heading4"/>
      </w:pPr>
      <w:r w:rsidRPr="00857B0C">
        <w:t>Other nutrients</w:t>
      </w:r>
    </w:p>
    <w:p w14:paraId="10129C44" w14:textId="77777777" w:rsidR="00F61D64" w:rsidRDefault="00F61D64" w:rsidP="00F61D64">
      <w:pPr>
        <w:spacing w:after="120"/>
        <w:ind w:right="172"/>
        <w:rPr>
          <w:rFonts w:eastAsia="Times New Roman" w:cs="Arial"/>
          <w:iCs/>
        </w:rPr>
      </w:pPr>
      <w:r>
        <w:rPr>
          <w:rFonts w:eastAsia="Times New Roman" w:cs="Arial"/>
          <w:iCs/>
        </w:rPr>
        <w:t xml:space="preserve">As per the Evidence-to-Decision table in adults, consideration must be given to the feasibility of achieving intakes of sodium within recommendations whilst achieving nutritional adequacy across the range of other essential nutrients. Although sodium interacts closely with potassium, chloride and calcium, these nutrient interactions are not sufficiently characterised to inform sodium NRV establishment </w:t>
      </w:r>
      <w:r>
        <w:rPr>
          <w:rFonts w:eastAsia="Times New Roman" w:cs="Arial"/>
          <w:iCs/>
        </w:rPr>
        <w:fldChar w:fldCharType="begin"/>
      </w:r>
      <w:r>
        <w:rPr>
          <w:rFonts w:eastAsia="Times New Roman" w:cs="Arial"/>
          <w:iCs/>
        </w:rPr>
        <w:instrText xml:space="preserve"> ADDIN EN.CITE &lt;EndNote&gt;&lt;Cite ExcludeAuth="1"&gt;&lt;Author&gt;European Food Safety Authority&lt;/Author&gt;&lt;Year&gt;2019&lt;/Year&gt;&lt;RecNum&gt;4610&lt;/RecNum&gt;&lt;Prefix&gt;EFSA`, &lt;/Prefix&gt;&lt;DisplayText&gt;(EFSA, 2019; NASEM, 2019)&lt;/DisplayText&gt;&lt;record&gt;&lt;rec-number&gt;4610&lt;/rec-number&gt;&lt;foreign-keys&gt;&lt;key app="EN" db-id="wwsdv2wwp29fenerv0kx5tw9zxtx2fdrprx2" timestamp="1774919605"&gt;4610&lt;/key&gt;&lt;/foreign-keys&gt;&lt;ref-type name="Journal Article"&gt;17&lt;/ref-type&gt;&lt;contributors&gt;&lt;authors&gt;&lt;author&gt;European Food Safety Authority,&lt;/author&gt;&lt;/authors&gt;&lt;/contributors&gt;&lt;titles&gt;&lt;title&gt;Dietary Reference Values for Sodium&lt;/title&gt;&lt;secondary-title&gt;EFSA Journal&lt;/secondary-title&gt;&lt;/titles&gt;&lt;periodical&gt;&lt;full-title&gt;EFSA Journal&lt;/full-title&gt;&lt;/periodical&gt;&lt;pages&gt;:e05778&lt;/pages&gt;&lt;volume&gt;17&lt;/volume&gt;&lt;number&gt;9&lt;/number&gt;&lt;dates&gt;&lt;year&gt;2019&lt;/year&gt;&lt;/dates&gt;&lt;urls&gt;&lt;/urls&gt;&lt;electronic-resource-num&gt;https://doi.org/10.2903/j.efsa.2019.5778&lt;/electronic-resource-num&gt;&lt;/record&gt;&lt;/Cite&gt;&lt;Cite ExcludeAuth="1"&gt;&lt;Author&gt;National Academies of Sciences&lt;/Author&gt;&lt;Year&gt;2019&lt;/Year&gt;&lt;RecNum&gt;4618&lt;/RecNum&gt;&lt;Prefix&gt;NASEM`, &lt;/Prefix&gt;&lt;record&gt;&lt;rec-number&gt;4618&lt;/rec-number&gt;&lt;foreign-keys&gt;&lt;key app="EN" db-id="wwsdv2wwp29fenerv0kx5tw9zxtx2fdrprx2" timestamp="1774921572"&gt;4618&lt;/key&gt;&lt;/foreign-keys&gt;&lt;ref-type name="Book"&gt;6&lt;/ref-type&gt;&lt;contributors&gt;&lt;authors&gt;&lt;author&gt;National Academies of Sciences, Engineering, and Medicine&lt;/author&gt;&lt;/authors&gt;&lt;tertiary-authors&gt;&lt;author&gt;Oria M, Harrison M, Stallings VA,&lt;/author&gt;&lt;/tertiary-authors&gt;&lt;/contributors&gt;&lt;titles&gt;&lt;title&gt;Dietary Reference Intakes for Sodium and Potassium&lt;/title&gt;&lt;/titles&gt;&lt;dates&gt;&lt;year&gt;2019&lt;/year&gt;&lt;/dates&gt;&lt;pub-location&gt;Washington (DC)&lt;/pub-location&gt;&lt;publisher&gt;National Academies Press (US)&lt;/publisher&gt;&lt;urls&gt;&lt;related-urls&gt;&lt;url&gt;https://www.ncbi.nlm.nih.gov/sites/books/NBK545445/&lt;/url&gt;&lt;/related-urls&gt;&lt;/urls&gt;&lt;/record&gt;&lt;/Cite&gt;&lt;/EndNote&gt;</w:instrText>
      </w:r>
      <w:r>
        <w:rPr>
          <w:rFonts w:eastAsia="Times New Roman" w:cs="Arial"/>
          <w:iCs/>
        </w:rPr>
        <w:fldChar w:fldCharType="separate"/>
      </w:r>
      <w:r>
        <w:rPr>
          <w:rFonts w:eastAsia="Times New Roman" w:cs="Arial"/>
          <w:iCs/>
          <w:noProof/>
        </w:rPr>
        <w:t>(EFSA, 2019; NASEM, 2019)</w:t>
      </w:r>
      <w:r>
        <w:rPr>
          <w:rFonts w:eastAsia="Times New Roman" w:cs="Arial"/>
          <w:iCs/>
        </w:rPr>
        <w:fldChar w:fldCharType="end"/>
      </w:r>
      <w:r>
        <w:rPr>
          <w:rFonts w:eastAsia="Times New Roman" w:cs="Arial"/>
          <w:iCs/>
        </w:rPr>
        <w:t xml:space="preserve">. </w:t>
      </w:r>
    </w:p>
    <w:p w14:paraId="35018CCF" w14:textId="77777777" w:rsidR="00F61D64" w:rsidRPr="00104BD2" w:rsidRDefault="00F61D64" w:rsidP="00F61D64">
      <w:pPr>
        <w:keepNext/>
        <w:keepLines/>
        <w:shd w:val="clear" w:color="auto" w:fill="005F85"/>
        <w:spacing w:before="240" w:after="120" w:line="280" w:lineRule="atLeast"/>
        <w:outlineLvl w:val="4"/>
        <w:rPr>
          <w:rFonts w:ascii="Gotham Medium" w:eastAsia="SimHei" w:hAnsi="Gotham Medium" w:cs="Arial"/>
          <w:i/>
          <w:iCs/>
          <w:color w:val="FFFFFF"/>
          <w:kern w:val="0"/>
          <w:lang w:eastAsia="en-AU"/>
          <w14:ligatures w14:val="none"/>
        </w:rPr>
      </w:pPr>
      <w:r w:rsidRPr="00104BD2">
        <w:rPr>
          <w:rFonts w:ascii="Gotham Medium" w:eastAsia="SimHei" w:hAnsi="Gotham Medium" w:cs="Arial"/>
          <w:i/>
          <w:iCs/>
          <w:color w:val="FFFFFF"/>
          <w:kern w:val="0"/>
          <w:lang w:eastAsia="en-AU"/>
          <w14:ligatures w14:val="none"/>
        </w:rPr>
        <w:t>Decision</w:t>
      </w:r>
    </w:p>
    <w:p w14:paraId="1783AC35" w14:textId="77777777" w:rsidR="00F61D64" w:rsidRDefault="00F61D64" w:rsidP="00F61D64">
      <w:pPr>
        <w:spacing w:after="120"/>
        <w:ind w:right="172"/>
        <w:rPr>
          <w:rFonts w:eastAsia="Times New Roman" w:cs="Arial"/>
          <w:iCs/>
        </w:rPr>
      </w:pPr>
      <w:r>
        <w:rPr>
          <w:rFonts w:eastAsia="Times New Roman" w:cs="Arial"/>
          <w:iCs/>
        </w:rPr>
        <w:t>CDRR values to be extrapolated from the adult CDRR (formerly the SDT) of 2,000 mg/day for respective child and adolescent age groupings.</w:t>
      </w:r>
    </w:p>
    <w:p w14:paraId="317219EA" w14:textId="77777777" w:rsidR="00F61D64" w:rsidRDefault="00F61D64" w:rsidP="00F61D64">
      <w:pPr>
        <w:spacing w:after="120"/>
        <w:ind w:right="172"/>
        <w:rPr>
          <w:rFonts w:asciiTheme="majorHAnsi" w:eastAsiaTheme="majorEastAsia" w:hAnsiTheme="majorHAnsi" w:cstheme="majorBidi"/>
          <w:color w:val="0F4761" w:themeColor="accent1" w:themeShade="BF"/>
          <w:sz w:val="40"/>
          <w:szCs w:val="40"/>
        </w:rPr>
      </w:pPr>
      <w:r>
        <w:rPr>
          <w:rFonts w:eastAsia="Times New Roman" w:cs="Arial"/>
          <w:iCs/>
        </w:rPr>
        <w:t xml:space="preserve">A CDRR best reflects the nature of risk from high sodium intakes, which is an increasing risk of chronic disease with increasing sodium intakes. There is moderate certainty evidence of an increased risk of chronic disease with high sodium intakes among adults, and sufficient public health grounds to warrant adopting a protective CDRR recommendation among children. There is insufficient evidence to derive a UL in children and adolescents. </w:t>
      </w:r>
      <w:r>
        <w:br w:type="page"/>
      </w:r>
    </w:p>
    <w:p w14:paraId="0158E361" w14:textId="77777777" w:rsidR="00F61D64" w:rsidRDefault="00F61D64" w:rsidP="00B90577">
      <w:pPr>
        <w:pStyle w:val="Heading2"/>
      </w:pPr>
      <w:bookmarkStart w:id="188" w:name="_Toc234960922"/>
      <w:r>
        <w:lastRenderedPageBreak/>
        <w:t>References</w:t>
      </w:r>
      <w:bookmarkEnd w:id="188"/>
    </w:p>
    <w:p w14:paraId="13247B0E" w14:textId="7431A5F6" w:rsidR="00B910BD" w:rsidRPr="00B910BD" w:rsidRDefault="00F61D64" w:rsidP="00B910BD">
      <w:pPr>
        <w:pStyle w:val="EndNoteBibliography"/>
        <w:spacing w:after="0"/>
        <w:ind w:left="720" w:hanging="720"/>
      </w:pPr>
      <w:r>
        <w:fldChar w:fldCharType="begin"/>
      </w:r>
      <w:r>
        <w:instrText xml:space="preserve"> ADDIN EN.REFLIST </w:instrText>
      </w:r>
      <w:r>
        <w:fldChar w:fldCharType="separate"/>
      </w:r>
      <w:r w:rsidR="00B910BD" w:rsidRPr="00B910BD">
        <w:t xml:space="preserve">AIHW. (2022). </w:t>
      </w:r>
      <w:r w:rsidR="00B910BD" w:rsidRPr="00B910BD">
        <w:rPr>
          <w:i/>
        </w:rPr>
        <w:t>Australian Burden of Disease Study: impact and causes of illness and death in Aboriginal and Torres Strait Islander people 2018</w:t>
      </w:r>
      <w:r w:rsidR="00B910BD" w:rsidRPr="00B910BD">
        <w:t xml:space="preserve">. </w:t>
      </w:r>
      <w:hyperlink r:id="rId243" w:history="1">
        <w:r w:rsidR="00B910BD" w:rsidRPr="00B910BD">
          <w:rPr>
            <w:rStyle w:val="Hyperlink"/>
          </w:rPr>
          <w:t>https://www.aihw.gov.au/reports/burden-of-disease/illness-death-indigenous-2018</w:t>
        </w:r>
      </w:hyperlink>
    </w:p>
    <w:p w14:paraId="66E4A356" w14:textId="528DF4FE" w:rsidR="00B910BD" w:rsidRPr="00B910BD" w:rsidRDefault="00B910BD" w:rsidP="00B910BD">
      <w:pPr>
        <w:pStyle w:val="EndNoteBibliography"/>
        <w:spacing w:after="0"/>
        <w:ind w:left="720" w:hanging="720"/>
      </w:pPr>
      <w:r w:rsidRPr="00B910BD">
        <w:t xml:space="preserve">AIHW. (2024). </w:t>
      </w:r>
      <w:r w:rsidRPr="00B910BD">
        <w:rPr>
          <w:i/>
        </w:rPr>
        <w:t>Australian Burden of Disease Study 2024</w:t>
      </w:r>
      <w:r w:rsidRPr="00B910BD">
        <w:t xml:space="preserve">. </w:t>
      </w:r>
      <w:hyperlink r:id="rId244" w:history="1">
        <w:r w:rsidRPr="00B910BD">
          <w:rPr>
            <w:rStyle w:val="Hyperlink"/>
          </w:rPr>
          <w:t>https://www.aihw.gov.au/reports/burden-of-disease/australian-burden-of-disease-study-2024</w:t>
        </w:r>
      </w:hyperlink>
    </w:p>
    <w:p w14:paraId="7D35030A" w14:textId="6A71F808" w:rsidR="00B910BD" w:rsidRPr="00B910BD" w:rsidRDefault="00B910BD" w:rsidP="00B910BD">
      <w:pPr>
        <w:pStyle w:val="EndNoteBibliography"/>
        <w:spacing w:after="0"/>
        <w:ind w:left="720" w:hanging="720"/>
      </w:pPr>
      <w:r w:rsidRPr="00B910BD">
        <w:t xml:space="preserve">AIHW. (2025). </w:t>
      </w:r>
      <w:r w:rsidRPr="00B910BD">
        <w:rPr>
          <w:i/>
        </w:rPr>
        <w:t>Heart, stroke and vascular disease: Australian facts</w:t>
      </w:r>
      <w:r w:rsidRPr="00B910BD">
        <w:t xml:space="preserve">. </w:t>
      </w:r>
      <w:hyperlink r:id="rId245" w:history="1">
        <w:r w:rsidRPr="00B910BD">
          <w:rPr>
            <w:rStyle w:val="Hyperlink"/>
          </w:rPr>
          <w:t>https://www.aihw.gov.au/reports/heart-stroke-vascular-diseases/hsvd-facts</w:t>
        </w:r>
      </w:hyperlink>
    </w:p>
    <w:p w14:paraId="46A29029" w14:textId="0CF851DB" w:rsidR="00B910BD" w:rsidRPr="00B910BD" w:rsidRDefault="00B910BD" w:rsidP="00B910BD">
      <w:pPr>
        <w:pStyle w:val="EndNoteBibliography"/>
        <w:spacing w:after="0"/>
        <w:ind w:left="720" w:hanging="720"/>
      </w:pPr>
      <w:r w:rsidRPr="00B910BD">
        <w:t xml:space="preserve">Allen, J. C., Keller, R. P., Archer, P., &amp; Neville, M. C. (1991). Studies in human lactation: milk composition and daily secretion rates of macronutrients in the first year of lactation. </w:t>
      </w:r>
      <w:r w:rsidRPr="00B910BD">
        <w:rPr>
          <w:i/>
        </w:rPr>
        <w:t>Am J Clin Nutr</w:t>
      </w:r>
      <w:r w:rsidRPr="00B910BD">
        <w:t>,</w:t>
      </w:r>
      <w:r w:rsidRPr="00B910BD">
        <w:rPr>
          <w:i/>
        </w:rPr>
        <w:t xml:space="preserve"> 54</w:t>
      </w:r>
      <w:r w:rsidRPr="00B910BD">
        <w:t xml:space="preserve">(1), 69-80. </w:t>
      </w:r>
      <w:hyperlink r:id="rId246" w:history="1">
        <w:r w:rsidRPr="00B910BD">
          <w:rPr>
            <w:rStyle w:val="Hyperlink"/>
          </w:rPr>
          <w:t>https://doi.org/10.1093/ajcn/54.1.69</w:t>
        </w:r>
      </w:hyperlink>
      <w:r w:rsidRPr="00B910BD">
        <w:t xml:space="preserve"> </w:t>
      </w:r>
    </w:p>
    <w:p w14:paraId="2B6EA2B7" w14:textId="3F219E0A" w:rsidR="00B910BD" w:rsidRPr="00B910BD" w:rsidRDefault="00B910BD" w:rsidP="00B910BD">
      <w:pPr>
        <w:pStyle w:val="EndNoteBibliography"/>
        <w:spacing w:after="0"/>
        <w:ind w:left="720" w:hanging="720"/>
      </w:pPr>
      <w:r w:rsidRPr="00B910BD">
        <w:t xml:space="preserve">Allsopp, A. J., Sutherland, R., Wood, P., &amp; Wootton, S. A. (1998). The effect of sodium balance on sweat sodium secretion and plasma aldosterone concentration. </w:t>
      </w:r>
      <w:r w:rsidRPr="00B910BD">
        <w:rPr>
          <w:i/>
        </w:rPr>
        <w:t>Eur J Appl Physiol Occup Physiol</w:t>
      </w:r>
      <w:r w:rsidRPr="00B910BD">
        <w:t>,</w:t>
      </w:r>
      <w:r w:rsidRPr="00B910BD">
        <w:rPr>
          <w:i/>
        </w:rPr>
        <w:t xml:space="preserve"> 78</w:t>
      </w:r>
      <w:r w:rsidRPr="00B910BD">
        <w:t xml:space="preserve">(6), 516-521. </w:t>
      </w:r>
      <w:hyperlink r:id="rId247" w:history="1">
        <w:r w:rsidRPr="00B910BD">
          <w:rPr>
            <w:rStyle w:val="Hyperlink"/>
          </w:rPr>
          <w:t>https://doi.org/10.1007/s004210050454</w:t>
        </w:r>
      </w:hyperlink>
      <w:r w:rsidRPr="00B910BD">
        <w:t xml:space="preserve"> </w:t>
      </w:r>
    </w:p>
    <w:p w14:paraId="6773521D" w14:textId="675A8C72" w:rsidR="00B910BD" w:rsidRPr="00B910BD" w:rsidRDefault="00B910BD" w:rsidP="00B910BD">
      <w:pPr>
        <w:pStyle w:val="EndNoteBibliography"/>
        <w:spacing w:after="0"/>
        <w:ind w:left="720" w:hanging="720"/>
      </w:pPr>
      <w:r w:rsidRPr="00B910BD">
        <w:t xml:space="preserve">Australian Bureau of Statistics. (2022). </w:t>
      </w:r>
      <w:r w:rsidRPr="00B910BD">
        <w:rPr>
          <w:i/>
        </w:rPr>
        <w:t>Hypertension and high measured blood pressure</w:t>
      </w:r>
      <w:r w:rsidRPr="00B910BD">
        <w:t xml:space="preserve"> (</w:t>
      </w:r>
      <w:hyperlink r:id="rId248" w:history="1">
        <w:r w:rsidRPr="00B910BD">
          <w:rPr>
            <w:rStyle w:val="Hyperlink"/>
          </w:rPr>
          <w:t>https://www.abs.gov.au/statistics/health/health-conditions-and-risks/hypertension-and-high-measured-blood-pressure/latest-release</w:t>
        </w:r>
      </w:hyperlink>
      <w:r w:rsidRPr="00B910BD">
        <w:t xml:space="preserve"> </w:t>
      </w:r>
    </w:p>
    <w:p w14:paraId="28C993B5" w14:textId="0441B684" w:rsidR="00B910BD" w:rsidRPr="00B910BD" w:rsidRDefault="00B910BD" w:rsidP="00B910BD">
      <w:pPr>
        <w:pStyle w:val="EndNoteBibliography"/>
        <w:spacing w:after="0"/>
        <w:ind w:left="720" w:hanging="720"/>
      </w:pPr>
      <w:r w:rsidRPr="00B910BD">
        <w:t xml:space="preserve">Australian Bureau of Statistics. (2023a). </w:t>
      </w:r>
      <w:r w:rsidRPr="00B910BD">
        <w:rPr>
          <w:i/>
        </w:rPr>
        <w:t>National Aboriginal and Torres Strait Islander Nutrition and Physical Activity Survey: Food and Nutrients, 2023</w:t>
      </w:r>
      <w:r w:rsidRPr="00B910BD">
        <w:t xml:space="preserve"> (</w:t>
      </w:r>
      <w:hyperlink r:id="rId249" w:anchor="about-the-survey" w:history="1">
        <w:r w:rsidRPr="00B910BD">
          <w:rPr>
            <w:rStyle w:val="Hyperlink"/>
          </w:rPr>
          <w:t>https://www.abs.gov.au/statistics/people/aboriginal-and-torres-strait-islander-peoples/national-aboriginal-and-torres-strait-islander-nutrition-and-physical-activity-survey/latest-release#about-the-survey</w:t>
        </w:r>
      </w:hyperlink>
      <w:r w:rsidRPr="00B910BD">
        <w:t xml:space="preserve"> </w:t>
      </w:r>
    </w:p>
    <w:p w14:paraId="7B24B25A" w14:textId="160B7453" w:rsidR="00B910BD" w:rsidRPr="00B910BD" w:rsidRDefault="00B910BD" w:rsidP="00B910BD">
      <w:pPr>
        <w:pStyle w:val="EndNoteBibliography"/>
        <w:spacing w:after="0"/>
        <w:ind w:left="720" w:hanging="720"/>
      </w:pPr>
      <w:r w:rsidRPr="00B910BD">
        <w:t>Australian Bureau of Statistics. (2023b).</w:t>
      </w:r>
      <w:r w:rsidRPr="00B910BD">
        <w:rPr>
          <w:i/>
        </w:rPr>
        <w:t xml:space="preserve"> National Nutrition and Physical Activity Survey: Food and nutrients</w:t>
      </w:r>
      <w:r w:rsidRPr="00B910BD">
        <w:t xml:space="preserve"> (</w:t>
      </w:r>
      <w:hyperlink r:id="rId250" w:history="1">
        <w:r w:rsidRPr="00B910BD">
          <w:rPr>
            <w:rStyle w:val="Hyperlink"/>
          </w:rPr>
          <w:t>https://www.abs.gov.au/statistics/health/food-and-nutrition/food-and-nutrients/2023</w:t>
        </w:r>
      </w:hyperlink>
      <w:r w:rsidRPr="00B910BD">
        <w:t xml:space="preserve"> </w:t>
      </w:r>
    </w:p>
    <w:p w14:paraId="753CB0A5" w14:textId="47F2970F" w:rsidR="00B910BD" w:rsidRPr="00B910BD" w:rsidRDefault="00B910BD" w:rsidP="00B910BD">
      <w:pPr>
        <w:pStyle w:val="EndNoteBibliography"/>
        <w:spacing w:after="0"/>
        <w:ind w:left="720" w:hanging="720"/>
      </w:pPr>
      <w:r w:rsidRPr="00B910BD">
        <w:t xml:space="preserve">Australian Bureau of Statistics. (2023c). </w:t>
      </w:r>
      <w:r w:rsidRPr="00B910BD">
        <w:rPr>
          <w:i/>
        </w:rPr>
        <w:t>National Nutrition and Physical Activity Survey: Usual nutrient intakes</w:t>
      </w:r>
      <w:r w:rsidRPr="00B910BD">
        <w:t xml:space="preserve"> (ABS. </w:t>
      </w:r>
      <w:hyperlink r:id="rId251" w:history="1">
        <w:r w:rsidRPr="00B910BD">
          <w:rPr>
            <w:rStyle w:val="Hyperlink"/>
          </w:rPr>
          <w:t>https://www.abs.gov.au/statistics/health/food-and-nutrition/usual-nutrient-intakes/2023</w:t>
        </w:r>
      </w:hyperlink>
      <w:r w:rsidRPr="00B910BD">
        <w:t xml:space="preserve"> </w:t>
      </w:r>
    </w:p>
    <w:p w14:paraId="68D2C617" w14:textId="455FF7EB" w:rsidR="00B910BD" w:rsidRPr="00B910BD" w:rsidRDefault="00B910BD" w:rsidP="00B910BD">
      <w:pPr>
        <w:pStyle w:val="EndNoteBibliography"/>
        <w:spacing w:after="0"/>
        <w:ind w:left="720" w:hanging="720"/>
      </w:pPr>
      <w:r w:rsidRPr="00B910BD">
        <w:t xml:space="preserve">Australian Bureau of Statistics, A. (2025). </w:t>
      </w:r>
      <w:r w:rsidRPr="00B910BD">
        <w:rPr>
          <w:i/>
        </w:rPr>
        <w:t>Healthy Food Partnership Reformulation Program: Wave 1, four-year progress</w:t>
      </w:r>
      <w:r w:rsidRPr="00B910BD">
        <w:t xml:space="preserve">. ABS Retrieved from </w:t>
      </w:r>
      <w:hyperlink r:id="rId252" w:history="1">
        <w:r w:rsidRPr="00B910BD">
          <w:rPr>
            <w:rStyle w:val="Hyperlink"/>
          </w:rPr>
          <w:t>https://www.abs.gov.au/articles/healthy-food-partnership-reformulation-program-wave-1-four-year-progress</w:t>
        </w:r>
      </w:hyperlink>
    </w:p>
    <w:p w14:paraId="6341623C" w14:textId="4F8FC5E8" w:rsidR="00B910BD" w:rsidRPr="00B910BD" w:rsidRDefault="00B910BD" w:rsidP="00B910BD">
      <w:pPr>
        <w:pStyle w:val="EndNoteBibliography"/>
        <w:spacing w:after="0"/>
        <w:ind w:left="720" w:hanging="720"/>
      </w:pPr>
      <w:r w:rsidRPr="00B910BD">
        <w:t xml:space="preserve">Australian Government. (2026). </w:t>
      </w:r>
      <w:r w:rsidRPr="00B910BD">
        <w:rPr>
          <w:i/>
        </w:rPr>
        <w:t>Proposal on mandating the HSR system</w:t>
      </w:r>
      <w:r w:rsidRPr="00B910BD">
        <w:t xml:space="preserve">. Retrieved 09/07/2026 from </w:t>
      </w:r>
      <w:hyperlink r:id="rId253" w:history="1">
        <w:r w:rsidRPr="00B910BD">
          <w:rPr>
            <w:rStyle w:val="Hyperlink"/>
          </w:rPr>
          <w:t>https://www.healthstarrating.gov.au/monitoring-and-reviews/proposal-mandating-hsr-system</w:t>
        </w:r>
      </w:hyperlink>
    </w:p>
    <w:p w14:paraId="6A200A96" w14:textId="0AAACF0A" w:rsidR="00B910BD" w:rsidRPr="00B910BD" w:rsidRDefault="00B910BD" w:rsidP="00B910BD">
      <w:pPr>
        <w:pStyle w:val="EndNoteBibliography"/>
        <w:spacing w:after="0"/>
        <w:ind w:left="720" w:hanging="720"/>
      </w:pPr>
      <w:r w:rsidRPr="00B910BD">
        <w:t xml:space="preserve">Australian Institute of Health and Welfare. (2026a). </w:t>
      </w:r>
      <w:r w:rsidRPr="00B910BD">
        <w:rPr>
          <w:i/>
        </w:rPr>
        <w:t>Heart, stroke and vascular disease: Australian facts</w:t>
      </w:r>
      <w:r w:rsidRPr="00B910BD">
        <w:t xml:space="preserve">. Canberra, ACT: AIHW Retrieved from </w:t>
      </w:r>
      <w:hyperlink r:id="rId254" w:history="1">
        <w:r w:rsidRPr="00B910BD">
          <w:rPr>
            <w:rStyle w:val="Hyperlink"/>
          </w:rPr>
          <w:t>https://www.aihw.gov.au/reports/heart-stroke-vascular-diseases/hsvd-facts</w:t>
        </w:r>
      </w:hyperlink>
    </w:p>
    <w:p w14:paraId="08D2197B" w14:textId="77A710A2" w:rsidR="00B910BD" w:rsidRPr="00B910BD" w:rsidRDefault="00B910BD" w:rsidP="00B910BD">
      <w:pPr>
        <w:pStyle w:val="EndNoteBibliography"/>
        <w:spacing w:after="0"/>
        <w:ind w:left="720" w:hanging="720"/>
      </w:pPr>
      <w:r w:rsidRPr="00B910BD">
        <w:t xml:space="preserve">Australian Institute of Health and Welfare. (2026b). </w:t>
      </w:r>
      <w:r w:rsidRPr="00B910BD">
        <w:rPr>
          <w:i/>
        </w:rPr>
        <w:t>Hypertension in Australia</w:t>
      </w:r>
      <w:r w:rsidRPr="00B910BD">
        <w:t xml:space="preserve">. Canberra, ACT: AIHW Retrieved from </w:t>
      </w:r>
      <w:hyperlink r:id="rId255" w:history="1">
        <w:r w:rsidRPr="00B910BD">
          <w:rPr>
            <w:rStyle w:val="Hyperlink"/>
          </w:rPr>
          <w:t>https://www.aihw.gov.au/reports/risk-factors/hypertension/</w:t>
        </w:r>
      </w:hyperlink>
    </w:p>
    <w:p w14:paraId="6AEE2A79" w14:textId="009E3BD3" w:rsidR="00B910BD" w:rsidRPr="00B910BD" w:rsidRDefault="00B910BD" w:rsidP="00B910BD">
      <w:pPr>
        <w:pStyle w:val="EndNoteBibliography"/>
        <w:spacing w:after="0"/>
        <w:ind w:left="720" w:hanging="720"/>
      </w:pPr>
      <w:r w:rsidRPr="00B910BD">
        <w:t xml:space="preserve">Bablani, L., Ni Mhurchu, C., Neal, B., Skeels, C. L., Staub, K. E., &amp; Blakely, T. (2020). The impact of voluntary front-of-pack nutrition labelling on packaged food reformulation: A difference-in-differences analysis of the Australasian Health Star Rating scheme. </w:t>
      </w:r>
      <w:r w:rsidRPr="00B910BD">
        <w:rPr>
          <w:i/>
        </w:rPr>
        <w:t>PLoS Med</w:t>
      </w:r>
      <w:r w:rsidRPr="00B910BD">
        <w:t>,</w:t>
      </w:r>
      <w:r w:rsidRPr="00B910BD">
        <w:rPr>
          <w:i/>
        </w:rPr>
        <w:t xml:space="preserve"> 17</w:t>
      </w:r>
      <w:r w:rsidRPr="00B910BD">
        <w:t xml:space="preserve">(11), e1003427. </w:t>
      </w:r>
      <w:hyperlink r:id="rId256" w:history="1">
        <w:r w:rsidRPr="00B910BD">
          <w:rPr>
            <w:rStyle w:val="Hyperlink"/>
          </w:rPr>
          <w:t>https://doi.org/10.1371/journal.pmed.1003427</w:t>
        </w:r>
      </w:hyperlink>
      <w:r w:rsidRPr="00B910BD">
        <w:t xml:space="preserve"> </w:t>
      </w:r>
    </w:p>
    <w:p w14:paraId="5EABDEA6" w14:textId="7F968303" w:rsidR="00B910BD" w:rsidRPr="00B910BD" w:rsidRDefault="00B910BD" w:rsidP="00B910BD">
      <w:pPr>
        <w:pStyle w:val="EndNoteBibliography"/>
        <w:spacing w:after="0"/>
        <w:ind w:left="720" w:hanging="720"/>
      </w:pPr>
      <w:r w:rsidRPr="00B910BD">
        <w:t xml:space="preserve">Bauer, J., &amp; Gerss, J. (2011). Longitudinal analysis of macronutrients and minerals in human milk produced by mothers of preterm infants. </w:t>
      </w:r>
      <w:r w:rsidRPr="00B910BD">
        <w:rPr>
          <w:i/>
        </w:rPr>
        <w:t>Clin Nutr</w:t>
      </w:r>
      <w:r w:rsidRPr="00B910BD">
        <w:t>,</w:t>
      </w:r>
      <w:r w:rsidRPr="00B910BD">
        <w:rPr>
          <w:i/>
        </w:rPr>
        <w:t xml:space="preserve"> 30</w:t>
      </w:r>
      <w:r w:rsidRPr="00B910BD">
        <w:t xml:space="preserve">(2), 215-220. </w:t>
      </w:r>
      <w:hyperlink r:id="rId257" w:history="1">
        <w:r w:rsidRPr="00B910BD">
          <w:rPr>
            <w:rStyle w:val="Hyperlink"/>
          </w:rPr>
          <w:t>https://doi.org/10.1016/j.clnu.2010.08.003</w:t>
        </w:r>
      </w:hyperlink>
      <w:r w:rsidRPr="00B910BD">
        <w:t xml:space="preserve"> </w:t>
      </w:r>
    </w:p>
    <w:p w14:paraId="4806F235" w14:textId="6DC201C9" w:rsidR="00B910BD" w:rsidRPr="00B910BD" w:rsidRDefault="00B910BD" w:rsidP="00B910BD">
      <w:pPr>
        <w:pStyle w:val="EndNoteBibliography"/>
        <w:spacing w:after="0"/>
        <w:ind w:left="720" w:hanging="720"/>
      </w:pPr>
      <w:r w:rsidRPr="00B910BD">
        <w:t xml:space="preserve">Beard, T. C., Cooke, H. M., Gray, W. R., &amp; Barge, R. (1982). Randomised controlled trial of a no-added-sodium diet for mild hypertension. </w:t>
      </w:r>
      <w:r w:rsidRPr="00B910BD">
        <w:rPr>
          <w:i/>
        </w:rPr>
        <w:t>Lancet</w:t>
      </w:r>
      <w:r w:rsidRPr="00B910BD">
        <w:t>,</w:t>
      </w:r>
      <w:r w:rsidRPr="00B910BD">
        <w:rPr>
          <w:i/>
        </w:rPr>
        <w:t xml:space="preserve"> 2</w:t>
      </w:r>
      <w:r w:rsidRPr="00B910BD">
        <w:t xml:space="preserve">(8296), 455-458. </w:t>
      </w:r>
      <w:hyperlink r:id="rId258" w:history="1">
        <w:r w:rsidRPr="00B910BD">
          <w:rPr>
            <w:rStyle w:val="Hyperlink"/>
          </w:rPr>
          <w:t>https://doi.org/10.1016/s0140-6736(82)90491-3</w:t>
        </w:r>
      </w:hyperlink>
      <w:r w:rsidRPr="00B910BD">
        <w:t xml:space="preserve"> </w:t>
      </w:r>
    </w:p>
    <w:p w14:paraId="19C04880" w14:textId="1464CC62" w:rsidR="00B910BD" w:rsidRPr="00B910BD" w:rsidRDefault="00B910BD" w:rsidP="00B910BD">
      <w:pPr>
        <w:pStyle w:val="EndNoteBibliography"/>
        <w:spacing w:after="0"/>
        <w:ind w:left="720" w:hanging="720"/>
      </w:pPr>
      <w:r w:rsidRPr="00B910BD">
        <w:t xml:space="preserve">Beard, T. C., Hornsby, H., Dwyer, T., Woodward, D. R., Ball, P. J., &amp; von Witt, R. J. (1997). The Hobart Salt Study 1995: few meet national sodium intake target. </w:t>
      </w:r>
      <w:r w:rsidRPr="00B910BD">
        <w:rPr>
          <w:i/>
        </w:rPr>
        <w:t>Medical Journal of Australia</w:t>
      </w:r>
      <w:r w:rsidRPr="00B910BD">
        <w:t>,</w:t>
      </w:r>
      <w:r w:rsidRPr="00B910BD">
        <w:rPr>
          <w:i/>
        </w:rPr>
        <w:t xml:space="preserve"> 166</w:t>
      </w:r>
      <w:r w:rsidRPr="00B910BD">
        <w:t xml:space="preserve">(8), 404-407. </w:t>
      </w:r>
      <w:hyperlink r:id="rId259" w:history="1">
        <w:r w:rsidRPr="00B910BD">
          <w:rPr>
            <w:rStyle w:val="Hyperlink"/>
          </w:rPr>
          <w:t>https://doi.org/https://doi.org/10.5694/j.1326-5377.1997.tb123189.x</w:t>
        </w:r>
      </w:hyperlink>
      <w:r w:rsidRPr="00B910BD">
        <w:t xml:space="preserve"> </w:t>
      </w:r>
    </w:p>
    <w:p w14:paraId="4F2BC209" w14:textId="7FFB22A8" w:rsidR="00B910BD" w:rsidRPr="00B910BD" w:rsidRDefault="00B910BD" w:rsidP="00B910BD">
      <w:pPr>
        <w:pStyle w:val="EndNoteBibliography"/>
        <w:spacing w:after="0"/>
        <w:ind w:left="720" w:hanging="720"/>
      </w:pPr>
      <w:r w:rsidRPr="00B910BD">
        <w:lastRenderedPageBreak/>
        <w:t xml:space="preserve">Bennett, G., Bardon, L. A., &amp; Gibney, E. R. (2022). A Comparison of Dietary Patterns and Factors Influencing Food Choice among Ethnic Groups Living in One Locality: A Systematic Review. </w:t>
      </w:r>
      <w:r w:rsidRPr="00B910BD">
        <w:rPr>
          <w:i/>
        </w:rPr>
        <w:t>Nutrients</w:t>
      </w:r>
      <w:r w:rsidRPr="00B910BD">
        <w:t>,</w:t>
      </w:r>
      <w:r w:rsidRPr="00B910BD">
        <w:rPr>
          <w:i/>
        </w:rPr>
        <w:t xml:space="preserve"> 14</w:t>
      </w:r>
      <w:r w:rsidRPr="00B910BD">
        <w:t xml:space="preserve">(5), 941. </w:t>
      </w:r>
      <w:hyperlink r:id="rId260" w:history="1">
        <w:r w:rsidRPr="00B910BD">
          <w:rPr>
            <w:rStyle w:val="Hyperlink"/>
          </w:rPr>
          <w:t>https://www.mdpi.com/2072-6643/14/5/941</w:t>
        </w:r>
      </w:hyperlink>
      <w:r w:rsidRPr="00B910BD">
        <w:t xml:space="preserve"> </w:t>
      </w:r>
    </w:p>
    <w:p w14:paraId="05DAA245" w14:textId="326DCA5C" w:rsidR="00B910BD" w:rsidRPr="00B910BD" w:rsidRDefault="00B910BD" w:rsidP="00B910BD">
      <w:pPr>
        <w:pStyle w:val="EndNoteBibliography"/>
        <w:spacing w:after="0"/>
        <w:ind w:left="720" w:hanging="720"/>
      </w:pPr>
      <w:r w:rsidRPr="00B910BD">
        <w:t xml:space="preserve">Bhana, N., Utter, J., &amp; Eyles, H. (2018). Knowledge, Attitudes and Behaviours Related to Dietary Salt Intake in High-Income Countries: a Systematic Review. </w:t>
      </w:r>
      <w:r w:rsidRPr="00B910BD">
        <w:rPr>
          <w:i/>
        </w:rPr>
        <w:t>Current nutrition reports</w:t>
      </w:r>
      <w:r w:rsidRPr="00B910BD">
        <w:t>,</w:t>
      </w:r>
      <w:r w:rsidRPr="00B910BD">
        <w:rPr>
          <w:i/>
        </w:rPr>
        <w:t xml:space="preserve"> 7</w:t>
      </w:r>
      <w:r w:rsidRPr="00B910BD">
        <w:t xml:space="preserve">(4), 183-197. </w:t>
      </w:r>
      <w:hyperlink r:id="rId261" w:history="1">
        <w:r w:rsidRPr="00B910BD">
          <w:rPr>
            <w:rStyle w:val="Hyperlink"/>
          </w:rPr>
          <w:t>https://doi.org/10.1007/s13668-018-0239-9</w:t>
        </w:r>
      </w:hyperlink>
      <w:r w:rsidRPr="00B910BD">
        <w:t xml:space="preserve"> </w:t>
      </w:r>
    </w:p>
    <w:p w14:paraId="3E8756EF" w14:textId="77F96220" w:rsidR="00B910BD" w:rsidRPr="00B910BD" w:rsidRDefault="00B910BD" w:rsidP="00B910BD">
      <w:pPr>
        <w:pStyle w:val="EndNoteBibliography"/>
        <w:spacing w:after="0"/>
        <w:ind w:left="720" w:hanging="720"/>
      </w:pPr>
      <w:r w:rsidRPr="00B910BD">
        <w:t xml:space="preserve">Bhat, S., Marklund, M., Henry, M. E., Appel, L. J., Croft, K. D., Neal, B., &amp; Wu, J. H. Y. (2020). A Systematic Review of the Sources of Dietary Salt Around the World. </w:t>
      </w:r>
      <w:r w:rsidRPr="00B910BD">
        <w:rPr>
          <w:i/>
        </w:rPr>
        <w:t>Adv Nutr</w:t>
      </w:r>
      <w:r w:rsidRPr="00B910BD">
        <w:t>,</w:t>
      </w:r>
      <w:r w:rsidRPr="00B910BD">
        <w:rPr>
          <w:i/>
        </w:rPr>
        <w:t xml:space="preserve"> 11</w:t>
      </w:r>
      <w:r w:rsidRPr="00B910BD">
        <w:t xml:space="preserve">(3), 677-686. </w:t>
      </w:r>
      <w:hyperlink r:id="rId262" w:history="1">
        <w:r w:rsidRPr="00B910BD">
          <w:rPr>
            <w:rStyle w:val="Hyperlink"/>
          </w:rPr>
          <w:t>https://doi.org/10.1093/advances/nmz134</w:t>
        </w:r>
      </w:hyperlink>
      <w:r w:rsidRPr="00B910BD">
        <w:t xml:space="preserve"> </w:t>
      </w:r>
    </w:p>
    <w:p w14:paraId="44DF2659" w14:textId="5A92974E" w:rsidR="00B910BD" w:rsidRPr="00B910BD" w:rsidRDefault="00B910BD" w:rsidP="00B910BD">
      <w:pPr>
        <w:pStyle w:val="EndNoteBibliography"/>
        <w:spacing w:after="0"/>
        <w:ind w:left="720" w:hanging="720"/>
      </w:pPr>
      <w:r w:rsidRPr="00B910BD">
        <w:t xml:space="preserve">Blomhoff, R., Andersen, R., Arnesen, E., Christensen, J., Eneroth, H., Erkkola, M., Gudanaviciene, I., Høyer-Lund, A., Lemming, E., Meltzer, H., Pitsi, T., Siksna, I., Thorsdottir, I., &amp; Trolle, E. (2023). </w:t>
      </w:r>
      <w:r w:rsidRPr="00B910BD">
        <w:rPr>
          <w:i/>
        </w:rPr>
        <w:t>Nordic Nutrition Recommendations 2023</w:t>
      </w:r>
      <w:r w:rsidRPr="00B910BD">
        <w:t xml:space="preserve">. </w:t>
      </w:r>
      <w:hyperlink r:id="rId263" w:history="1">
        <w:r w:rsidRPr="00B910BD">
          <w:rPr>
            <w:rStyle w:val="Hyperlink"/>
          </w:rPr>
          <w:t>https://doi.org/10.6027/nord2023-003</w:t>
        </w:r>
      </w:hyperlink>
      <w:r w:rsidRPr="00B910BD">
        <w:t xml:space="preserve"> </w:t>
      </w:r>
    </w:p>
    <w:p w14:paraId="6AC438C9" w14:textId="09D3F456" w:rsidR="00B910BD" w:rsidRPr="00B910BD" w:rsidRDefault="00B910BD" w:rsidP="00B910BD">
      <w:pPr>
        <w:pStyle w:val="EndNoteBibliography"/>
        <w:spacing w:after="0"/>
        <w:ind w:left="720" w:hanging="720"/>
      </w:pPr>
      <w:r w:rsidRPr="00B910BD">
        <w:t xml:space="preserve">Bolton, K. A., Webster, J., Dunford, E. K., Jan, S., Woodward, M., Bolam, B., Neal, B., Trieu, K., Reimers, J., Armstrong, S., Nowson, C., &amp; Grimes, C. (2020). Sources of dietary sodium and implications for a statewide salt reduction initiative in Victoria, Australia. </w:t>
      </w:r>
      <w:r w:rsidRPr="00B910BD">
        <w:rPr>
          <w:i/>
        </w:rPr>
        <w:t>Br J Nutr</w:t>
      </w:r>
      <w:r w:rsidRPr="00B910BD">
        <w:t>,</w:t>
      </w:r>
      <w:r w:rsidRPr="00B910BD">
        <w:rPr>
          <w:i/>
        </w:rPr>
        <w:t xml:space="preserve"> 123</w:t>
      </w:r>
      <w:r w:rsidRPr="00B910BD">
        <w:t xml:space="preserve">(10), 1165-1175. </w:t>
      </w:r>
      <w:hyperlink r:id="rId264" w:history="1">
        <w:r w:rsidRPr="00B910BD">
          <w:rPr>
            <w:rStyle w:val="Hyperlink"/>
          </w:rPr>
          <w:t>https://doi.org/10.1017/s000711452000032x</w:t>
        </w:r>
      </w:hyperlink>
      <w:r w:rsidRPr="00B910BD">
        <w:t xml:space="preserve"> </w:t>
      </w:r>
    </w:p>
    <w:p w14:paraId="6B408D3E" w14:textId="05B1EA91" w:rsidR="00B910BD" w:rsidRPr="00B910BD" w:rsidRDefault="00B910BD" w:rsidP="00B910BD">
      <w:pPr>
        <w:pStyle w:val="EndNoteBibliography"/>
        <w:spacing w:after="0"/>
        <w:ind w:left="720" w:hanging="720"/>
      </w:pPr>
      <w:r w:rsidRPr="00B910BD">
        <w:t xml:space="preserve">Boorman, J., Cunningham, J., Mackerras, D. (2008). </w:t>
      </w:r>
      <w:r w:rsidRPr="00B910BD">
        <w:rPr>
          <w:i/>
        </w:rPr>
        <w:t>Salt Intake from Processed Food and Discretionary Use in Australia</w:t>
      </w:r>
      <w:r w:rsidRPr="00B910BD">
        <w:t xml:space="preserve">. ACT, Australia: FSANZ Retrieved from </w:t>
      </w:r>
      <w:hyperlink r:id="rId265" w:history="1">
        <w:r w:rsidRPr="00B910BD">
          <w:rPr>
            <w:rStyle w:val="Hyperlink"/>
          </w:rPr>
          <w:t>https://www.foodstandards.gov.au/sites/default/files/consumer/nutrition/salthowmuch/Documents/Salt_Intake_5.pdf</w:t>
        </w:r>
      </w:hyperlink>
    </w:p>
    <w:p w14:paraId="20BB457D" w14:textId="56BF4F19" w:rsidR="00B910BD" w:rsidRPr="00B910BD" w:rsidRDefault="00B910BD" w:rsidP="00B910BD">
      <w:pPr>
        <w:pStyle w:val="EndNoteBibliography"/>
        <w:spacing w:after="0"/>
        <w:ind w:left="720" w:hanging="720"/>
      </w:pPr>
      <w:r w:rsidRPr="00B910BD">
        <w:t xml:space="preserve">Butte, N. F., Garza, C., Johnson, C. A., Smith, E. O., &amp; Nichols, B. L. (1984). Longitudinal changes in milk composition of mothers delivering preterm and term infants. </w:t>
      </w:r>
      <w:r w:rsidRPr="00B910BD">
        <w:rPr>
          <w:i/>
        </w:rPr>
        <w:t>Early Hum Dev</w:t>
      </w:r>
      <w:r w:rsidRPr="00B910BD">
        <w:t>,</w:t>
      </w:r>
      <w:r w:rsidRPr="00B910BD">
        <w:rPr>
          <w:i/>
        </w:rPr>
        <w:t xml:space="preserve"> 9</w:t>
      </w:r>
      <w:r w:rsidRPr="00B910BD">
        <w:t xml:space="preserve">(2), 153-162. </w:t>
      </w:r>
      <w:hyperlink r:id="rId266" w:history="1">
        <w:r w:rsidRPr="00B910BD">
          <w:rPr>
            <w:rStyle w:val="Hyperlink"/>
          </w:rPr>
          <w:t>https://doi.org/10.1016/0378-3782(84)90096-3</w:t>
        </w:r>
      </w:hyperlink>
      <w:r w:rsidRPr="00B910BD">
        <w:t xml:space="preserve"> </w:t>
      </w:r>
    </w:p>
    <w:p w14:paraId="00AC87C2" w14:textId="0AC46B79" w:rsidR="00B910BD" w:rsidRPr="00B910BD" w:rsidRDefault="00B910BD" w:rsidP="00B910BD">
      <w:pPr>
        <w:pStyle w:val="EndNoteBibliography"/>
        <w:spacing w:after="0"/>
        <w:ind w:left="720" w:hanging="720"/>
      </w:pPr>
      <w:r w:rsidRPr="00B910BD">
        <w:t xml:space="preserve">Campbell, N. R. C., He, F. J., Tan, M., Cappuccio, F. P., Neal, B., Woodward, M., Cogswell, M. E., McLean, R., Arcand, J., MacGregor, G., Whelton, P., Jula, A., L'Abbe, M. R., Cobb, L. K., &amp; Lackland, D. T. (2019). The International Consortium for Quality Research on Dietary Sodium/Salt (TRUE) position statement on the use of 24-hour, spot, and short duration (&lt;24 hours) timed urine collections to assess dietary sodium intake. </w:t>
      </w:r>
      <w:r w:rsidRPr="00B910BD">
        <w:rPr>
          <w:i/>
        </w:rPr>
        <w:t>J Clin Hypertens (Greenwich)</w:t>
      </w:r>
      <w:r w:rsidRPr="00B910BD">
        <w:t>,</w:t>
      </w:r>
      <w:r w:rsidRPr="00B910BD">
        <w:rPr>
          <w:i/>
        </w:rPr>
        <w:t xml:space="preserve"> 21</w:t>
      </w:r>
      <w:r w:rsidRPr="00B910BD">
        <w:t xml:space="preserve">(6), 700-709. </w:t>
      </w:r>
      <w:hyperlink r:id="rId267" w:history="1">
        <w:r w:rsidRPr="00B910BD">
          <w:rPr>
            <w:rStyle w:val="Hyperlink"/>
          </w:rPr>
          <w:t>https://doi.org/10.1111/jch.13551</w:t>
        </w:r>
      </w:hyperlink>
      <w:r w:rsidRPr="00B910BD">
        <w:t xml:space="preserve"> </w:t>
      </w:r>
    </w:p>
    <w:p w14:paraId="4B6401D5" w14:textId="77777777" w:rsidR="00B910BD" w:rsidRPr="00B910BD" w:rsidRDefault="00B910BD" w:rsidP="00B910BD">
      <w:pPr>
        <w:pStyle w:val="EndNoteBibliography"/>
        <w:spacing w:after="0"/>
        <w:ind w:left="720" w:hanging="720"/>
      </w:pPr>
      <w:r w:rsidRPr="00B910BD">
        <w:t>Carley Grimes. (2026). Unpublished analysis of 2016-17 data supplied in correspondence. In N. P. Team (Ed.).</w:t>
      </w:r>
    </w:p>
    <w:p w14:paraId="0467D0CA" w14:textId="1667E4C6" w:rsidR="00B910BD" w:rsidRPr="00B910BD" w:rsidRDefault="00B910BD" w:rsidP="00B910BD">
      <w:pPr>
        <w:pStyle w:val="EndNoteBibliography"/>
        <w:spacing w:after="0"/>
        <w:ind w:left="720" w:hanging="720"/>
      </w:pPr>
      <w:r w:rsidRPr="00B910BD">
        <w:t xml:space="preserve">Chen, X., &amp; Wang, Y. (2008). Tracking of blood pressure from childhood to adulthood: a systematic review and meta-regression analysis. </w:t>
      </w:r>
      <w:r w:rsidRPr="00B910BD">
        <w:rPr>
          <w:i/>
        </w:rPr>
        <w:t>Circulation</w:t>
      </w:r>
      <w:r w:rsidRPr="00B910BD">
        <w:t>,</w:t>
      </w:r>
      <w:r w:rsidRPr="00B910BD">
        <w:rPr>
          <w:i/>
        </w:rPr>
        <w:t xml:space="preserve"> 117</w:t>
      </w:r>
      <w:r w:rsidRPr="00B910BD">
        <w:t xml:space="preserve">(25), 3171-3180. </w:t>
      </w:r>
      <w:hyperlink r:id="rId268" w:history="1">
        <w:r w:rsidRPr="00B910BD">
          <w:rPr>
            <w:rStyle w:val="Hyperlink"/>
          </w:rPr>
          <w:t>https://doi.org/10.1161/circulationaha.107.730366</w:t>
        </w:r>
      </w:hyperlink>
      <w:r w:rsidRPr="00B910BD">
        <w:t xml:space="preserve"> </w:t>
      </w:r>
    </w:p>
    <w:p w14:paraId="5207CE3D" w14:textId="42C622AA" w:rsidR="00B910BD" w:rsidRPr="00B910BD" w:rsidRDefault="00B910BD" w:rsidP="00B910BD">
      <w:pPr>
        <w:pStyle w:val="EndNoteBibliography"/>
        <w:spacing w:after="0"/>
        <w:ind w:left="720" w:hanging="720"/>
      </w:pPr>
      <w:r w:rsidRPr="00B910BD">
        <w:t xml:space="preserve">Cheng, J., Thorndike, A. N., &amp; Yi, S. (2025). Racial and Ethnic Differences in Sodium Sources and Sodium Reduction Behaviors Among US Adults: NHANES 2017 to 2020 Prepandemic. </w:t>
      </w:r>
      <w:r w:rsidRPr="00B910BD">
        <w:rPr>
          <w:i/>
        </w:rPr>
        <w:t>Journal of the American Heart Association</w:t>
      </w:r>
      <w:r w:rsidRPr="00B910BD">
        <w:t>,</w:t>
      </w:r>
      <w:r w:rsidRPr="00B910BD">
        <w:rPr>
          <w:i/>
        </w:rPr>
        <w:t xml:space="preserve"> 14</w:t>
      </w:r>
      <w:r w:rsidRPr="00B910BD">
        <w:t xml:space="preserve">(11), e037997. </w:t>
      </w:r>
      <w:hyperlink r:id="rId269" w:history="1">
        <w:r w:rsidRPr="00B910BD">
          <w:rPr>
            <w:rStyle w:val="Hyperlink"/>
          </w:rPr>
          <w:t>https://doi.org/10.1161/JAHA.124.037997</w:t>
        </w:r>
      </w:hyperlink>
      <w:r w:rsidRPr="00B910BD">
        <w:t xml:space="preserve"> </w:t>
      </w:r>
    </w:p>
    <w:p w14:paraId="60E11F0B" w14:textId="248C70BE" w:rsidR="00B910BD" w:rsidRPr="00B910BD" w:rsidRDefault="00B910BD" w:rsidP="00B910BD">
      <w:pPr>
        <w:pStyle w:val="EndNoteBibliography"/>
        <w:spacing w:after="0"/>
        <w:ind w:left="720" w:hanging="720"/>
      </w:pPr>
      <w:r w:rsidRPr="00B910BD">
        <w:t xml:space="preserve">Chong, M. F.-F. (2022). Dietary trajectories through the life course: opportunities and challenges. </w:t>
      </w:r>
      <w:r w:rsidRPr="00B910BD">
        <w:rPr>
          <w:i/>
        </w:rPr>
        <w:t>British Journal of Nutrition</w:t>
      </w:r>
      <w:r w:rsidRPr="00B910BD">
        <w:t>,</w:t>
      </w:r>
      <w:r w:rsidRPr="00B910BD">
        <w:rPr>
          <w:i/>
        </w:rPr>
        <w:t xml:space="preserve"> 128</w:t>
      </w:r>
      <w:r w:rsidRPr="00B910BD">
        <w:t xml:space="preserve">(1), 154-159. </w:t>
      </w:r>
      <w:hyperlink r:id="rId270" w:history="1">
        <w:r w:rsidRPr="00B910BD">
          <w:rPr>
            <w:rStyle w:val="Hyperlink"/>
          </w:rPr>
          <w:t>https://doi.org/10.1017/S0007114522001295</w:t>
        </w:r>
      </w:hyperlink>
      <w:r w:rsidRPr="00B910BD">
        <w:t xml:space="preserve"> </w:t>
      </w:r>
    </w:p>
    <w:p w14:paraId="7599A6A1" w14:textId="6471C494" w:rsidR="00B910BD" w:rsidRPr="00B910BD" w:rsidRDefault="00B910BD" w:rsidP="00B910BD">
      <w:pPr>
        <w:pStyle w:val="EndNoteBibliography"/>
        <w:spacing w:after="0"/>
        <w:ind w:left="720" w:hanging="720"/>
      </w:pPr>
      <w:r w:rsidRPr="00B910BD">
        <w:t xml:space="preserve">Consolazio, C. F., Matoush, L. O., Nelson, R. A., Harding, R. S., &amp; Canham, J. E. (1963). Excretion of Sodium, Potassium, Magnesium and Iron in Human Sweat and the Relation of Each to Balance and Requirements. </w:t>
      </w:r>
      <w:r w:rsidRPr="00B910BD">
        <w:rPr>
          <w:i/>
        </w:rPr>
        <w:t>The Journal of nutrition</w:t>
      </w:r>
      <w:r w:rsidRPr="00B910BD">
        <w:t>,</w:t>
      </w:r>
      <w:r w:rsidRPr="00B910BD">
        <w:rPr>
          <w:i/>
        </w:rPr>
        <w:t xml:space="preserve"> 79</w:t>
      </w:r>
      <w:r w:rsidRPr="00B910BD">
        <w:t xml:space="preserve">(4), 407-415. </w:t>
      </w:r>
      <w:hyperlink r:id="rId271" w:history="1">
        <w:r w:rsidRPr="00B910BD">
          <w:rPr>
            <w:rStyle w:val="Hyperlink"/>
          </w:rPr>
          <w:t>https://doi.org/https://doi.org/10.1093/jn/79.4.407</w:t>
        </w:r>
      </w:hyperlink>
      <w:r w:rsidRPr="00B910BD">
        <w:t xml:space="preserve"> </w:t>
      </w:r>
    </w:p>
    <w:p w14:paraId="23C19F0F" w14:textId="41EBF895" w:rsidR="00B910BD" w:rsidRPr="00B910BD" w:rsidRDefault="00B910BD" w:rsidP="00B910BD">
      <w:pPr>
        <w:pStyle w:val="EndNoteBibliography"/>
        <w:spacing w:after="0"/>
        <w:ind w:left="720" w:hanging="720"/>
      </w:pPr>
      <w:r w:rsidRPr="00B910BD">
        <w:t xml:space="preserve">Coyle, D., Shahid, M., Dunford, E., Ni Mhurchu, C., McKee, S., Santos, M., Popkin, B., Trieu, K., Marklund, M., Neal, B., &amp; Wu, J. (2021). Estimating the potential impact of Australia's reformulation programme on households' sodium purchases. </w:t>
      </w:r>
      <w:r w:rsidRPr="00B910BD">
        <w:rPr>
          <w:i/>
        </w:rPr>
        <w:t>BMJ Nutrition, Prevention &amp; Health</w:t>
      </w:r>
      <w:r w:rsidRPr="00B910BD">
        <w:t>,</w:t>
      </w:r>
      <w:r w:rsidRPr="00B910BD">
        <w:rPr>
          <w:i/>
        </w:rPr>
        <w:t xml:space="preserve"> 4</w:t>
      </w:r>
      <w:r w:rsidRPr="00B910BD">
        <w:t xml:space="preserve">(1). </w:t>
      </w:r>
      <w:hyperlink r:id="rId272" w:history="1">
        <w:r w:rsidRPr="00B910BD">
          <w:rPr>
            <w:rStyle w:val="Hyperlink"/>
          </w:rPr>
          <w:t>https://doi.org/10.1136/bmjnph-2020-000173</w:t>
        </w:r>
      </w:hyperlink>
      <w:r w:rsidRPr="00B910BD">
        <w:t xml:space="preserve"> </w:t>
      </w:r>
    </w:p>
    <w:p w14:paraId="1870F09E" w14:textId="4AEC24E4" w:rsidR="00B910BD" w:rsidRPr="00B910BD" w:rsidRDefault="00B910BD" w:rsidP="00B910BD">
      <w:pPr>
        <w:pStyle w:val="EndNoteBibliography"/>
        <w:spacing w:after="0"/>
        <w:ind w:left="720" w:hanging="720"/>
      </w:pPr>
      <w:r w:rsidRPr="00B910BD">
        <w:t xml:space="preserve">Coyle, D. H., Huang, L., Hu, M., Ghammachi, N., Pettigrew, S., &amp; Wu, J. H. Y. (2025). Assessing the impact of voluntary food reformulation targets: Mid-point assessment of Australia’s voluntary sodium and saturated fat reduction policy. </w:t>
      </w:r>
      <w:r w:rsidRPr="00B910BD">
        <w:rPr>
          <w:i/>
        </w:rPr>
        <w:t>European journal of clinical nutrition</w:t>
      </w:r>
      <w:r w:rsidRPr="00B910BD">
        <w:t>,</w:t>
      </w:r>
      <w:r w:rsidRPr="00B910BD">
        <w:rPr>
          <w:i/>
        </w:rPr>
        <w:t xml:space="preserve"> 79</w:t>
      </w:r>
      <w:r w:rsidRPr="00B910BD">
        <w:t xml:space="preserve">(10), 1060-1065. </w:t>
      </w:r>
      <w:hyperlink r:id="rId273" w:history="1">
        <w:r w:rsidRPr="00B910BD">
          <w:rPr>
            <w:rStyle w:val="Hyperlink"/>
          </w:rPr>
          <w:t>https://doi.org/10.1038/s41430-025-01647-5</w:t>
        </w:r>
      </w:hyperlink>
      <w:r w:rsidRPr="00B910BD">
        <w:t xml:space="preserve"> </w:t>
      </w:r>
    </w:p>
    <w:p w14:paraId="274F51EB" w14:textId="77777777" w:rsidR="00B910BD" w:rsidRPr="00B910BD" w:rsidRDefault="00B910BD" w:rsidP="00B910BD">
      <w:pPr>
        <w:pStyle w:val="EndNoteBibliography"/>
        <w:spacing w:after="0"/>
        <w:ind w:left="720" w:hanging="720"/>
      </w:pPr>
      <w:r w:rsidRPr="00B910BD">
        <w:t xml:space="preserve">de Mestral, C., Mayén, A.-L., Petrovic, D., Marques-Vidal, P., Bochud, M., &amp; Stringhini, S. (2017). Socioeconomic determinants of sodium intake in adult populations of high-income countries: a systematic review and meta-analysis. </w:t>
      </w:r>
      <w:r w:rsidRPr="00B910BD">
        <w:rPr>
          <w:i/>
        </w:rPr>
        <w:t>American journal of public health</w:t>
      </w:r>
      <w:r w:rsidRPr="00B910BD">
        <w:t>,</w:t>
      </w:r>
      <w:r w:rsidRPr="00B910BD">
        <w:rPr>
          <w:i/>
        </w:rPr>
        <w:t xml:space="preserve"> 107</w:t>
      </w:r>
      <w:r w:rsidRPr="00B910BD">
        <w:t xml:space="preserve">(4), e1-e12. </w:t>
      </w:r>
    </w:p>
    <w:p w14:paraId="078DC04C" w14:textId="5C92B096" w:rsidR="00B910BD" w:rsidRPr="00B910BD" w:rsidRDefault="00B910BD" w:rsidP="00B910BD">
      <w:pPr>
        <w:pStyle w:val="EndNoteBibliography"/>
        <w:spacing w:after="0"/>
        <w:ind w:left="720" w:hanging="720"/>
      </w:pPr>
      <w:r w:rsidRPr="00B910BD">
        <w:lastRenderedPageBreak/>
        <w:t xml:space="preserve">Department of Health. (2017). </w:t>
      </w:r>
      <w:r w:rsidRPr="00B910BD">
        <w:rPr>
          <w:i/>
        </w:rPr>
        <w:t>Australian and New Zealand Nutrient Reference Values for Sodium: Supporting Document 2 - Statistical Analyses</w:t>
      </w:r>
      <w:r w:rsidRPr="00B910BD">
        <w:t xml:space="preserve">.  Retrieved from </w:t>
      </w:r>
      <w:hyperlink r:id="rId274" w:history="1">
        <w:r w:rsidRPr="00B910BD">
          <w:rPr>
            <w:rStyle w:val="Hyperlink"/>
          </w:rPr>
          <w:t>https://www.eatforhealth.gov.au/sites/default/files/2022-10/2017_Sodium_SD2_-_Statistical_Analyses.pdf</w:t>
        </w:r>
      </w:hyperlink>
    </w:p>
    <w:p w14:paraId="04ABB477" w14:textId="4B9B5F1E" w:rsidR="00B910BD" w:rsidRPr="00B910BD" w:rsidRDefault="00B910BD" w:rsidP="00B910BD">
      <w:pPr>
        <w:pStyle w:val="EndNoteBibliography"/>
        <w:spacing w:after="0"/>
        <w:ind w:left="720" w:hanging="720"/>
      </w:pPr>
      <w:r w:rsidRPr="00B910BD">
        <w:t xml:space="preserve">Dewey, K. G., Finley, D. A., &amp; Lönnerdal, B. (1984). Breast milk volume and composition during late lactation (7-20 months). </w:t>
      </w:r>
      <w:r w:rsidRPr="00B910BD">
        <w:rPr>
          <w:i/>
        </w:rPr>
        <w:t>J Pediatr Gastroenterol Nutr</w:t>
      </w:r>
      <w:r w:rsidRPr="00B910BD">
        <w:t>,</w:t>
      </w:r>
      <w:r w:rsidRPr="00B910BD">
        <w:rPr>
          <w:i/>
        </w:rPr>
        <w:t xml:space="preserve"> 3</w:t>
      </w:r>
      <w:r w:rsidRPr="00B910BD">
        <w:t xml:space="preserve">(5), 713-720. </w:t>
      </w:r>
      <w:hyperlink r:id="rId275" w:history="1">
        <w:r w:rsidRPr="00B910BD">
          <w:rPr>
            <w:rStyle w:val="Hyperlink"/>
          </w:rPr>
          <w:t>https://doi.org/10.1097/00005176-198411000-00014</w:t>
        </w:r>
      </w:hyperlink>
      <w:r w:rsidRPr="00B910BD">
        <w:t xml:space="preserve"> </w:t>
      </w:r>
    </w:p>
    <w:p w14:paraId="2E9E197F" w14:textId="78F19EE2" w:rsidR="00B910BD" w:rsidRPr="00B910BD" w:rsidRDefault="00B910BD" w:rsidP="00B910BD">
      <w:pPr>
        <w:pStyle w:val="EndNoteBibliography"/>
        <w:spacing w:after="0"/>
        <w:ind w:left="720" w:hanging="720"/>
      </w:pPr>
      <w:r w:rsidRPr="00B910BD">
        <w:t xml:space="preserve">Dewey, K. G., &amp; Lönnerdal, B. (1983). Milk and nutrient intake of breast-fed infants from 1 to 6 months: relation to growth and fatness. </w:t>
      </w:r>
      <w:r w:rsidRPr="00B910BD">
        <w:rPr>
          <w:i/>
        </w:rPr>
        <w:t>J Pediatr Gastroenterol Nutr</w:t>
      </w:r>
      <w:r w:rsidRPr="00B910BD">
        <w:t>,</w:t>
      </w:r>
      <w:r w:rsidRPr="00B910BD">
        <w:rPr>
          <w:i/>
        </w:rPr>
        <w:t xml:space="preserve"> 2</w:t>
      </w:r>
      <w:r w:rsidRPr="00B910BD">
        <w:t xml:space="preserve">(3), 497-506. </w:t>
      </w:r>
      <w:hyperlink r:id="rId276" w:history="1">
        <w:r w:rsidRPr="00B910BD">
          <w:rPr>
            <w:rStyle w:val="Hyperlink"/>
          </w:rPr>
          <w:t>https://doi.org/10.1097/00005176-198302030-00018</w:t>
        </w:r>
      </w:hyperlink>
      <w:r w:rsidRPr="00B910BD">
        <w:t xml:space="preserve"> </w:t>
      </w:r>
    </w:p>
    <w:p w14:paraId="722DD3B0" w14:textId="15CBAB38" w:rsidR="00B910BD" w:rsidRPr="00B910BD" w:rsidRDefault="00B910BD" w:rsidP="00B910BD">
      <w:pPr>
        <w:pStyle w:val="EndNoteBibliography"/>
        <w:spacing w:after="0"/>
        <w:ind w:left="720" w:hanging="720"/>
      </w:pPr>
      <w:r w:rsidRPr="00B910BD">
        <w:t xml:space="preserve">Earle, N. J., Poppe, K. K., Doughty, R. N., Rolleston, A., Kerr, A. J., &amp; Legget, M. E. (2018). Clinical Characteristics and Burden of Risk Factors Among Patients With Early Onset Acute Coronary Syndromes: The ANZACS-QI New Zealand National Cohort (ANZACS-QI 17). </w:t>
      </w:r>
      <w:r w:rsidRPr="00B910BD">
        <w:rPr>
          <w:i/>
        </w:rPr>
        <w:t>Heart Lung Circ</w:t>
      </w:r>
      <w:r w:rsidRPr="00B910BD">
        <w:t>,</w:t>
      </w:r>
      <w:r w:rsidRPr="00B910BD">
        <w:rPr>
          <w:i/>
        </w:rPr>
        <w:t xml:space="preserve"> 27</w:t>
      </w:r>
      <w:r w:rsidRPr="00B910BD">
        <w:t xml:space="preserve">(5), 568-575. </w:t>
      </w:r>
      <w:hyperlink r:id="rId277" w:history="1">
        <w:r w:rsidRPr="00B910BD">
          <w:rPr>
            <w:rStyle w:val="Hyperlink"/>
          </w:rPr>
          <w:t>https://doi.org/10.1016/j.hlc.2017.04.010</w:t>
        </w:r>
      </w:hyperlink>
      <w:r w:rsidRPr="00B910BD">
        <w:t xml:space="preserve"> </w:t>
      </w:r>
    </w:p>
    <w:p w14:paraId="70AA3806" w14:textId="7C49CDEA" w:rsidR="00B910BD" w:rsidRPr="00B910BD" w:rsidRDefault="00B910BD" w:rsidP="00B910BD">
      <w:pPr>
        <w:pStyle w:val="EndNoteBibliography"/>
        <w:spacing w:after="0"/>
        <w:ind w:left="720" w:hanging="720"/>
      </w:pPr>
      <w:r w:rsidRPr="00B910BD">
        <w:t xml:space="preserve">Elijovich, F., Weinberger, M. H., Anderson, C. A., Appel, L. J., Bursztyn, M., Cook, N. R., Dart, R. A., Newton-Cheh, C. H., Sacks, F. M., &amp; Laffer, C. L. (2016). Salt Sensitivity of Blood Pressure: A Scientific Statement From the American Heart Association. </w:t>
      </w:r>
      <w:r w:rsidRPr="00B910BD">
        <w:rPr>
          <w:i/>
        </w:rPr>
        <w:t>Hypertension</w:t>
      </w:r>
      <w:r w:rsidRPr="00B910BD">
        <w:t>,</w:t>
      </w:r>
      <w:r w:rsidRPr="00B910BD">
        <w:rPr>
          <w:i/>
        </w:rPr>
        <w:t xml:space="preserve"> 68</w:t>
      </w:r>
      <w:r w:rsidRPr="00B910BD">
        <w:t xml:space="preserve">(3), e7-e46. </w:t>
      </w:r>
      <w:hyperlink r:id="rId278" w:history="1">
        <w:r w:rsidRPr="00B910BD">
          <w:rPr>
            <w:rStyle w:val="Hyperlink"/>
          </w:rPr>
          <w:t>https://doi.org/10.1161/hyp.0000000000000047</w:t>
        </w:r>
      </w:hyperlink>
      <w:r w:rsidRPr="00B910BD">
        <w:t xml:space="preserve"> </w:t>
      </w:r>
    </w:p>
    <w:p w14:paraId="6D3C10D0" w14:textId="7E084021" w:rsidR="00B910BD" w:rsidRPr="00B910BD" w:rsidRDefault="00B910BD" w:rsidP="00B910BD">
      <w:pPr>
        <w:pStyle w:val="EndNoteBibliography"/>
        <w:spacing w:after="0"/>
        <w:ind w:left="720" w:hanging="720"/>
      </w:pPr>
      <w:r w:rsidRPr="00B910BD">
        <w:t xml:space="preserve">Ereman, R. R., Lönnerdal, B., &amp; Dewey, K. G. (1987). Maternal sodium intake does not affect postprandial sodium concentrations in human milk. </w:t>
      </w:r>
      <w:r w:rsidRPr="00B910BD">
        <w:rPr>
          <w:i/>
        </w:rPr>
        <w:t>J Nutr</w:t>
      </w:r>
      <w:r w:rsidRPr="00B910BD">
        <w:t>,</w:t>
      </w:r>
      <w:r w:rsidRPr="00B910BD">
        <w:rPr>
          <w:i/>
        </w:rPr>
        <w:t xml:space="preserve"> 117</w:t>
      </w:r>
      <w:r w:rsidRPr="00B910BD">
        <w:t xml:space="preserve">(6), 1154-1157. </w:t>
      </w:r>
      <w:hyperlink r:id="rId279" w:history="1">
        <w:r w:rsidRPr="00B910BD">
          <w:rPr>
            <w:rStyle w:val="Hyperlink"/>
          </w:rPr>
          <w:t>https://doi.org/10.1093/jn/117.6.1154</w:t>
        </w:r>
      </w:hyperlink>
      <w:r w:rsidRPr="00B910BD">
        <w:t xml:space="preserve"> </w:t>
      </w:r>
    </w:p>
    <w:p w14:paraId="46FB7C39" w14:textId="4B43B3F0" w:rsidR="00B910BD" w:rsidRPr="00B910BD" w:rsidRDefault="00B910BD" w:rsidP="00B910BD">
      <w:pPr>
        <w:pStyle w:val="EndNoteBibliography"/>
        <w:spacing w:after="0"/>
        <w:ind w:left="720" w:hanging="720"/>
      </w:pPr>
      <w:r w:rsidRPr="00B910BD">
        <w:t xml:space="preserve">European Food Safety Authority. (2019). Dietary Reference Values for Sodium. </w:t>
      </w:r>
      <w:r w:rsidRPr="00B910BD">
        <w:rPr>
          <w:i/>
        </w:rPr>
        <w:t>EFSA Journal</w:t>
      </w:r>
      <w:r w:rsidRPr="00B910BD">
        <w:t>,</w:t>
      </w:r>
      <w:r w:rsidRPr="00B910BD">
        <w:rPr>
          <w:i/>
        </w:rPr>
        <w:t xml:space="preserve"> 17</w:t>
      </w:r>
      <w:r w:rsidRPr="00B910BD">
        <w:t xml:space="preserve">(9), :e05778. </w:t>
      </w:r>
      <w:hyperlink r:id="rId280" w:history="1">
        <w:r w:rsidRPr="00B910BD">
          <w:rPr>
            <w:rStyle w:val="Hyperlink"/>
          </w:rPr>
          <w:t>https://doi.org/https://doi.org/10.2903/j.efsa.2019.5778</w:t>
        </w:r>
      </w:hyperlink>
      <w:r w:rsidRPr="00B910BD">
        <w:t xml:space="preserve"> </w:t>
      </w:r>
    </w:p>
    <w:p w14:paraId="333262BC" w14:textId="6E147751" w:rsidR="00B910BD" w:rsidRPr="00B910BD" w:rsidRDefault="00B910BD" w:rsidP="00B910BD">
      <w:pPr>
        <w:pStyle w:val="EndNoteBibliography"/>
        <w:spacing w:after="0"/>
        <w:ind w:left="720" w:hanging="720"/>
      </w:pPr>
      <w:r w:rsidRPr="00B910BD">
        <w:t xml:space="preserve">Eyles, H., Grey, J., Jiang, Y., Umali, E., McLean, R., Te Morenga, L., Neal, B., Rodgers, A., Doughty, R. N., &amp; Ni Mhurchu, C. (2023). Effectiveness of a Sodium-Reduction Smartphone App and Reduced-Sodium Salt to Lower Sodium Intake in Adults With Hypertension: Findings From the Salt Alternatives Randomized Controlled Trial [Original Paper]. </w:t>
      </w:r>
      <w:r w:rsidRPr="00B910BD">
        <w:rPr>
          <w:i/>
        </w:rPr>
        <w:t>JMIR Mhealth Uhealth</w:t>
      </w:r>
      <w:r w:rsidRPr="00B910BD">
        <w:t>,</w:t>
      </w:r>
      <w:r w:rsidRPr="00B910BD">
        <w:rPr>
          <w:i/>
        </w:rPr>
        <w:t xml:space="preserve"> 11</w:t>
      </w:r>
      <w:r w:rsidRPr="00B910BD">
        <w:t xml:space="preserve">, e43675. </w:t>
      </w:r>
      <w:hyperlink r:id="rId281" w:history="1">
        <w:r w:rsidRPr="00B910BD">
          <w:rPr>
            <w:rStyle w:val="Hyperlink"/>
          </w:rPr>
          <w:t>https://doi.org/10.2196/43675</w:t>
        </w:r>
      </w:hyperlink>
      <w:r w:rsidRPr="00B910BD">
        <w:t xml:space="preserve"> </w:t>
      </w:r>
    </w:p>
    <w:p w14:paraId="1E51C05C" w14:textId="3C5F1B85" w:rsidR="00B910BD" w:rsidRPr="00B910BD" w:rsidRDefault="00B910BD" w:rsidP="00B910BD">
      <w:pPr>
        <w:pStyle w:val="EndNoteBibliography"/>
        <w:spacing w:after="0"/>
        <w:ind w:left="720" w:hanging="720"/>
      </w:pPr>
      <w:r w:rsidRPr="00B910BD">
        <w:t xml:space="preserve">Eyles, H., Rapson, J., Fuavao, K., Jiang, Y., Kira, G., Wall, C., Skeaff, S., Grimes, C., &amp; McLean, R. M. (2025). Sodium, potassium and iodine excretion and blood pressure of New Zealand school children: a cross-sectional study and comparison with recommended guidelines. </w:t>
      </w:r>
      <w:r w:rsidRPr="00B910BD">
        <w:rPr>
          <w:i/>
        </w:rPr>
        <w:t>BMJ Nutr Prev Health</w:t>
      </w:r>
      <w:r w:rsidRPr="00B910BD">
        <w:t>,</w:t>
      </w:r>
      <w:r w:rsidRPr="00B910BD">
        <w:rPr>
          <w:i/>
        </w:rPr>
        <w:t xml:space="preserve"> 8</w:t>
      </w:r>
      <w:r w:rsidRPr="00B910BD">
        <w:t xml:space="preserve">(2), e001255. </w:t>
      </w:r>
      <w:hyperlink r:id="rId282" w:history="1">
        <w:r w:rsidRPr="00B910BD">
          <w:rPr>
            <w:rStyle w:val="Hyperlink"/>
          </w:rPr>
          <w:t>https://doi.org/10.1136/bmjnph-2025-001255</w:t>
        </w:r>
      </w:hyperlink>
      <w:r w:rsidRPr="00B910BD">
        <w:t xml:space="preserve"> </w:t>
      </w:r>
    </w:p>
    <w:p w14:paraId="6B38A7EB" w14:textId="4DBAD7F6" w:rsidR="00B910BD" w:rsidRPr="00B910BD" w:rsidRDefault="00B910BD" w:rsidP="00B910BD">
      <w:pPr>
        <w:pStyle w:val="EndNoteBibliography"/>
        <w:spacing w:after="0"/>
        <w:ind w:left="720" w:hanging="720"/>
      </w:pPr>
      <w:r w:rsidRPr="00B910BD">
        <w:t xml:space="preserve">Eyles, H. C., &amp; Cleghorn, C. L. (2022). Dietary sources of sodium across the diverse New Zealand adult population. </w:t>
      </w:r>
      <w:r w:rsidRPr="00B910BD">
        <w:rPr>
          <w:i/>
        </w:rPr>
        <w:t>Prev Med Rep</w:t>
      </w:r>
      <w:r w:rsidRPr="00B910BD">
        <w:t>,</w:t>
      </w:r>
      <w:r w:rsidRPr="00B910BD">
        <w:rPr>
          <w:i/>
        </w:rPr>
        <w:t xml:space="preserve"> 29</w:t>
      </w:r>
      <w:r w:rsidRPr="00B910BD">
        <w:t xml:space="preserve">, 101927. </w:t>
      </w:r>
      <w:hyperlink r:id="rId283" w:history="1">
        <w:r w:rsidRPr="00B910BD">
          <w:rPr>
            <w:rStyle w:val="Hyperlink"/>
          </w:rPr>
          <w:t>https://doi.org/10.1016/j.pmedr.2022.101927</w:t>
        </w:r>
      </w:hyperlink>
      <w:r w:rsidRPr="00B910BD">
        <w:t xml:space="preserve"> </w:t>
      </w:r>
    </w:p>
    <w:p w14:paraId="3D694C3D" w14:textId="5E5F54F5" w:rsidR="00B910BD" w:rsidRPr="00B910BD" w:rsidRDefault="00B910BD" w:rsidP="00B910BD">
      <w:pPr>
        <w:pStyle w:val="EndNoteBibliography"/>
        <w:spacing w:after="0"/>
        <w:ind w:left="720" w:hanging="720"/>
      </w:pPr>
      <w:r w:rsidRPr="00B910BD">
        <w:t xml:space="preserve">Eyles, H. C., &amp; Cleghorn, C. L. (2022). Dietary sources of sodium across the diverse New Zealand adult population. </w:t>
      </w:r>
      <w:r w:rsidRPr="00B910BD">
        <w:rPr>
          <w:i/>
        </w:rPr>
        <w:t>Preventive Medicine Reports</w:t>
      </w:r>
      <w:r w:rsidRPr="00B910BD">
        <w:t>,</w:t>
      </w:r>
      <w:r w:rsidRPr="00B910BD">
        <w:rPr>
          <w:i/>
        </w:rPr>
        <w:t xml:space="preserve"> 29</w:t>
      </w:r>
      <w:r w:rsidRPr="00B910BD">
        <w:t xml:space="preserve">, 101927. </w:t>
      </w:r>
      <w:hyperlink r:id="rId284" w:history="1">
        <w:r w:rsidRPr="00B910BD">
          <w:rPr>
            <w:rStyle w:val="Hyperlink"/>
          </w:rPr>
          <w:t>https://doi.org/https://doi.org/10.1016/j.pmedr.2022.101927</w:t>
        </w:r>
      </w:hyperlink>
      <w:r w:rsidRPr="00B910BD">
        <w:t xml:space="preserve"> </w:t>
      </w:r>
    </w:p>
    <w:p w14:paraId="08B3F239" w14:textId="13EC39FF" w:rsidR="00B910BD" w:rsidRPr="00B910BD" w:rsidRDefault="00B910BD" w:rsidP="00B910BD">
      <w:pPr>
        <w:pStyle w:val="EndNoteBibliography"/>
        <w:spacing w:after="0"/>
        <w:ind w:left="720" w:hanging="720"/>
      </w:pPr>
      <w:r w:rsidRPr="00B910BD">
        <w:t xml:space="preserve">Filippi, J. P. D., Kaanders, H., &amp; Hoftnan, A. (1981). SODIUM IN DIET AND MILK OF BREASTFEEDING WOMEN. </w:t>
      </w:r>
      <w:r w:rsidRPr="00B910BD">
        <w:rPr>
          <w:i/>
        </w:rPr>
        <w:t>Acta Paediatrica</w:t>
      </w:r>
      <w:r w:rsidRPr="00B910BD">
        <w:t>,</w:t>
      </w:r>
      <w:r w:rsidRPr="00B910BD">
        <w:rPr>
          <w:i/>
        </w:rPr>
        <w:t xml:space="preserve"> 70</w:t>
      </w:r>
      <w:r w:rsidRPr="00B910BD">
        <w:t xml:space="preserve">(3), 417-418. </w:t>
      </w:r>
      <w:hyperlink r:id="rId285" w:history="1">
        <w:r w:rsidRPr="00B910BD">
          <w:rPr>
            <w:rStyle w:val="Hyperlink"/>
          </w:rPr>
          <w:t>https://doi.org/https://doi.org/10.1111/j.1651-2227.1981.tb16576.x</w:t>
        </w:r>
      </w:hyperlink>
      <w:r w:rsidRPr="00B910BD">
        <w:t xml:space="preserve"> </w:t>
      </w:r>
    </w:p>
    <w:p w14:paraId="76AE1884" w14:textId="12D11A00" w:rsidR="00B910BD" w:rsidRPr="00B910BD" w:rsidRDefault="00B910BD" w:rsidP="00B910BD">
      <w:pPr>
        <w:pStyle w:val="EndNoteBibliography"/>
        <w:spacing w:after="0"/>
        <w:ind w:left="720" w:hanging="720"/>
      </w:pPr>
      <w:r w:rsidRPr="00B910BD">
        <w:t xml:space="preserve">Filippini, T., Malavolti, M., Whelton, P. K., Naska, A., Orsini, N., &amp; Vinceti, M. (2021a). Blood Pressure Effects of Sodium Reduction: Dose-Response Meta-Analysis of Experimental Studies. </w:t>
      </w:r>
      <w:r w:rsidRPr="00B910BD">
        <w:rPr>
          <w:i/>
        </w:rPr>
        <w:t>Circulation</w:t>
      </w:r>
      <w:r w:rsidRPr="00B910BD">
        <w:t>,</w:t>
      </w:r>
      <w:r w:rsidRPr="00B910BD">
        <w:rPr>
          <w:i/>
        </w:rPr>
        <w:t xml:space="preserve"> 143</w:t>
      </w:r>
      <w:r w:rsidRPr="00B910BD">
        <w:t xml:space="preserve">(16), 1542-1567. </w:t>
      </w:r>
      <w:hyperlink r:id="rId286" w:history="1">
        <w:r w:rsidRPr="00B910BD">
          <w:rPr>
            <w:rStyle w:val="Hyperlink"/>
          </w:rPr>
          <w:t>https://doi.org/10.1161/circulationaha.120.050371</w:t>
        </w:r>
      </w:hyperlink>
      <w:r w:rsidRPr="00B910BD">
        <w:t xml:space="preserve"> </w:t>
      </w:r>
    </w:p>
    <w:p w14:paraId="2E33516A" w14:textId="2FB4E596" w:rsidR="00B910BD" w:rsidRPr="00B910BD" w:rsidRDefault="00B910BD" w:rsidP="00B910BD">
      <w:pPr>
        <w:pStyle w:val="EndNoteBibliography"/>
        <w:spacing w:after="0"/>
        <w:ind w:left="720" w:hanging="720"/>
      </w:pPr>
      <w:r w:rsidRPr="00B910BD">
        <w:t xml:space="preserve">Filippini, T., Malavolti, M., Whelton, P. K., Naska, A., Orsini, N., &amp; Vinceti, M. (2021b). Blood Pressure Effects of Sodium Reduction:Dose-Response Meta-Analysis of Experimental Studies. </w:t>
      </w:r>
      <w:r w:rsidRPr="00B910BD">
        <w:rPr>
          <w:i/>
        </w:rPr>
        <w:t>Circulation</w:t>
      </w:r>
      <w:r w:rsidRPr="00B910BD">
        <w:t>,</w:t>
      </w:r>
      <w:r w:rsidRPr="00B910BD">
        <w:rPr>
          <w:i/>
        </w:rPr>
        <w:t xml:space="preserve"> 143</w:t>
      </w:r>
      <w:r w:rsidRPr="00B910BD">
        <w:t xml:space="preserve">(16), 1542-1567. </w:t>
      </w:r>
      <w:hyperlink r:id="rId287" w:history="1">
        <w:r w:rsidRPr="00B910BD">
          <w:rPr>
            <w:rStyle w:val="Hyperlink"/>
          </w:rPr>
          <w:t>https://doi.org/doi:10.1161/CIRCULATIONAHA.120.050371</w:t>
        </w:r>
      </w:hyperlink>
      <w:r w:rsidRPr="00B910BD">
        <w:t xml:space="preserve"> </w:t>
      </w:r>
    </w:p>
    <w:p w14:paraId="22081132" w14:textId="28805AF8" w:rsidR="00B910BD" w:rsidRPr="00B910BD" w:rsidRDefault="00B910BD" w:rsidP="00B910BD">
      <w:pPr>
        <w:pStyle w:val="EndNoteBibliography"/>
        <w:spacing w:after="0"/>
        <w:ind w:left="720" w:hanging="720"/>
      </w:pPr>
      <w:r w:rsidRPr="00B910BD">
        <w:t xml:space="preserve">Filippini, T., Malavolti, M., Whelton, P. K., &amp; Vinceti, M. (2022). Sodium Intake and Risk of Hypertension: A Systematic Review and Dose-Response Meta-analysis of Observational Cohort Studies. </w:t>
      </w:r>
      <w:r w:rsidRPr="00B910BD">
        <w:rPr>
          <w:i/>
        </w:rPr>
        <w:t>Curr Hypertens Rep</w:t>
      </w:r>
      <w:r w:rsidRPr="00B910BD">
        <w:t>,</w:t>
      </w:r>
      <w:r w:rsidRPr="00B910BD">
        <w:rPr>
          <w:i/>
        </w:rPr>
        <w:t xml:space="preserve"> 24</w:t>
      </w:r>
      <w:r w:rsidRPr="00B910BD">
        <w:t xml:space="preserve">(5), 133-144. </w:t>
      </w:r>
      <w:hyperlink r:id="rId288" w:history="1">
        <w:r w:rsidRPr="00B910BD">
          <w:rPr>
            <w:rStyle w:val="Hyperlink"/>
          </w:rPr>
          <w:t>https://doi.org/10.1007/s11906-022-01182-9</w:t>
        </w:r>
      </w:hyperlink>
      <w:r w:rsidRPr="00B910BD">
        <w:t xml:space="preserve"> </w:t>
      </w:r>
    </w:p>
    <w:p w14:paraId="15708936" w14:textId="01D7CB88" w:rsidR="00B910BD" w:rsidRPr="00B910BD" w:rsidRDefault="00B910BD" w:rsidP="00B910BD">
      <w:pPr>
        <w:pStyle w:val="EndNoteBibliography"/>
        <w:spacing w:after="0"/>
        <w:ind w:left="720" w:hanging="720"/>
      </w:pPr>
      <w:r w:rsidRPr="00B910BD">
        <w:t xml:space="preserve">Food Standards Australia and New Zealand. (2023). </w:t>
      </w:r>
      <w:r w:rsidRPr="00B910BD">
        <w:rPr>
          <w:i/>
        </w:rPr>
        <w:t>Processed foods</w:t>
      </w:r>
      <w:r w:rsidRPr="00B910BD">
        <w:t xml:space="preserve">. FSANZ Retrieved from </w:t>
      </w:r>
      <w:hyperlink r:id="rId289" w:history="1">
        <w:r w:rsidRPr="00B910BD">
          <w:rPr>
            <w:rStyle w:val="Hyperlink"/>
          </w:rPr>
          <w:t>https://www.foodstandards.gov.au/consumer/our-safe-food-supply/processed-foods</w:t>
        </w:r>
      </w:hyperlink>
    </w:p>
    <w:p w14:paraId="2F4E827C" w14:textId="40416211" w:rsidR="00B910BD" w:rsidRPr="00B910BD" w:rsidRDefault="00B910BD" w:rsidP="00B910BD">
      <w:pPr>
        <w:pStyle w:val="EndNoteBibliography"/>
        <w:spacing w:after="0"/>
        <w:ind w:left="720" w:hanging="720"/>
      </w:pPr>
      <w:r w:rsidRPr="00B910BD">
        <w:lastRenderedPageBreak/>
        <w:t xml:space="preserve">Food Standards Australia and New Zealand. (2026, 22/04/2026). </w:t>
      </w:r>
      <w:r w:rsidRPr="00B910BD">
        <w:rPr>
          <w:i/>
        </w:rPr>
        <w:t>Health Star Rating System</w:t>
      </w:r>
      <w:r w:rsidRPr="00B910BD">
        <w:t xml:space="preserve">. Retrieved 09/07/2026 from </w:t>
      </w:r>
      <w:hyperlink r:id="rId290" w:history="1">
        <w:r w:rsidRPr="00B910BD">
          <w:rPr>
            <w:rStyle w:val="Hyperlink"/>
          </w:rPr>
          <w:t>https://www.foodstandards.gov.au/consumer/labelling/Health-Star-Rating-System</w:t>
        </w:r>
      </w:hyperlink>
    </w:p>
    <w:p w14:paraId="109326E2" w14:textId="6E78E6C8" w:rsidR="00B910BD" w:rsidRPr="00B910BD" w:rsidRDefault="00B910BD" w:rsidP="00B910BD">
      <w:pPr>
        <w:pStyle w:val="EndNoteBibliography"/>
        <w:spacing w:after="0"/>
        <w:ind w:left="720" w:hanging="720"/>
      </w:pPr>
      <w:r w:rsidRPr="00B910BD">
        <w:t xml:space="preserve">Food Standards Australia New Zealand, F. (2015, 26/11/2025). </w:t>
      </w:r>
      <w:r w:rsidRPr="00B910BD">
        <w:rPr>
          <w:i/>
        </w:rPr>
        <w:t>How much sodium do Australians eat?</w:t>
      </w:r>
      <w:r w:rsidRPr="00B910BD">
        <w:t xml:space="preserve"> FSANZ. Retrieved 31/03/2026 from </w:t>
      </w:r>
      <w:hyperlink r:id="rId291" w:history="1">
        <w:r w:rsidRPr="00B910BD">
          <w:rPr>
            <w:rStyle w:val="Hyperlink"/>
          </w:rPr>
          <w:t>https://www.foodstandards.gov.au/consumer/nutrition/sodium-salt/salthowmuch</w:t>
        </w:r>
      </w:hyperlink>
    </w:p>
    <w:p w14:paraId="46935B02" w14:textId="6801746D" w:rsidR="00B910BD" w:rsidRPr="00B910BD" w:rsidRDefault="00B910BD" w:rsidP="00B910BD">
      <w:pPr>
        <w:pStyle w:val="EndNoteBibliography"/>
        <w:spacing w:after="0"/>
        <w:ind w:left="720" w:hanging="720"/>
      </w:pPr>
      <w:r w:rsidRPr="00B910BD">
        <w:t xml:space="preserve">Food Standards Australia New Zealand, F. (2019, 26/11/2025). </w:t>
      </w:r>
      <w:r w:rsidRPr="00B910BD">
        <w:rPr>
          <w:i/>
        </w:rPr>
        <w:t>How much sodium is in Australian foods?</w:t>
      </w:r>
      <w:r w:rsidRPr="00B910BD">
        <w:t xml:space="preserve"> FSANZ. Retrieved 31/03/2026 from </w:t>
      </w:r>
      <w:hyperlink r:id="rId292" w:history="1">
        <w:r w:rsidRPr="00B910BD">
          <w:rPr>
            <w:rStyle w:val="Hyperlink"/>
          </w:rPr>
          <w:t>https://www.foodstandards.gov.au/consumer/nutrition/sodium-salt/sodiumhowmuch</w:t>
        </w:r>
      </w:hyperlink>
    </w:p>
    <w:p w14:paraId="472945CD" w14:textId="672B291C" w:rsidR="00B910BD" w:rsidRPr="00B910BD" w:rsidRDefault="00B910BD" w:rsidP="00B910BD">
      <w:pPr>
        <w:pStyle w:val="EndNoteBibliography"/>
        <w:spacing w:after="0"/>
        <w:ind w:left="720" w:hanging="720"/>
      </w:pPr>
      <w:r w:rsidRPr="00B910BD">
        <w:t xml:space="preserve">Fuavao, K., Mhurchu, C. N., Swinburn, B., Nosa, V., de Castro, T. G., &amp; Eyles, H. (2023). The Major Packaged Food Sources of Sodium for New Zealand Children and Trends in the Sodium Content of Commonly Consumed Foods. </w:t>
      </w:r>
      <w:r w:rsidRPr="00B910BD">
        <w:rPr>
          <w:i/>
        </w:rPr>
        <w:t>Medical Sciences Forum</w:t>
      </w:r>
      <w:r w:rsidRPr="00B910BD">
        <w:t>,</w:t>
      </w:r>
      <w:r w:rsidRPr="00B910BD">
        <w:rPr>
          <w:i/>
        </w:rPr>
        <w:t xml:space="preserve"> 18</w:t>
      </w:r>
      <w:r w:rsidRPr="00B910BD">
        <w:t xml:space="preserve">(1), 24. </w:t>
      </w:r>
      <w:hyperlink r:id="rId293" w:history="1">
        <w:r w:rsidRPr="00B910BD">
          <w:rPr>
            <w:rStyle w:val="Hyperlink"/>
          </w:rPr>
          <w:t>https://www.mdpi.com/2673-9992/18/1/24</w:t>
        </w:r>
      </w:hyperlink>
      <w:r w:rsidRPr="00B910BD">
        <w:t xml:space="preserve"> </w:t>
      </w:r>
    </w:p>
    <w:p w14:paraId="44BFFC6C" w14:textId="114F5E80" w:rsidR="00B910BD" w:rsidRPr="00B910BD" w:rsidRDefault="00B910BD" w:rsidP="00B910BD">
      <w:pPr>
        <w:pStyle w:val="EndNoteBibliography"/>
        <w:spacing w:after="0"/>
        <w:ind w:left="720" w:hanging="720"/>
      </w:pPr>
      <w:r w:rsidRPr="00B910BD">
        <w:t xml:space="preserve">Garza, C., Johnson, C. A., Smith, E. O., &amp; Nichols, B. L. (1983). Changes in the nutrient composition of human milk during gradual weaning. </w:t>
      </w:r>
      <w:r w:rsidRPr="00B910BD">
        <w:rPr>
          <w:i/>
        </w:rPr>
        <w:t>Am J Clin Nutr</w:t>
      </w:r>
      <w:r w:rsidRPr="00B910BD">
        <w:t>,</w:t>
      </w:r>
      <w:r w:rsidRPr="00B910BD">
        <w:rPr>
          <w:i/>
        </w:rPr>
        <w:t xml:space="preserve"> 37</w:t>
      </w:r>
      <w:r w:rsidRPr="00B910BD">
        <w:t xml:space="preserve">(1), 61-65. </w:t>
      </w:r>
      <w:hyperlink r:id="rId294" w:history="1">
        <w:r w:rsidRPr="00B910BD">
          <w:rPr>
            <w:rStyle w:val="Hyperlink"/>
          </w:rPr>
          <w:t>https://doi.org/10.1093/ajcn/37.1.61</w:t>
        </w:r>
      </w:hyperlink>
      <w:r w:rsidRPr="00B910BD">
        <w:t xml:space="preserve"> </w:t>
      </w:r>
    </w:p>
    <w:p w14:paraId="3BE26594" w14:textId="54240D11" w:rsidR="00B910BD" w:rsidRPr="00B910BD" w:rsidRDefault="00B910BD" w:rsidP="00B910BD">
      <w:pPr>
        <w:pStyle w:val="EndNoteBibliography"/>
        <w:spacing w:after="0"/>
        <w:ind w:left="720" w:hanging="720"/>
      </w:pPr>
      <w:r w:rsidRPr="00B910BD">
        <w:t xml:space="preserve">Gomes, S., Mackay, S., Gerritsen, S., &amp; Eyles, H. (2024). The development of sodium reduction targets for New Zealand fast foods and a comparison with the current sodium contents of products. </w:t>
      </w:r>
      <w:r w:rsidRPr="00B910BD">
        <w:rPr>
          <w:i/>
        </w:rPr>
        <w:t>J Nutr Sci</w:t>
      </w:r>
      <w:r w:rsidRPr="00B910BD">
        <w:t>,</w:t>
      </w:r>
      <w:r w:rsidRPr="00B910BD">
        <w:rPr>
          <w:i/>
        </w:rPr>
        <w:t xml:space="preserve"> 13</w:t>
      </w:r>
      <w:r w:rsidRPr="00B910BD">
        <w:t xml:space="preserve">, e41. </w:t>
      </w:r>
      <w:hyperlink r:id="rId295" w:history="1">
        <w:r w:rsidRPr="00B910BD">
          <w:rPr>
            <w:rStyle w:val="Hyperlink"/>
          </w:rPr>
          <w:t>https://doi.org/10.1017/jns.2024.35</w:t>
        </w:r>
      </w:hyperlink>
      <w:r w:rsidRPr="00B910BD">
        <w:t xml:space="preserve"> </w:t>
      </w:r>
    </w:p>
    <w:p w14:paraId="0F0FA432" w14:textId="721141C0" w:rsidR="00B910BD" w:rsidRPr="00B910BD" w:rsidRDefault="00B910BD" w:rsidP="00B910BD">
      <w:pPr>
        <w:pStyle w:val="EndNoteBibliography"/>
        <w:spacing w:after="0"/>
        <w:ind w:left="720" w:hanging="720"/>
      </w:pPr>
      <w:r w:rsidRPr="00B910BD">
        <w:t xml:space="preserve">Graudal, N. A., Hubeck-Graudal, T., &amp; Jurgens, G. (2020). Effects of low sodium diet versus high sodium diet on blood pressure, renin, aldosterone, catecholamines, cholesterol, and triglyceride. </w:t>
      </w:r>
      <w:r w:rsidRPr="00B910BD">
        <w:rPr>
          <w:i/>
        </w:rPr>
        <w:t>Cochrane Database Syst Rev</w:t>
      </w:r>
      <w:r w:rsidRPr="00B910BD">
        <w:t>,</w:t>
      </w:r>
      <w:r w:rsidRPr="00B910BD">
        <w:rPr>
          <w:i/>
        </w:rPr>
        <w:t xml:space="preserve"> 12</w:t>
      </w:r>
      <w:r w:rsidRPr="00B910BD">
        <w:t xml:space="preserve">(12), Cd004022. </w:t>
      </w:r>
      <w:hyperlink r:id="rId296" w:history="1">
        <w:r w:rsidRPr="00B910BD">
          <w:rPr>
            <w:rStyle w:val="Hyperlink"/>
          </w:rPr>
          <w:t>https://doi.org/10.1002/14651858.CD004022.pub5</w:t>
        </w:r>
      </w:hyperlink>
      <w:r w:rsidRPr="00B910BD">
        <w:t xml:space="preserve"> </w:t>
      </w:r>
    </w:p>
    <w:p w14:paraId="2CAFE82E" w14:textId="50F8FDC1" w:rsidR="00B910BD" w:rsidRPr="00B910BD" w:rsidRDefault="00B910BD" w:rsidP="00B910BD">
      <w:pPr>
        <w:pStyle w:val="EndNoteBibliography"/>
        <w:spacing w:after="0"/>
        <w:ind w:left="720" w:hanging="720"/>
      </w:pPr>
      <w:r w:rsidRPr="00B910BD">
        <w:t xml:space="preserve">Grimes, C. A., Bolton, K. A., Trieu, K., Reimers, J., Armstrong, S., Bolam, B., Beckford, K., Santos, J. A., Rosewarne, E., Dunford, E. K., Jan, S., Webster, J., Neal, B., Nowson, C., &amp; Woodward, M. (2023). Evaluation of a state-wide intervention on salt intake in primary schoolchildren living in Victoria, Australia. </w:t>
      </w:r>
      <w:r w:rsidRPr="00B910BD">
        <w:rPr>
          <w:i/>
        </w:rPr>
        <w:t>Public Health Nutr</w:t>
      </w:r>
      <w:r w:rsidRPr="00B910BD">
        <w:t>,</w:t>
      </w:r>
      <w:r w:rsidRPr="00B910BD">
        <w:rPr>
          <w:i/>
        </w:rPr>
        <w:t xml:space="preserve"> 26</w:t>
      </w:r>
      <w:r w:rsidRPr="00B910BD">
        <w:t xml:space="preserve">(7), 1456-1467. </w:t>
      </w:r>
      <w:hyperlink r:id="rId297" w:history="1">
        <w:r w:rsidRPr="00B910BD">
          <w:rPr>
            <w:rStyle w:val="Hyperlink"/>
          </w:rPr>
          <w:t>https://doi.org/10.1017/s1368980023000332</w:t>
        </w:r>
      </w:hyperlink>
      <w:r w:rsidRPr="00B910BD">
        <w:t xml:space="preserve"> </w:t>
      </w:r>
    </w:p>
    <w:p w14:paraId="776C9D43" w14:textId="5F5C6FBB" w:rsidR="00B910BD" w:rsidRPr="00B910BD" w:rsidRDefault="00B910BD" w:rsidP="00B910BD">
      <w:pPr>
        <w:pStyle w:val="EndNoteBibliography"/>
        <w:spacing w:after="0"/>
        <w:ind w:left="720" w:hanging="720"/>
      </w:pPr>
      <w:r w:rsidRPr="00B910BD">
        <w:t xml:space="preserve">Grimes, C. A., Campbell, K. J., Riddell, L. J., &amp; Nowson, C. A. (2013). Is socioeconomic status associated with dietary sodium intake in Australian children? A cross-sectional study. </w:t>
      </w:r>
      <w:r w:rsidRPr="00B910BD">
        <w:rPr>
          <w:i/>
        </w:rPr>
        <w:t>BMJ Open</w:t>
      </w:r>
      <w:r w:rsidRPr="00B910BD">
        <w:t>,</w:t>
      </w:r>
      <w:r w:rsidRPr="00B910BD">
        <w:rPr>
          <w:i/>
        </w:rPr>
        <w:t xml:space="preserve"> 3</w:t>
      </w:r>
      <w:r w:rsidRPr="00B910BD">
        <w:t xml:space="preserve">(2). </w:t>
      </w:r>
      <w:hyperlink r:id="rId298" w:history="1">
        <w:r w:rsidRPr="00B910BD">
          <w:rPr>
            <w:rStyle w:val="Hyperlink"/>
          </w:rPr>
          <w:t>https://doi.org/10.1136/bmjopen-2012-002106</w:t>
        </w:r>
      </w:hyperlink>
      <w:r w:rsidRPr="00B910BD">
        <w:t xml:space="preserve"> </w:t>
      </w:r>
    </w:p>
    <w:p w14:paraId="470E459A" w14:textId="22AD1615" w:rsidR="00B910BD" w:rsidRPr="00B910BD" w:rsidRDefault="00B910BD" w:rsidP="00B910BD">
      <w:pPr>
        <w:pStyle w:val="EndNoteBibliography"/>
        <w:spacing w:after="0"/>
        <w:ind w:left="720" w:hanging="720"/>
      </w:pPr>
      <w:r w:rsidRPr="00B910BD">
        <w:t xml:space="preserve">Grimes, C. A., Kelley, S. J., Stanley, S., Bolam, B., Webster, J., Khokhar, D., &amp; Nowson, C. A. (2017). Knowledge, attitudes and behaviours related to dietary salt among adults in the state of Victoria, Australia 2015. </w:t>
      </w:r>
      <w:r w:rsidRPr="00B910BD">
        <w:rPr>
          <w:i/>
        </w:rPr>
        <w:t>BMC Public Health</w:t>
      </w:r>
      <w:r w:rsidRPr="00B910BD">
        <w:t>,</w:t>
      </w:r>
      <w:r w:rsidRPr="00B910BD">
        <w:rPr>
          <w:i/>
        </w:rPr>
        <w:t xml:space="preserve"> 17</w:t>
      </w:r>
      <w:r w:rsidRPr="00B910BD">
        <w:t xml:space="preserve">(1), 532. </w:t>
      </w:r>
      <w:hyperlink r:id="rId299" w:history="1">
        <w:r w:rsidRPr="00B910BD">
          <w:rPr>
            <w:rStyle w:val="Hyperlink"/>
          </w:rPr>
          <w:t>https://doi.org/10.1186/s12889-017-4451-0</w:t>
        </w:r>
      </w:hyperlink>
      <w:r w:rsidRPr="00B910BD">
        <w:t xml:space="preserve"> </w:t>
      </w:r>
    </w:p>
    <w:p w14:paraId="123BB240" w14:textId="67F8AC01" w:rsidR="00B910BD" w:rsidRPr="00B910BD" w:rsidRDefault="00B910BD" w:rsidP="00B910BD">
      <w:pPr>
        <w:pStyle w:val="EndNoteBibliography"/>
        <w:spacing w:after="0"/>
        <w:ind w:left="720" w:hanging="720"/>
      </w:pPr>
      <w:r w:rsidRPr="00B910BD">
        <w:t xml:space="preserve">Grimes, C. A., Lim, K., Clark, L., Woodward, M., Szymlek-Gay, E. A., Zheng, M., Nowson, C. A., &amp; Bolton, K. A. (2026). Sodium, potassium and blood pressure in Australian schoolchildren: exploring differences by sex and weight status-a cross-sectional study. </w:t>
      </w:r>
      <w:r w:rsidRPr="00B910BD">
        <w:rPr>
          <w:i/>
        </w:rPr>
        <w:t>Hypertens Res</w:t>
      </w:r>
      <w:r w:rsidRPr="00B910BD">
        <w:t>,</w:t>
      </w:r>
      <w:r w:rsidRPr="00B910BD">
        <w:rPr>
          <w:i/>
        </w:rPr>
        <w:t xml:space="preserve"> 49</w:t>
      </w:r>
      <w:r w:rsidRPr="00B910BD">
        <w:t xml:space="preserve">(3), 938-948. </w:t>
      </w:r>
      <w:hyperlink r:id="rId300" w:history="1">
        <w:r w:rsidRPr="00B910BD">
          <w:rPr>
            <w:rStyle w:val="Hyperlink"/>
          </w:rPr>
          <w:t>https://doi.org/10.1038/s41440-025-02489-1</w:t>
        </w:r>
      </w:hyperlink>
      <w:r w:rsidRPr="00B910BD">
        <w:t xml:space="preserve"> </w:t>
      </w:r>
    </w:p>
    <w:p w14:paraId="757F6208" w14:textId="34B45C48" w:rsidR="00B910BD" w:rsidRPr="00B910BD" w:rsidRDefault="00B910BD" w:rsidP="00B910BD">
      <w:pPr>
        <w:pStyle w:val="EndNoteBibliography"/>
        <w:spacing w:after="0"/>
        <w:ind w:left="720" w:hanging="720"/>
      </w:pPr>
      <w:r w:rsidRPr="00B910BD">
        <w:t xml:space="preserve">Grimes, C. A., Riddell, L. J., Campbell, K. J., Beckford, K., Baxter, J. R., He, F. J., &amp; Nowson, C. A. (2017). Dietary intake and sources of sodium and potassium among Australian schoolchildren: results from the cross-sectional Salt and Other Nutrients in Children (SONIC) study. </w:t>
      </w:r>
      <w:r w:rsidRPr="00B910BD">
        <w:rPr>
          <w:i/>
        </w:rPr>
        <w:t>BMJ Open</w:t>
      </w:r>
      <w:r w:rsidRPr="00B910BD">
        <w:t>,</w:t>
      </w:r>
      <w:r w:rsidRPr="00B910BD">
        <w:rPr>
          <w:i/>
        </w:rPr>
        <w:t xml:space="preserve"> 7</w:t>
      </w:r>
      <w:r w:rsidRPr="00B910BD">
        <w:t xml:space="preserve">(10), e016639. </w:t>
      </w:r>
      <w:hyperlink r:id="rId301" w:history="1">
        <w:r w:rsidRPr="00B910BD">
          <w:rPr>
            <w:rStyle w:val="Hyperlink"/>
          </w:rPr>
          <w:t>https://doi.org/10.1136/bmjopen-2017-016639</w:t>
        </w:r>
      </w:hyperlink>
      <w:r w:rsidRPr="00B910BD">
        <w:t xml:space="preserve"> </w:t>
      </w:r>
    </w:p>
    <w:p w14:paraId="151A0A31" w14:textId="49B9F15E" w:rsidR="00B910BD" w:rsidRPr="00B910BD" w:rsidRDefault="00B910BD" w:rsidP="00B910BD">
      <w:pPr>
        <w:pStyle w:val="EndNoteBibliography"/>
        <w:spacing w:after="0"/>
        <w:ind w:left="720" w:hanging="720"/>
      </w:pPr>
      <w:r w:rsidRPr="00B910BD">
        <w:t xml:space="preserve">Gross, S. J., David, R. J., Bauman, L., &amp; Tomarelli, R. M. (1980). Nutritional composition of milk produced by mothers delivering preterm. </w:t>
      </w:r>
      <w:r w:rsidRPr="00B910BD">
        <w:rPr>
          <w:i/>
        </w:rPr>
        <w:t>J Pediatr</w:t>
      </w:r>
      <w:r w:rsidRPr="00B910BD">
        <w:t>,</w:t>
      </w:r>
      <w:r w:rsidRPr="00B910BD">
        <w:rPr>
          <w:i/>
        </w:rPr>
        <w:t xml:space="preserve"> 96</w:t>
      </w:r>
      <w:r w:rsidRPr="00B910BD">
        <w:t xml:space="preserve">(4), 641-644. </w:t>
      </w:r>
      <w:hyperlink r:id="rId302" w:history="1">
        <w:r w:rsidRPr="00B910BD">
          <w:rPr>
            <w:rStyle w:val="Hyperlink"/>
          </w:rPr>
          <w:t>https://doi.org/10.1016/s0022-3476(80)80729-3</w:t>
        </w:r>
      </w:hyperlink>
      <w:r w:rsidRPr="00B910BD">
        <w:t xml:space="preserve"> </w:t>
      </w:r>
    </w:p>
    <w:p w14:paraId="2917FFF0" w14:textId="1DB0B3C2" w:rsidR="00B910BD" w:rsidRPr="00B910BD" w:rsidRDefault="00B910BD" w:rsidP="00B910BD">
      <w:pPr>
        <w:pStyle w:val="EndNoteBibliography"/>
        <w:spacing w:after="0"/>
        <w:ind w:left="720" w:hanging="720"/>
      </w:pPr>
      <w:r w:rsidRPr="00B910BD">
        <w:t xml:space="preserve">He, F. J., &amp; MacGregor, G. A. (2010). Reducing population salt intake worldwide: from evidence to implementation. </w:t>
      </w:r>
      <w:r w:rsidRPr="00B910BD">
        <w:rPr>
          <w:i/>
        </w:rPr>
        <w:t>Prog Cardiovasc Dis</w:t>
      </w:r>
      <w:r w:rsidRPr="00B910BD">
        <w:t>,</w:t>
      </w:r>
      <w:r w:rsidRPr="00B910BD">
        <w:rPr>
          <w:i/>
        </w:rPr>
        <w:t xml:space="preserve"> 52</w:t>
      </w:r>
      <w:r w:rsidRPr="00B910BD">
        <w:t xml:space="preserve">(5), 363-382. </w:t>
      </w:r>
      <w:hyperlink r:id="rId303" w:history="1">
        <w:r w:rsidRPr="00B910BD">
          <w:rPr>
            <w:rStyle w:val="Hyperlink"/>
          </w:rPr>
          <w:t>https://doi.org/10.1016/j.pcad.2009.12.006</w:t>
        </w:r>
      </w:hyperlink>
      <w:r w:rsidRPr="00B910BD">
        <w:t xml:space="preserve"> </w:t>
      </w:r>
    </w:p>
    <w:p w14:paraId="1075D4E3" w14:textId="1F247357" w:rsidR="00B910BD" w:rsidRPr="00B910BD" w:rsidRDefault="00B910BD" w:rsidP="00B910BD">
      <w:pPr>
        <w:pStyle w:val="EndNoteBibliography"/>
        <w:spacing w:after="0"/>
        <w:ind w:left="720" w:hanging="720"/>
      </w:pPr>
      <w:r w:rsidRPr="00B910BD">
        <w:t xml:space="preserve">Health, Q. D. o. (2022). </w:t>
      </w:r>
      <w:r w:rsidRPr="00B910BD">
        <w:rPr>
          <w:i/>
        </w:rPr>
        <w:t>Nutrition Standards for Meals and Menus (Revised 2022)</w:t>
      </w:r>
      <w:r w:rsidRPr="00B910BD">
        <w:t xml:space="preserve">. Statewide Foodservices Network Retrieved from </w:t>
      </w:r>
      <w:hyperlink r:id="rId304" w:anchor=":~:text=The%20Queensland%20Health%20Nutrition%20Standards,the%20nutritional%20requirements%20of%20patients%2C" w:history="1">
        <w:r w:rsidR="00F314C3">
          <w:rPr>
            <w:rStyle w:val="Hyperlink"/>
          </w:rPr>
          <w:t>https://www.health.qld.gov.au/__data/assets/pdf_file/0030/156288/qh-nutrition-standards.pdf#:~:text=TheQueenslandHealthNutritionStandards,thenutritionalrequirementsofpatientsC</w:t>
        </w:r>
      </w:hyperlink>
    </w:p>
    <w:p w14:paraId="7C249A67" w14:textId="3578A4A4" w:rsidR="00B910BD" w:rsidRPr="00B910BD" w:rsidRDefault="00B910BD" w:rsidP="00B910BD">
      <w:pPr>
        <w:pStyle w:val="EndNoteBibliography"/>
        <w:spacing w:after="0"/>
        <w:ind w:left="720" w:hanging="720"/>
      </w:pPr>
      <w:r w:rsidRPr="00B910BD">
        <w:t xml:space="preserve">Heer, M., Baisch, F., Kropp, J., Gerzer, R., &amp; Drummer, C. (2000). High dietary sodium chloride consumption may not induce body fluid retention in humans. </w:t>
      </w:r>
      <w:r w:rsidRPr="00B910BD">
        <w:rPr>
          <w:i/>
        </w:rPr>
        <w:t>Am J Physiol Renal Physiol</w:t>
      </w:r>
      <w:r w:rsidRPr="00B910BD">
        <w:t>,</w:t>
      </w:r>
      <w:r w:rsidRPr="00B910BD">
        <w:rPr>
          <w:i/>
        </w:rPr>
        <w:t xml:space="preserve"> 278</w:t>
      </w:r>
      <w:r w:rsidRPr="00B910BD">
        <w:t xml:space="preserve">(4), F585-595. </w:t>
      </w:r>
      <w:hyperlink r:id="rId305" w:history="1">
        <w:r w:rsidRPr="00B910BD">
          <w:rPr>
            <w:rStyle w:val="Hyperlink"/>
          </w:rPr>
          <w:t>https://doi.org/10.1152/ajprenal.2000.278.4.F585</w:t>
        </w:r>
      </w:hyperlink>
      <w:r w:rsidRPr="00B910BD">
        <w:t xml:space="preserve"> </w:t>
      </w:r>
    </w:p>
    <w:p w14:paraId="792E5BFD" w14:textId="4B3925CE" w:rsidR="00B910BD" w:rsidRPr="00B910BD" w:rsidRDefault="00B910BD" w:rsidP="00B910BD">
      <w:pPr>
        <w:pStyle w:val="EndNoteBibliography"/>
        <w:spacing w:after="0"/>
        <w:ind w:left="720" w:hanging="720"/>
      </w:pPr>
      <w:r w:rsidRPr="00B910BD">
        <w:lastRenderedPageBreak/>
        <w:t xml:space="preserve">Heer, M., Frings-Meuthen, P., Titze, J., Boschmann, M., Frisch, S., Baecker, N., &amp; Beck, L. (2009). Increasing sodium intake from a previous low or high intake affects water, electrolyte and acid-base balance differently. </w:t>
      </w:r>
      <w:r w:rsidRPr="00B910BD">
        <w:rPr>
          <w:i/>
        </w:rPr>
        <w:t>Br J Nutr</w:t>
      </w:r>
      <w:r w:rsidRPr="00B910BD">
        <w:t>,</w:t>
      </w:r>
      <w:r w:rsidRPr="00B910BD">
        <w:rPr>
          <w:i/>
        </w:rPr>
        <w:t xml:space="preserve"> 101</w:t>
      </w:r>
      <w:r w:rsidRPr="00B910BD">
        <w:t xml:space="preserve">(9), 1286-1294. </w:t>
      </w:r>
      <w:hyperlink r:id="rId306" w:history="1">
        <w:r w:rsidRPr="00B910BD">
          <w:rPr>
            <w:rStyle w:val="Hyperlink"/>
          </w:rPr>
          <w:t>https://doi.org/10.1017/s0007114508088041</w:t>
        </w:r>
      </w:hyperlink>
      <w:r w:rsidRPr="00B910BD">
        <w:t xml:space="preserve"> </w:t>
      </w:r>
    </w:p>
    <w:p w14:paraId="42471081" w14:textId="4199043A" w:rsidR="00B910BD" w:rsidRPr="00B910BD" w:rsidRDefault="00B910BD" w:rsidP="00B910BD">
      <w:pPr>
        <w:pStyle w:val="EndNoteBibliography"/>
        <w:spacing w:after="0"/>
        <w:ind w:left="720" w:hanging="720"/>
      </w:pPr>
      <w:r w:rsidRPr="00B910BD">
        <w:t xml:space="preserve">Hodson, E. M., &amp; Cooper, T. E. (2023). Altered dietary salt intake for preventing diabetic kidney disease and its progression. </w:t>
      </w:r>
      <w:r w:rsidRPr="00B910BD">
        <w:rPr>
          <w:i/>
        </w:rPr>
        <w:t>Cochrane Database Syst Rev</w:t>
      </w:r>
      <w:r w:rsidRPr="00B910BD">
        <w:t>,</w:t>
      </w:r>
      <w:r w:rsidRPr="00B910BD">
        <w:rPr>
          <w:i/>
        </w:rPr>
        <w:t xml:space="preserve"> 1</w:t>
      </w:r>
      <w:r w:rsidRPr="00B910BD">
        <w:t xml:space="preserve">(1), Cd006763. </w:t>
      </w:r>
      <w:hyperlink r:id="rId307" w:history="1">
        <w:r w:rsidRPr="00B910BD">
          <w:rPr>
            <w:rStyle w:val="Hyperlink"/>
          </w:rPr>
          <w:t>https://doi.org/10.1002/14651858.CD006763.pub3</w:t>
        </w:r>
      </w:hyperlink>
      <w:r w:rsidRPr="00B910BD">
        <w:t xml:space="preserve"> </w:t>
      </w:r>
    </w:p>
    <w:p w14:paraId="77D71297" w14:textId="08EBEAEB" w:rsidR="00B910BD" w:rsidRPr="00B910BD" w:rsidRDefault="00B910BD" w:rsidP="00B910BD">
      <w:pPr>
        <w:pStyle w:val="EndNoteBibliography"/>
        <w:spacing w:after="0"/>
        <w:ind w:left="720" w:hanging="720"/>
      </w:pPr>
      <w:r w:rsidRPr="00B910BD">
        <w:t xml:space="preserve">Holbrook, J. T., Patterson, K. Y., Bodner, J. E., Douglas, L. W., Veillon, C., Kelsay, J. L., Mertz, W., &amp; Smith, J. C., Jr. (1984). Sodium and potassium intake and balance in adults consuming self-selected diets. </w:t>
      </w:r>
      <w:r w:rsidRPr="00B910BD">
        <w:rPr>
          <w:i/>
        </w:rPr>
        <w:t>Am J Clin Nutr</w:t>
      </w:r>
      <w:r w:rsidRPr="00B910BD">
        <w:t>,</w:t>
      </w:r>
      <w:r w:rsidRPr="00B910BD">
        <w:rPr>
          <w:i/>
        </w:rPr>
        <w:t xml:space="preserve"> 40</w:t>
      </w:r>
      <w:r w:rsidRPr="00B910BD">
        <w:t xml:space="preserve">(4), 786-793. </w:t>
      </w:r>
      <w:hyperlink r:id="rId308" w:history="1">
        <w:r w:rsidRPr="00B910BD">
          <w:rPr>
            <w:rStyle w:val="Hyperlink"/>
          </w:rPr>
          <w:t>https://doi.org/10.1093/ajcn/40.4.786</w:t>
        </w:r>
      </w:hyperlink>
      <w:r w:rsidRPr="00B910BD">
        <w:t xml:space="preserve"> </w:t>
      </w:r>
    </w:p>
    <w:p w14:paraId="69ED716D" w14:textId="3CFF5D45" w:rsidR="00B910BD" w:rsidRPr="00B910BD" w:rsidRDefault="00B910BD" w:rsidP="00B910BD">
      <w:pPr>
        <w:pStyle w:val="EndNoteBibliography"/>
        <w:spacing w:after="0"/>
        <w:ind w:left="720" w:hanging="720"/>
      </w:pPr>
      <w:r w:rsidRPr="00B910BD">
        <w:t xml:space="preserve">Holt, C. (1993). Interrelationships of the concentrations of some ionic constituents of human milk and comparison with cow and goat milks. </w:t>
      </w:r>
      <w:r w:rsidRPr="00B910BD">
        <w:rPr>
          <w:i/>
        </w:rPr>
        <w:t>Comp Biochem Physiol Comp Physiol</w:t>
      </w:r>
      <w:r w:rsidRPr="00B910BD">
        <w:t>,</w:t>
      </w:r>
      <w:r w:rsidRPr="00B910BD">
        <w:rPr>
          <w:i/>
        </w:rPr>
        <w:t xml:space="preserve"> 104</w:t>
      </w:r>
      <w:r w:rsidRPr="00B910BD">
        <w:t xml:space="preserve">(1), 35-41. </w:t>
      </w:r>
      <w:hyperlink r:id="rId309" w:history="1">
        <w:r w:rsidRPr="00B910BD">
          <w:rPr>
            <w:rStyle w:val="Hyperlink"/>
          </w:rPr>
          <w:t>https://doi.org/10.1016/0300-9629(93)90005-o</w:t>
        </w:r>
      </w:hyperlink>
      <w:r w:rsidRPr="00B910BD">
        <w:t xml:space="preserve"> </w:t>
      </w:r>
    </w:p>
    <w:p w14:paraId="16114A54" w14:textId="4F2544DF" w:rsidR="00B910BD" w:rsidRPr="00B910BD" w:rsidRDefault="00B910BD" w:rsidP="00B910BD">
      <w:pPr>
        <w:pStyle w:val="EndNoteBibliography"/>
        <w:spacing w:after="0"/>
        <w:ind w:left="720" w:hanging="720"/>
      </w:pPr>
      <w:r w:rsidRPr="00B910BD">
        <w:t xml:space="preserve">Hörnell, A., &amp; Lagström, H. (2024). Infant feeding-a scoping review for Nordic Nutrition Recommendations 2023. </w:t>
      </w:r>
      <w:r w:rsidRPr="00B910BD">
        <w:rPr>
          <w:i/>
        </w:rPr>
        <w:t>Food Nutr Res</w:t>
      </w:r>
      <w:r w:rsidRPr="00B910BD">
        <w:t>,</w:t>
      </w:r>
      <w:r w:rsidRPr="00B910BD">
        <w:rPr>
          <w:i/>
        </w:rPr>
        <w:t xml:space="preserve"> 68</w:t>
      </w:r>
      <w:r w:rsidRPr="00B910BD">
        <w:t xml:space="preserve">. </w:t>
      </w:r>
      <w:hyperlink r:id="rId310" w:history="1">
        <w:r w:rsidRPr="00B910BD">
          <w:rPr>
            <w:rStyle w:val="Hyperlink"/>
          </w:rPr>
          <w:t>https://doi.org/10.29219/fnr.v68.10456</w:t>
        </w:r>
      </w:hyperlink>
      <w:r w:rsidRPr="00B910BD">
        <w:t xml:space="preserve"> </w:t>
      </w:r>
    </w:p>
    <w:p w14:paraId="19F327C3" w14:textId="52E21D76" w:rsidR="00B910BD" w:rsidRPr="00B910BD" w:rsidRDefault="00B910BD" w:rsidP="00B910BD">
      <w:pPr>
        <w:pStyle w:val="EndNoteBibliography"/>
        <w:spacing w:after="0"/>
        <w:ind w:left="720" w:hanging="720"/>
      </w:pPr>
      <w:r w:rsidRPr="00B910BD">
        <w:t xml:space="preserve">Huang, L., Trieu, K., Yoshimura, S., Neal, B., Woodward, M., Campbell, N. R. C., Li, Q., Lackland, D. T., Leung, A. A., Anderson, C. A. M., MacGregor, G. A., &amp; He, F. J. (2020). Effect of dose and duration of reduction in dietary sodium on blood pressure levels: systematic review and meta-analysis of randomised trials. </w:t>
      </w:r>
      <w:r w:rsidRPr="00B910BD">
        <w:rPr>
          <w:i/>
        </w:rPr>
        <w:t>Bmj</w:t>
      </w:r>
      <w:r w:rsidRPr="00B910BD">
        <w:t>,</w:t>
      </w:r>
      <w:r w:rsidRPr="00B910BD">
        <w:rPr>
          <w:i/>
        </w:rPr>
        <w:t xml:space="preserve"> 368</w:t>
      </w:r>
      <w:r w:rsidRPr="00B910BD">
        <w:t xml:space="preserve">, m315. </w:t>
      </w:r>
      <w:hyperlink r:id="rId311" w:history="1">
        <w:r w:rsidRPr="00B910BD">
          <w:rPr>
            <w:rStyle w:val="Hyperlink"/>
          </w:rPr>
          <w:t>https://doi.org/10.1136/bmj.m315</w:t>
        </w:r>
      </w:hyperlink>
      <w:r w:rsidRPr="00B910BD">
        <w:t xml:space="preserve"> </w:t>
      </w:r>
    </w:p>
    <w:p w14:paraId="7B92B7FE" w14:textId="78A0EC5F" w:rsidR="00B910BD" w:rsidRPr="00B910BD" w:rsidRDefault="00B910BD" w:rsidP="00B910BD">
      <w:pPr>
        <w:pStyle w:val="EndNoteBibliography"/>
        <w:spacing w:after="0"/>
        <w:ind w:left="720" w:hanging="720"/>
      </w:pPr>
      <w:r w:rsidRPr="00B910BD">
        <w:t xml:space="preserve">Huang, L., Trieu, K., Yoshimura, S., Woodward, M., Campbell, N., Lackland, D., Leung, A., Anderson, C. A. M., MacGregor, G., Neal, B., &amp; He, F. (2019). Impact of dose and duration of dietary salt reduction on blood pressure levels: Systematic review and meta-analysis of randomised trials. </w:t>
      </w:r>
      <w:r w:rsidRPr="00B910BD">
        <w:rPr>
          <w:i/>
        </w:rPr>
        <w:t>European heart journal</w:t>
      </w:r>
      <w:r w:rsidRPr="00B910BD">
        <w:t>,</w:t>
      </w:r>
      <w:r w:rsidRPr="00B910BD">
        <w:rPr>
          <w:i/>
        </w:rPr>
        <w:t xml:space="preserve"> 40</w:t>
      </w:r>
      <w:r w:rsidRPr="00B910BD">
        <w:t xml:space="preserve">, 989. </w:t>
      </w:r>
      <w:hyperlink r:id="rId312" w:history="1">
        <w:r w:rsidRPr="00B910BD">
          <w:rPr>
            <w:rStyle w:val="Hyperlink"/>
          </w:rPr>
          <w:t>https://doi.org/10.1093/eurheartj/ehz748.0446</w:t>
        </w:r>
      </w:hyperlink>
      <w:r w:rsidRPr="00B910BD">
        <w:t xml:space="preserve"> </w:t>
      </w:r>
    </w:p>
    <w:p w14:paraId="06FED55F" w14:textId="16DB1305" w:rsidR="00B910BD" w:rsidRPr="00B910BD" w:rsidRDefault="00B910BD" w:rsidP="00B910BD">
      <w:pPr>
        <w:pStyle w:val="EndNoteBibliography"/>
        <w:spacing w:after="0"/>
        <w:ind w:left="720" w:hanging="720"/>
      </w:pPr>
      <w:r w:rsidRPr="00B910BD">
        <w:t xml:space="preserve">Institute for Health Metrics and Evaluation. (2024). </w:t>
      </w:r>
      <w:r w:rsidRPr="00B910BD">
        <w:rPr>
          <w:i/>
        </w:rPr>
        <w:t>Global Burden of Disease (GBD) results tool</w:t>
      </w:r>
      <w:r w:rsidRPr="00B910BD">
        <w:t xml:space="preserve"> (</w:t>
      </w:r>
      <w:hyperlink r:id="rId313" w:history="1">
        <w:r w:rsidRPr="00B910BD">
          <w:rPr>
            <w:rStyle w:val="Hyperlink"/>
          </w:rPr>
          <w:t>https://vizhub.healthdata.org/gbd-results/</w:t>
        </w:r>
      </w:hyperlink>
      <w:r w:rsidRPr="00B910BD">
        <w:t xml:space="preserve"> </w:t>
      </w:r>
    </w:p>
    <w:p w14:paraId="71378ADD" w14:textId="0CADEF95" w:rsidR="00B910BD" w:rsidRPr="00B910BD" w:rsidRDefault="00B910BD" w:rsidP="00B910BD">
      <w:pPr>
        <w:pStyle w:val="EndNoteBibliography"/>
        <w:spacing w:after="0"/>
        <w:ind w:left="720" w:hanging="720"/>
      </w:pPr>
      <w:r w:rsidRPr="00B910BD">
        <w:t xml:space="preserve">Jeong, S., Hunter, S. D., Cook, M. D., Grosicki, G. J., &amp; Robinson, A. T. (2024). Salty Subjects: Unpacking Racial Differences in Salt-Sensitive Hypertension. </w:t>
      </w:r>
      <w:r w:rsidRPr="00B910BD">
        <w:rPr>
          <w:i/>
        </w:rPr>
        <w:t>Current Hypertension Reports</w:t>
      </w:r>
      <w:r w:rsidRPr="00B910BD">
        <w:t>,</w:t>
      </w:r>
      <w:r w:rsidRPr="00B910BD">
        <w:rPr>
          <w:i/>
        </w:rPr>
        <w:t xml:space="preserve"> 26</w:t>
      </w:r>
      <w:r w:rsidRPr="00B910BD">
        <w:t xml:space="preserve">(1), 43-58. </w:t>
      </w:r>
      <w:hyperlink r:id="rId314" w:history="1">
        <w:r w:rsidRPr="00B910BD">
          <w:rPr>
            <w:rStyle w:val="Hyperlink"/>
          </w:rPr>
          <w:t>https://doi.org/10.1007/s11906-023-01275-z</w:t>
        </w:r>
      </w:hyperlink>
      <w:r w:rsidRPr="00B910BD">
        <w:t xml:space="preserve"> </w:t>
      </w:r>
    </w:p>
    <w:p w14:paraId="45C661CC" w14:textId="49A72E4A" w:rsidR="00B910BD" w:rsidRPr="00B910BD" w:rsidRDefault="00B910BD" w:rsidP="00B910BD">
      <w:pPr>
        <w:pStyle w:val="EndNoteBibliography"/>
        <w:spacing w:after="0"/>
        <w:ind w:left="720" w:hanging="720"/>
      </w:pPr>
      <w:r w:rsidRPr="00B910BD">
        <w:t xml:space="preserve">Jula, A. (2024). Sodium - a systematic review for Nordic Nutrition Recommendations 2023. </w:t>
      </w:r>
      <w:r w:rsidRPr="00B910BD">
        <w:rPr>
          <w:i/>
        </w:rPr>
        <w:t>Food Nutr Res</w:t>
      </w:r>
      <w:r w:rsidRPr="00B910BD">
        <w:t>,</w:t>
      </w:r>
      <w:r w:rsidRPr="00B910BD">
        <w:rPr>
          <w:i/>
        </w:rPr>
        <w:t xml:space="preserve"> 68</w:t>
      </w:r>
      <w:r w:rsidRPr="00B910BD">
        <w:t xml:space="preserve">. </w:t>
      </w:r>
      <w:hyperlink r:id="rId315" w:history="1">
        <w:r w:rsidRPr="00B910BD">
          <w:rPr>
            <w:rStyle w:val="Hyperlink"/>
          </w:rPr>
          <w:t>https://doi.org/10.29219/fnr.v68.10319</w:t>
        </w:r>
      </w:hyperlink>
      <w:r w:rsidRPr="00B910BD">
        <w:t xml:space="preserve"> </w:t>
      </w:r>
    </w:p>
    <w:p w14:paraId="4EF0F1FD" w14:textId="6376451F" w:rsidR="00B910BD" w:rsidRPr="00B910BD" w:rsidRDefault="00B910BD" w:rsidP="00B910BD">
      <w:pPr>
        <w:pStyle w:val="EndNoteBibliography"/>
        <w:spacing w:after="0"/>
        <w:ind w:left="720" w:hanging="720"/>
      </w:pPr>
      <w:r w:rsidRPr="00B910BD">
        <w:t xml:space="preserve">Keenan, B. S., Buzek, S. W., Garza, C., Potts, E., &amp; Nichols, B. L. (1982). Diurnal and longitudinal variations in human milk sodium and potassium: implication for nutrition and physiology. </w:t>
      </w:r>
      <w:r w:rsidRPr="00B910BD">
        <w:rPr>
          <w:i/>
        </w:rPr>
        <w:t>Am J Clin Nutr</w:t>
      </w:r>
      <w:r w:rsidRPr="00B910BD">
        <w:t>,</w:t>
      </w:r>
      <w:r w:rsidRPr="00B910BD">
        <w:rPr>
          <w:i/>
        </w:rPr>
        <w:t xml:space="preserve"> 35</w:t>
      </w:r>
      <w:r w:rsidRPr="00B910BD">
        <w:t xml:space="preserve">(3), 527-534. </w:t>
      </w:r>
      <w:hyperlink r:id="rId316" w:history="1">
        <w:r w:rsidRPr="00B910BD">
          <w:rPr>
            <w:rStyle w:val="Hyperlink"/>
          </w:rPr>
          <w:t>https://doi.org/10.1093/ajcn/35.3.527</w:t>
        </w:r>
      </w:hyperlink>
      <w:r w:rsidRPr="00B910BD">
        <w:t xml:space="preserve"> </w:t>
      </w:r>
    </w:p>
    <w:p w14:paraId="3075F522" w14:textId="382DAB01" w:rsidR="00B910BD" w:rsidRPr="00B910BD" w:rsidRDefault="00B910BD" w:rsidP="00B910BD">
      <w:pPr>
        <w:pStyle w:val="EndNoteBibliography"/>
        <w:spacing w:after="0"/>
        <w:ind w:left="720" w:hanging="720"/>
      </w:pPr>
      <w:r w:rsidRPr="00B910BD">
        <w:t xml:space="preserve">Khokhar, D., Nowson, C. A., Margerison, C., Bolam, B., &amp; Grimes, C. A. (2018). Knowledge and Attitudes Are Related to Selected Salt-Specific Behaviours among Australian Parents. </w:t>
      </w:r>
      <w:r w:rsidRPr="00B910BD">
        <w:rPr>
          <w:i/>
        </w:rPr>
        <w:t>Nutrients</w:t>
      </w:r>
      <w:r w:rsidRPr="00B910BD">
        <w:t>,</w:t>
      </w:r>
      <w:r w:rsidRPr="00B910BD">
        <w:rPr>
          <w:i/>
        </w:rPr>
        <w:t xml:space="preserve"> 10</w:t>
      </w:r>
      <w:r w:rsidRPr="00B910BD">
        <w:t xml:space="preserve">(6). </w:t>
      </w:r>
      <w:hyperlink r:id="rId317" w:history="1">
        <w:r w:rsidRPr="00B910BD">
          <w:rPr>
            <w:rStyle w:val="Hyperlink"/>
          </w:rPr>
          <w:t>https://doi.org/10.3390/nu10060720</w:t>
        </w:r>
      </w:hyperlink>
      <w:r w:rsidRPr="00B910BD">
        <w:t xml:space="preserve"> </w:t>
      </w:r>
    </w:p>
    <w:p w14:paraId="539C02AC" w14:textId="76E19B57" w:rsidR="00B910BD" w:rsidRPr="00B910BD" w:rsidRDefault="00B910BD" w:rsidP="00B910BD">
      <w:pPr>
        <w:pStyle w:val="EndNoteBibliography"/>
        <w:spacing w:after="0"/>
        <w:ind w:left="720" w:hanging="720"/>
      </w:pPr>
      <w:r w:rsidRPr="00B910BD">
        <w:t xml:space="preserve">Kieneker, L. M., Bakker, S. J., de Boer, R. A., Navis, G. J., Gansevoort, R. T., &amp; Joosten, M. M. (2016). Low potassium excretion but not high sodium excretion is associated with increased risk of developing chronic kidney disease. </w:t>
      </w:r>
      <w:r w:rsidRPr="00B910BD">
        <w:rPr>
          <w:i/>
        </w:rPr>
        <w:t>Kidney Int</w:t>
      </w:r>
      <w:r w:rsidRPr="00B910BD">
        <w:t>,</w:t>
      </w:r>
      <w:r w:rsidRPr="00B910BD">
        <w:rPr>
          <w:i/>
        </w:rPr>
        <w:t xml:space="preserve"> 90</w:t>
      </w:r>
      <w:r w:rsidRPr="00B910BD">
        <w:t xml:space="preserve">(4), 888-896. </w:t>
      </w:r>
      <w:hyperlink r:id="rId318" w:history="1">
        <w:r w:rsidRPr="00B910BD">
          <w:rPr>
            <w:rStyle w:val="Hyperlink"/>
          </w:rPr>
          <w:t>https://doi.org/10.1016/j.kint.2016.07.012</w:t>
        </w:r>
      </w:hyperlink>
      <w:r w:rsidRPr="00B910BD">
        <w:t xml:space="preserve"> </w:t>
      </w:r>
    </w:p>
    <w:p w14:paraId="4B28669B" w14:textId="77777777" w:rsidR="00B910BD" w:rsidRPr="00B910BD" w:rsidRDefault="00B910BD" w:rsidP="00B910BD">
      <w:pPr>
        <w:pStyle w:val="EndNoteBibliography"/>
        <w:spacing w:after="0"/>
        <w:ind w:left="720" w:hanging="720"/>
      </w:pPr>
      <w:r w:rsidRPr="00B910BD">
        <w:t xml:space="preserve">Kirkendall, A. M., Connor, W. E., Abboud, F., Rastogi, S. P., Anderson, T. A., &amp; Fry, M. (1976). The effect of dietary sodium chloride on blood pressure, body fluids, electrolytes, renal function, and serum lipids of normotensive man. </w:t>
      </w:r>
      <w:r w:rsidRPr="00B910BD">
        <w:rPr>
          <w:i/>
        </w:rPr>
        <w:t>J Lab Clin Med</w:t>
      </w:r>
      <w:r w:rsidRPr="00B910BD">
        <w:t>,</w:t>
      </w:r>
      <w:r w:rsidRPr="00B910BD">
        <w:rPr>
          <w:i/>
        </w:rPr>
        <w:t xml:space="preserve"> 87</w:t>
      </w:r>
      <w:r w:rsidRPr="00B910BD">
        <w:t xml:space="preserve">(3), 411-434. </w:t>
      </w:r>
    </w:p>
    <w:p w14:paraId="00BA9379" w14:textId="0BA0C124" w:rsidR="00B910BD" w:rsidRPr="00B910BD" w:rsidRDefault="00B910BD" w:rsidP="00B910BD">
      <w:pPr>
        <w:pStyle w:val="EndNoteBibliography"/>
        <w:spacing w:after="0"/>
        <w:ind w:left="720" w:hanging="720"/>
      </w:pPr>
      <w:r w:rsidRPr="00B910BD">
        <w:t xml:space="preserve">Kodama, N., Morikuni, E., Matsuzaki, N., Yoshioka, Y. H., Takeyama, H., Yamada, H., Kitajima, H., &amp; Nishimuta, M. (2005). Sodium and potassium balances in Japanese young adults. </w:t>
      </w:r>
      <w:r w:rsidRPr="00B910BD">
        <w:rPr>
          <w:i/>
        </w:rPr>
        <w:t>J Nutr Sci Vitaminol (Tokyo)</w:t>
      </w:r>
      <w:r w:rsidRPr="00B910BD">
        <w:t>,</w:t>
      </w:r>
      <w:r w:rsidRPr="00B910BD">
        <w:rPr>
          <w:i/>
        </w:rPr>
        <w:t xml:space="preserve"> 51</w:t>
      </w:r>
      <w:r w:rsidRPr="00B910BD">
        <w:t xml:space="preserve">(3), 161-168. </w:t>
      </w:r>
      <w:hyperlink r:id="rId319" w:history="1">
        <w:r w:rsidRPr="00B910BD">
          <w:rPr>
            <w:rStyle w:val="Hyperlink"/>
          </w:rPr>
          <w:t>https://doi.org/10.3177/jnsv.51.161</w:t>
        </w:r>
      </w:hyperlink>
      <w:r w:rsidRPr="00B910BD">
        <w:t xml:space="preserve"> </w:t>
      </w:r>
    </w:p>
    <w:p w14:paraId="4E473D51" w14:textId="126719E9" w:rsidR="00B910BD" w:rsidRPr="00B910BD" w:rsidRDefault="00B910BD" w:rsidP="00B910BD">
      <w:pPr>
        <w:pStyle w:val="EndNoteBibliography"/>
        <w:spacing w:after="0"/>
        <w:ind w:left="720" w:hanging="720"/>
      </w:pPr>
      <w:r w:rsidRPr="00B910BD">
        <w:t xml:space="preserve">Land, M. A., Neal, B. C., Johnson, C., Nowson, C. A., Margerison, C., &amp; Petersen, K. S. (2018). Salt consumption by Australian adults: a systematic review and meta-analysis. </w:t>
      </w:r>
      <w:r w:rsidRPr="00B910BD">
        <w:rPr>
          <w:i/>
        </w:rPr>
        <w:t>The Medical journal of Australia</w:t>
      </w:r>
      <w:r w:rsidRPr="00B910BD">
        <w:t>,</w:t>
      </w:r>
      <w:r w:rsidRPr="00B910BD">
        <w:rPr>
          <w:i/>
        </w:rPr>
        <w:t xml:space="preserve"> 208</w:t>
      </w:r>
      <w:r w:rsidRPr="00B910BD">
        <w:t xml:space="preserve">(2), 75-81. </w:t>
      </w:r>
      <w:hyperlink r:id="rId320" w:history="1">
        <w:r w:rsidRPr="00B910BD">
          <w:rPr>
            <w:rStyle w:val="Hyperlink"/>
          </w:rPr>
          <w:t>https://doi.org/10.5694/mja17.00394</w:t>
        </w:r>
      </w:hyperlink>
      <w:r w:rsidRPr="00B910BD">
        <w:t xml:space="preserve"> </w:t>
      </w:r>
    </w:p>
    <w:p w14:paraId="7E7EC6CD" w14:textId="52849311" w:rsidR="00B910BD" w:rsidRPr="00B910BD" w:rsidRDefault="00B910BD" w:rsidP="00B910BD">
      <w:pPr>
        <w:pStyle w:val="EndNoteBibliography"/>
        <w:spacing w:after="0"/>
        <w:ind w:left="720" w:hanging="720"/>
      </w:pPr>
      <w:r w:rsidRPr="00B910BD">
        <w:t xml:space="preserve">Land, M. A., Webster, J., Christoforou, A., Johnson, C., Trevena, H., Hodgins, F., Chalmers, J., Woodward, M., Barzi, F., Smith, W., Flood, V., Jeffery, P., Nowson, C., &amp; Neal, B. (2014). The association of knowledge, attitudes and behaviours related to salt with 24-hour urinary sodium excretion. </w:t>
      </w:r>
      <w:r w:rsidRPr="00B910BD">
        <w:rPr>
          <w:i/>
        </w:rPr>
        <w:t>Int J Behav Nutr Phys Act</w:t>
      </w:r>
      <w:r w:rsidRPr="00B910BD">
        <w:t>,</w:t>
      </w:r>
      <w:r w:rsidRPr="00B910BD">
        <w:rPr>
          <w:i/>
        </w:rPr>
        <w:t xml:space="preserve"> 11</w:t>
      </w:r>
      <w:r w:rsidRPr="00B910BD">
        <w:t xml:space="preserve">(1), 47. </w:t>
      </w:r>
      <w:hyperlink r:id="rId321" w:history="1">
        <w:r w:rsidRPr="00B910BD">
          <w:rPr>
            <w:rStyle w:val="Hyperlink"/>
          </w:rPr>
          <w:t>https://doi.org/10.1186/1479-5868-11-47</w:t>
        </w:r>
      </w:hyperlink>
      <w:r w:rsidRPr="00B910BD">
        <w:t xml:space="preserve"> </w:t>
      </w:r>
    </w:p>
    <w:p w14:paraId="293EC159" w14:textId="24DD0B56" w:rsidR="00B910BD" w:rsidRPr="00B910BD" w:rsidRDefault="00B910BD" w:rsidP="00B910BD">
      <w:pPr>
        <w:pStyle w:val="EndNoteBibliography"/>
        <w:spacing w:after="0"/>
        <w:ind w:left="720" w:hanging="720"/>
      </w:pPr>
      <w:r w:rsidRPr="00B910BD">
        <w:lastRenderedPageBreak/>
        <w:t xml:space="preserve">Leed, A., Sheridan, E., Baker, B., Bamford, S., Emmanouilidis, E., Stewart, F., Ostafe, K., Sarwari, M., Lim, K., Zheng, M., Islam, S. M. S., Bolton, K. A., &amp; Grimes, C. A. (2023). Dietary Intake and Arterial Stiffness in Children and Adolescents: A Systematic Review. </w:t>
      </w:r>
      <w:r w:rsidRPr="00B910BD">
        <w:rPr>
          <w:i/>
        </w:rPr>
        <w:t>Nutrients</w:t>
      </w:r>
      <w:r w:rsidRPr="00B910BD">
        <w:t>,</w:t>
      </w:r>
      <w:r w:rsidRPr="00B910BD">
        <w:rPr>
          <w:i/>
        </w:rPr>
        <w:t xml:space="preserve"> 15</w:t>
      </w:r>
      <w:r w:rsidRPr="00B910BD">
        <w:t xml:space="preserve">(9). </w:t>
      </w:r>
      <w:hyperlink r:id="rId322" w:history="1">
        <w:r w:rsidRPr="00B910BD">
          <w:rPr>
            <w:rStyle w:val="Hyperlink"/>
          </w:rPr>
          <w:t>https://doi.org/10.3390/nu15092092</w:t>
        </w:r>
      </w:hyperlink>
      <w:r w:rsidRPr="00B910BD">
        <w:t xml:space="preserve"> </w:t>
      </w:r>
    </w:p>
    <w:p w14:paraId="0CAA4076" w14:textId="50E5FC41" w:rsidR="00B910BD" w:rsidRPr="00B910BD" w:rsidRDefault="00B910BD" w:rsidP="00B910BD">
      <w:pPr>
        <w:pStyle w:val="EndNoteBibliography"/>
        <w:spacing w:after="0"/>
        <w:ind w:left="720" w:hanging="720"/>
      </w:pPr>
      <w:r w:rsidRPr="00B910BD">
        <w:t xml:space="preserve">Lemons, J. A., Moye, L., Hall, D., &amp; Simmons, M. (1982). Differences in the composition of preterm and term human milk during early lactation. </w:t>
      </w:r>
      <w:r w:rsidRPr="00B910BD">
        <w:rPr>
          <w:i/>
        </w:rPr>
        <w:t>Pediatr Res</w:t>
      </w:r>
      <w:r w:rsidRPr="00B910BD">
        <w:t>,</w:t>
      </w:r>
      <w:r w:rsidRPr="00B910BD">
        <w:rPr>
          <w:i/>
        </w:rPr>
        <w:t xml:space="preserve"> 16</w:t>
      </w:r>
      <w:r w:rsidRPr="00B910BD">
        <w:t xml:space="preserve">(2), 113-117. </w:t>
      </w:r>
      <w:hyperlink r:id="rId323" w:history="1">
        <w:r w:rsidRPr="00B910BD">
          <w:rPr>
            <w:rStyle w:val="Hyperlink"/>
          </w:rPr>
          <w:t>https://doi.org/10.1203/00006450-198202000-00007</w:t>
        </w:r>
      </w:hyperlink>
      <w:r w:rsidRPr="00B910BD">
        <w:t xml:space="preserve"> </w:t>
      </w:r>
    </w:p>
    <w:p w14:paraId="31A10805" w14:textId="04F19155" w:rsidR="00B910BD" w:rsidRPr="00B910BD" w:rsidRDefault="00B910BD" w:rsidP="00B910BD">
      <w:pPr>
        <w:pStyle w:val="EndNoteBibliography"/>
        <w:spacing w:after="0"/>
        <w:ind w:left="720" w:hanging="720"/>
      </w:pPr>
      <w:r w:rsidRPr="00B910BD">
        <w:t xml:space="preserve">Lerchl, K., Rakova, N., Dahlmann, A., Rauh, M., Goller, U., Basner, M., Dinges, D. F., Beck, L., Agureev, A., Larina, I., Baranov, V., Morukov, B., Eckardt, K. U., Vassilieva, G., Wabel, P., Vienken, J., Kirsch, K., Johannes, B., Krannich, A.,…Titze, J. (2015). Agreement between 24-hour salt ingestion and sodium excretion in a controlled environment. </w:t>
      </w:r>
      <w:r w:rsidRPr="00B910BD">
        <w:rPr>
          <w:i/>
        </w:rPr>
        <w:t>Hypertension</w:t>
      </w:r>
      <w:r w:rsidRPr="00B910BD">
        <w:t>,</w:t>
      </w:r>
      <w:r w:rsidRPr="00B910BD">
        <w:rPr>
          <w:i/>
        </w:rPr>
        <w:t xml:space="preserve"> 66</w:t>
      </w:r>
      <w:r w:rsidRPr="00B910BD">
        <w:t xml:space="preserve">(4), 850-857. </w:t>
      </w:r>
      <w:hyperlink r:id="rId324" w:history="1">
        <w:r w:rsidRPr="00B910BD">
          <w:rPr>
            <w:rStyle w:val="Hyperlink"/>
          </w:rPr>
          <w:t>https://doi.org/10.1161/hypertensionaha.115.05851</w:t>
        </w:r>
      </w:hyperlink>
      <w:r w:rsidRPr="00B910BD">
        <w:t xml:space="preserve"> </w:t>
      </w:r>
    </w:p>
    <w:p w14:paraId="3B7C8707" w14:textId="5836A24D" w:rsidR="00B910BD" w:rsidRPr="00B910BD" w:rsidRDefault="00B910BD" w:rsidP="00B910BD">
      <w:pPr>
        <w:pStyle w:val="EndNoteBibliography"/>
        <w:spacing w:after="0"/>
        <w:ind w:left="720" w:hanging="720"/>
      </w:pPr>
      <w:r w:rsidRPr="00B910BD">
        <w:t xml:space="preserve">Leyvraz, M., Chatelan, A., da Costa, B. R., Taffé, P., Paradis, G., Bovet, P., Bochud, M., &amp; Chiolero, A. (2018). Sodium intake and blood pressure in children and adolescents: a systematic review and meta-analysis of experimental and observational studies. </w:t>
      </w:r>
      <w:r w:rsidRPr="00B910BD">
        <w:rPr>
          <w:i/>
        </w:rPr>
        <w:t>Int J Epidemiol</w:t>
      </w:r>
      <w:r w:rsidRPr="00B910BD">
        <w:t>,</w:t>
      </w:r>
      <w:r w:rsidRPr="00B910BD">
        <w:rPr>
          <w:i/>
        </w:rPr>
        <w:t xml:space="preserve"> 47</w:t>
      </w:r>
      <w:r w:rsidRPr="00B910BD">
        <w:t xml:space="preserve">(6), 1796-1810. </w:t>
      </w:r>
      <w:hyperlink r:id="rId325" w:history="1">
        <w:r w:rsidRPr="00B910BD">
          <w:rPr>
            <w:rStyle w:val="Hyperlink"/>
          </w:rPr>
          <w:t>https://doi.org/10.1093/ije/dyy121</w:t>
        </w:r>
      </w:hyperlink>
      <w:r w:rsidRPr="00B910BD">
        <w:t xml:space="preserve"> </w:t>
      </w:r>
    </w:p>
    <w:p w14:paraId="4207D207" w14:textId="01CE92C2" w:rsidR="00B910BD" w:rsidRPr="00B910BD" w:rsidRDefault="00B910BD" w:rsidP="00B910BD">
      <w:pPr>
        <w:pStyle w:val="EndNoteBibliography"/>
        <w:spacing w:after="0"/>
        <w:ind w:left="720" w:hanging="720"/>
      </w:pPr>
      <w:r w:rsidRPr="00B910BD">
        <w:t xml:space="preserve">Lowe, S., Bowyer, L., Lust, K., McMahon, L., Morton, M., North, R., Paech, M., &amp; Said, J. (2014). </w:t>
      </w:r>
      <w:r w:rsidRPr="00B910BD">
        <w:rPr>
          <w:i/>
        </w:rPr>
        <w:t>Guideline for the Management of Hypertensive Disorders of Pregnancy</w:t>
      </w:r>
      <w:r w:rsidRPr="00B910BD">
        <w:t xml:space="preserve">. </w:t>
      </w:r>
      <w:hyperlink r:id="rId326" w:history="1">
        <w:r w:rsidRPr="00B910BD">
          <w:rPr>
            <w:rStyle w:val="Hyperlink"/>
          </w:rPr>
          <w:t>https://ranzcog.edu.au/wp-content/uploads/SOMANZ-Hypertensive-Disorders-Pregnancy.pdf</w:t>
        </w:r>
      </w:hyperlink>
    </w:p>
    <w:p w14:paraId="4D9BF8C9" w14:textId="2DD09BCD" w:rsidR="00B910BD" w:rsidRPr="00B910BD" w:rsidRDefault="00B910BD" w:rsidP="00B910BD">
      <w:pPr>
        <w:pStyle w:val="EndNoteBibliography"/>
        <w:spacing w:after="0"/>
        <w:ind w:left="720" w:hanging="720"/>
      </w:pPr>
      <w:r w:rsidRPr="00B910BD">
        <w:t xml:space="preserve">Luzardo, L., Noboa, O., &amp; Boggia, J. (2015). Mechanisms of Salt-Sensitive Hypertension. </w:t>
      </w:r>
      <w:r w:rsidRPr="00B910BD">
        <w:rPr>
          <w:i/>
        </w:rPr>
        <w:t>Curr Hypertens Rev</w:t>
      </w:r>
      <w:r w:rsidRPr="00B910BD">
        <w:t>,</w:t>
      </w:r>
      <w:r w:rsidRPr="00B910BD">
        <w:rPr>
          <w:i/>
        </w:rPr>
        <w:t xml:space="preserve"> 11</w:t>
      </w:r>
      <w:r w:rsidRPr="00B910BD">
        <w:t xml:space="preserve">(1), 14-21. </w:t>
      </w:r>
      <w:hyperlink r:id="rId327" w:history="1">
        <w:r w:rsidRPr="00B910BD">
          <w:rPr>
            <w:rStyle w:val="Hyperlink"/>
          </w:rPr>
          <w:t>https://doi.org/10.2174/1573402111666150530204136</w:t>
        </w:r>
      </w:hyperlink>
      <w:r w:rsidRPr="00B910BD">
        <w:t xml:space="preserve"> </w:t>
      </w:r>
    </w:p>
    <w:p w14:paraId="4DA8497A" w14:textId="79E0BD3E" w:rsidR="00B910BD" w:rsidRPr="00B910BD" w:rsidRDefault="00B910BD" w:rsidP="00B910BD">
      <w:pPr>
        <w:pStyle w:val="EndNoteBibliography"/>
        <w:spacing w:after="0"/>
        <w:ind w:left="720" w:hanging="720"/>
      </w:pPr>
      <w:r w:rsidRPr="00B910BD">
        <w:t xml:space="preserve">Mahmood, L., Flores-Barrantes, P., Moreno, L. A., Manios, Y., &amp; Gonzalez-Gil, E. M. (2021). The Influence of Parental Dietary Behaviors and Practices on Children's Eating Habits. </w:t>
      </w:r>
      <w:r w:rsidRPr="00B910BD">
        <w:rPr>
          <w:i/>
        </w:rPr>
        <w:t>Nutrients</w:t>
      </w:r>
      <w:r w:rsidRPr="00B910BD">
        <w:t>,</w:t>
      </w:r>
      <w:r w:rsidRPr="00B910BD">
        <w:rPr>
          <w:i/>
        </w:rPr>
        <w:t xml:space="preserve"> 13</w:t>
      </w:r>
      <w:r w:rsidRPr="00B910BD">
        <w:t xml:space="preserve">(4). </w:t>
      </w:r>
      <w:hyperlink r:id="rId328" w:history="1">
        <w:r w:rsidRPr="00B910BD">
          <w:rPr>
            <w:rStyle w:val="Hyperlink"/>
          </w:rPr>
          <w:t>https://doi.org/10.3390/nu13041138</w:t>
        </w:r>
      </w:hyperlink>
      <w:r w:rsidRPr="00B910BD">
        <w:t xml:space="preserve"> </w:t>
      </w:r>
    </w:p>
    <w:p w14:paraId="2E9000BB" w14:textId="7ECA2262" w:rsidR="00B910BD" w:rsidRPr="00B910BD" w:rsidRDefault="00B910BD" w:rsidP="00B910BD">
      <w:pPr>
        <w:pStyle w:val="EndNoteBibliography"/>
        <w:spacing w:after="0"/>
        <w:ind w:left="720" w:hanging="720"/>
      </w:pPr>
      <w:r w:rsidRPr="00B910BD">
        <w:t xml:space="preserve">Mason, K., Toohey, F., Gott, M., &amp; Moeke-Maxwell, T. (2019). Māori: living and dying with cardiovascular disease in Aotearoa New Zealand. </w:t>
      </w:r>
      <w:r w:rsidRPr="00B910BD">
        <w:rPr>
          <w:i/>
        </w:rPr>
        <w:t>Curr Opin Support Palliat Care</w:t>
      </w:r>
      <w:r w:rsidRPr="00B910BD">
        <w:t>,</w:t>
      </w:r>
      <w:r w:rsidRPr="00B910BD">
        <w:rPr>
          <w:i/>
        </w:rPr>
        <w:t xml:space="preserve"> 13</w:t>
      </w:r>
      <w:r w:rsidRPr="00B910BD">
        <w:t xml:space="preserve">(1), 3-8. </w:t>
      </w:r>
      <w:hyperlink r:id="rId329" w:history="1">
        <w:r w:rsidRPr="00B910BD">
          <w:rPr>
            <w:rStyle w:val="Hyperlink"/>
          </w:rPr>
          <w:t>https://doi.org/10.1097/spc.0000000000000404</w:t>
        </w:r>
      </w:hyperlink>
      <w:r w:rsidRPr="00B910BD">
        <w:t xml:space="preserve"> </w:t>
      </w:r>
    </w:p>
    <w:p w14:paraId="4F2E6E8F" w14:textId="4FF8184F" w:rsidR="00B910BD" w:rsidRPr="00B910BD" w:rsidRDefault="00B910BD" w:rsidP="00B910BD">
      <w:pPr>
        <w:pStyle w:val="EndNoteBibliography"/>
        <w:spacing w:after="0"/>
        <w:ind w:left="720" w:hanging="720"/>
      </w:pPr>
      <w:r w:rsidRPr="00B910BD">
        <w:t xml:space="preserve">McCallum, L., Lip, S., &amp; Padmanabhan, S. (2015). The hidden hand of chloride in hypertension. </w:t>
      </w:r>
      <w:r w:rsidRPr="00B910BD">
        <w:rPr>
          <w:i/>
        </w:rPr>
        <w:t>Pflugers Arch</w:t>
      </w:r>
      <w:r w:rsidRPr="00B910BD">
        <w:t>,</w:t>
      </w:r>
      <w:r w:rsidRPr="00B910BD">
        <w:rPr>
          <w:i/>
        </w:rPr>
        <w:t xml:space="preserve"> 467</w:t>
      </w:r>
      <w:r w:rsidRPr="00B910BD">
        <w:t xml:space="preserve">(3), 595-603. </w:t>
      </w:r>
      <w:hyperlink r:id="rId330" w:history="1">
        <w:r w:rsidRPr="00B910BD">
          <w:rPr>
            <w:rStyle w:val="Hyperlink"/>
          </w:rPr>
          <w:t>https://doi.org/10.1007/s00424-015-1690-8</w:t>
        </w:r>
      </w:hyperlink>
      <w:r w:rsidRPr="00B910BD">
        <w:t xml:space="preserve"> </w:t>
      </w:r>
    </w:p>
    <w:p w14:paraId="135A2E78" w14:textId="1F4ECB3A" w:rsidR="00B910BD" w:rsidRPr="00B910BD" w:rsidRDefault="00B910BD" w:rsidP="00B910BD">
      <w:pPr>
        <w:pStyle w:val="EndNoteBibliography"/>
        <w:spacing w:after="0"/>
        <w:ind w:left="720" w:hanging="720"/>
      </w:pPr>
      <w:r w:rsidRPr="00B910BD">
        <w:t xml:space="preserve">McLean, R., Edmonds, J., Williams, S., Mann, J., &amp; Skeaff, S. (2015). Balancing Sodium and Potassium: Estimates of Intake in a New Zealand Adult Population Sample. </w:t>
      </w:r>
      <w:r w:rsidRPr="00B910BD">
        <w:rPr>
          <w:i/>
        </w:rPr>
        <w:t>Nutrients</w:t>
      </w:r>
      <w:r w:rsidRPr="00B910BD">
        <w:t>,</w:t>
      </w:r>
      <w:r w:rsidRPr="00B910BD">
        <w:rPr>
          <w:i/>
        </w:rPr>
        <w:t xml:space="preserve"> 7</w:t>
      </w:r>
      <w:r w:rsidRPr="00B910BD">
        <w:t xml:space="preserve">(11), 8930-8938. </w:t>
      </w:r>
      <w:hyperlink r:id="rId331" w:history="1">
        <w:r w:rsidRPr="00B910BD">
          <w:rPr>
            <w:rStyle w:val="Hyperlink"/>
          </w:rPr>
          <w:t>https://doi.org/10.3390/nu7115439</w:t>
        </w:r>
      </w:hyperlink>
      <w:r w:rsidRPr="00B910BD">
        <w:t xml:space="preserve"> </w:t>
      </w:r>
    </w:p>
    <w:p w14:paraId="10A970CC" w14:textId="626899FC" w:rsidR="00B910BD" w:rsidRPr="00B910BD" w:rsidRDefault="00B910BD" w:rsidP="00B910BD">
      <w:pPr>
        <w:pStyle w:val="EndNoteBibliography"/>
        <w:spacing w:after="0"/>
        <w:ind w:left="720" w:hanging="720"/>
      </w:pPr>
      <w:r w:rsidRPr="00B910BD">
        <w:t xml:space="preserve">McLean, R., Williams, S., &amp; Mann, J. (2014). Monitoring population sodium intake using spot urine samples: validation in a New Zealand population. </w:t>
      </w:r>
      <w:r w:rsidRPr="00B910BD">
        <w:rPr>
          <w:i/>
        </w:rPr>
        <w:t>Journal of human hypertension</w:t>
      </w:r>
      <w:r w:rsidRPr="00B910BD">
        <w:t>,</w:t>
      </w:r>
      <w:r w:rsidRPr="00B910BD">
        <w:rPr>
          <w:i/>
        </w:rPr>
        <w:t xml:space="preserve"> 28</w:t>
      </w:r>
      <w:r w:rsidRPr="00B910BD">
        <w:t xml:space="preserve">(11), 657-662. </w:t>
      </w:r>
      <w:hyperlink r:id="rId332" w:history="1">
        <w:r w:rsidRPr="00B910BD">
          <w:rPr>
            <w:rStyle w:val="Hyperlink"/>
          </w:rPr>
          <w:t>https://doi.org/10.1038/jhh.2014.10</w:t>
        </w:r>
      </w:hyperlink>
      <w:r w:rsidRPr="00B910BD">
        <w:t xml:space="preserve"> </w:t>
      </w:r>
    </w:p>
    <w:p w14:paraId="3CBC24F8" w14:textId="48E02A22" w:rsidR="00B910BD" w:rsidRPr="00B910BD" w:rsidRDefault="00B910BD" w:rsidP="00B910BD">
      <w:pPr>
        <w:pStyle w:val="EndNoteBibliography"/>
        <w:spacing w:after="0"/>
        <w:ind w:left="720" w:hanging="720"/>
      </w:pPr>
      <w:r w:rsidRPr="00B910BD">
        <w:t xml:space="preserve">McLean, R. M., Farmer, V. L., Nettleton, A., Cameron, C. M., Cook, N. R., Woodward, M., &amp; Campbell, N. R. C. (2018). Twenty-Four-Hour Diet recall and Diet records compared with 24-hour urinary excretion to predict an individual's sodium consumption: A Systematic Review. </w:t>
      </w:r>
      <w:r w:rsidRPr="00B910BD">
        <w:rPr>
          <w:i/>
        </w:rPr>
        <w:t>J Clin Hypertens (Greenwich)</w:t>
      </w:r>
      <w:r w:rsidRPr="00B910BD">
        <w:t>,</w:t>
      </w:r>
      <w:r w:rsidRPr="00B910BD">
        <w:rPr>
          <w:i/>
        </w:rPr>
        <w:t xml:space="preserve"> 20</w:t>
      </w:r>
      <w:r w:rsidRPr="00B910BD">
        <w:t xml:space="preserve">(10), 1360-1376. </w:t>
      </w:r>
      <w:hyperlink r:id="rId333" w:history="1">
        <w:r w:rsidRPr="00B910BD">
          <w:rPr>
            <w:rStyle w:val="Hyperlink"/>
          </w:rPr>
          <w:t>https://doi.org/10.1111/jch.13391</w:t>
        </w:r>
      </w:hyperlink>
      <w:r w:rsidRPr="00B910BD">
        <w:t xml:space="preserve"> </w:t>
      </w:r>
    </w:p>
    <w:p w14:paraId="6DD0BC95" w14:textId="725215E4" w:rsidR="00B910BD" w:rsidRPr="00B910BD" w:rsidRDefault="00B910BD" w:rsidP="00B910BD">
      <w:pPr>
        <w:pStyle w:val="EndNoteBibliography"/>
        <w:spacing w:after="0"/>
        <w:ind w:left="720" w:hanging="720"/>
      </w:pPr>
      <w:r w:rsidRPr="00B910BD">
        <w:t xml:space="preserve">McLean, R. M., Williams, S. M., Te Morenga, L. A., &amp; Mann, J. I. (2018). Spot urine and 24-h diet recall estimates of dietary sodium intake from the 2008/09 New Zealand Adult Nutrition Survey: a comparison. </w:t>
      </w:r>
      <w:r w:rsidRPr="00B910BD">
        <w:rPr>
          <w:i/>
        </w:rPr>
        <w:t>Eur J Clin Nutr</w:t>
      </w:r>
      <w:r w:rsidRPr="00B910BD">
        <w:t>,</w:t>
      </w:r>
      <w:r w:rsidRPr="00B910BD">
        <w:rPr>
          <w:i/>
        </w:rPr>
        <w:t xml:space="preserve"> 72</w:t>
      </w:r>
      <w:r w:rsidRPr="00B910BD">
        <w:t xml:space="preserve">(8), 1120-1127. </w:t>
      </w:r>
      <w:hyperlink r:id="rId334" w:history="1">
        <w:r w:rsidRPr="00B910BD">
          <w:rPr>
            <w:rStyle w:val="Hyperlink"/>
          </w:rPr>
          <w:t>https://doi.org/10.1038/s41430-018-0176-0</w:t>
        </w:r>
      </w:hyperlink>
      <w:r w:rsidRPr="00B910BD">
        <w:t xml:space="preserve"> </w:t>
      </w:r>
    </w:p>
    <w:p w14:paraId="1BDE95F4" w14:textId="385AD01E" w:rsidR="00B910BD" w:rsidRPr="00B910BD" w:rsidRDefault="00B910BD" w:rsidP="00B910BD">
      <w:pPr>
        <w:pStyle w:val="EndNoteBibliography"/>
        <w:spacing w:after="0"/>
        <w:ind w:left="720" w:hanging="720"/>
      </w:pPr>
      <w:r w:rsidRPr="00B910BD">
        <w:t xml:space="preserve">McMahon, E., Webster, J., O'Dea, K., &amp; Brimblecombe, J. (2015). Dietary sodium and iodine in remote Indigenous Australian communities: will salt-reduction strategies increase risk of iodine deficiency? A cross-sectional analysis and simulation study. </w:t>
      </w:r>
      <w:r w:rsidRPr="00B910BD">
        <w:rPr>
          <w:i/>
        </w:rPr>
        <w:t>BMC Public Health</w:t>
      </w:r>
      <w:r w:rsidRPr="00B910BD">
        <w:t>,</w:t>
      </w:r>
      <w:r w:rsidRPr="00B910BD">
        <w:rPr>
          <w:i/>
        </w:rPr>
        <w:t xml:space="preserve"> 15</w:t>
      </w:r>
      <w:r w:rsidRPr="00B910BD">
        <w:t xml:space="preserve">, 1318. </w:t>
      </w:r>
      <w:hyperlink r:id="rId335" w:history="1">
        <w:r w:rsidRPr="00B910BD">
          <w:rPr>
            <w:rStyle w:val="Hyperlink"/>
          </w:rPr>
          <w:t>https://doi.org/10.1186/s12889-015-2686-1</w:t>
        </w:r>
      </w:hyperlink>
      <w:r w:rsidRPr="00B910BD">
        <w:t xml:space="preserve"> </w:t>
      </w:r>
    </w:p>
    <w:p w14:paraId="360F3489" w14:textId="087C8B32" w:rsidR="00B910BD" w:rsidRPr="00B910BD" w:rsidRDefault="00B910BD" w:rsidP="00B910BD">
      <w:pPr>
        <w:pStyle w:val="EndNoteBibliography"/>
        <w:spacing w:after="0"/>
        <w:ind w:left="720" w:hanging="720"/>
      </w:pPr>
      <w:r w:rsidRPr="00B910BD">
        <w:t xml:space="preserve">Meng, Y., Mynard, J. P., Smith, K. J., Juonala, M., Urbina, E. M., Niiranen, T., Daniels, S. R., Xi, B., &amp; Magnussen, C. G. (2024). Pediatric Blood Pressure and Cardiovascular Health in Adulthood. </w:t>
      </w:r>
      <w:r w:rsidRPr="00B910BD">
        <w:rPr>
          <w:i/>
        </w:rPr>
        <w:t>Curr Hypertens Rep</w:t>
      </w:r>
      <w:r w:rsidRPr="00B910BD">
        <w:t>,</w:t>
      </w:r>
      <w:r w:rsidRPr="00B910BD">
        <w:rPr>
          <w:i/>
        </w:rPr>
        <w:t xml:space="preserve"> 26</w:t>
      </w:r>
      <w:r w:rsidRPr="00B910BD">
        <w:t xml:space="preserve">(11), 431-450. </w:t>
      </w:r>
      <w:hyperlink r:id="rId336" w:history="1">
        <w:r w:rsidRPr="00B910BD">
          <w:rPr>
            <w:rStyle w:val="Hyperlink"/>
          </w:rPr>
          <w:t>https://doi.org/10.1007/s11906-024-01312-5</w:t>
        </w:r>
      </w:hyperlink>
      <w:r w:rsidRPr="00B910BD">
        <w:t xml:space="preserve"> </w:t>
      </w:r>
    </w:p>
    <w:p w14:paraId="3B379CDD" w14:textId="76256CBA" w:rsidR="00B910BD" w:rsidRPr="00B910BD" w:rsidRDefault="00B910BD" w:rsidP="00B910BD">
      <w:pPr>
        <w:pStyle w:val="EndNoteBibliography"/>
        <w:spacing w:after="0"/>
        <w:ind w:left="720" w:hanging="720"/>
      </w:pPr>
      <w:r w:rsidRPr="00B910BD">
        <w:lastRenderedPageBreak/>
        <w:t xml:space="preserve">Metcalf, P., Scragg, R., Schaaf, D., Dyall, L., Black, P., &amp; Jackson, R. (2008). Dietary intakes of European, Maori, Pacific and Asian adults living in Auckland: The Diabetes, Heart and Health Study. </w:t>
      </w:r>
      <w:r w:rsidRPr="00B910BD">
        <w:rPr>
          <w:i/>
        </w:rPr>
        <w:t>Australian and New Zealand journal of public health</w:t>
      </w:r>
      <w:r w:rsidRPr="00B910BD">
        <w:t>,</w:t>
      </w:r>
      <w:r w:rsidRPr="00B910BD">
        <w:rPr>
          <w:i/>
        </w:rPr>
        <w:t xml:space="preserve"> 32</w:t>
      </w:r>
      <w:r w:rsidRPr="00B910BD">
        <w:t xml:space="preserve">, 454-460. </w:t>
      </w:r>
      <w:hyperlink r:id="rId337" w:history="1">
        <w:r w:rsidRPr="00B910BD">
          <w:rPr>
            <w:rStyle w:val="Hyperlink"/>
          </w:rPr>
          <w:t>https://doi.org/10.1111/j.1753-6405.2008.00279.x</w:t>
        </w:r>
      </w:hyperlink>
      <w:r w:rsidRPr="00B910BD">
        <w:t xml:space="preserve"> </w:t>
      </w:r>
    </w:p>
    <w:p w14:paraId="5A4DBE70" w14:textId="3F79D30C" w:rsidR="00B910BD" w:rsidRPr="00B910BD" w:rsidRDefault="00B910BD" w:rsidP="00B910BD">
      <w:pPr>
        <w:pStyle w:val="EndNoteBibliography"/>
        <w:spacing w:after="0"/>
        <w:ind w:left="720" w:hanging="720"/>
      </w:pPr>
      <w:r w:rsidRPr="00B910BD">
        <w:t xml:space="preserve">Mhurchu, C. N., Eyles, H., &amp; Choi, Y. H. (2017). Effects of a Voluntary Front-of-Pack Nutrition Labelling System on Packaged Food Reformulation: The Health Star Rating System in New Zealand. </w:t>
      </w:r>
      <w:r w:rsidRPr="00B910BD">
        <w:rPr>
          <w:i/>
        </w:rPr>
        <w:t>Nutrients</w:t>
      </w:r>
      <w:r w:rsidRPr="00B910BD">
        <w:t>,</w:t>
      </w:r>
      <w:r w:rsidRPr="00B910BD">
        <w:rPr>
          <w:i/>
        </w:rPr>
        <w:t xml:space="preserve"> 9</w:t>
      </w:r>
      <w:r w:rsidRPr="00B910BD">
        <w:t xml:space="preserve">(8). </w:t>
      </w:r>
      <w:hyperlink r:id="rId338" w:history="1">
        <w:r w:rsidRPr="00B910BD">
          <w:rPr>
            <w:rStyle w:val="Hyperlink"/>
          </w:rPr>
          <w:t>https://doi.org/10.3390/nu9080918</w:t>
        </w:r>
      </w:hyperlink>
      <w:r w:rsidRPr="00B910BD">
        <w:t xml:space="preserve"> </w:t>
      </w:r>
    </w:p>
    <w:p w14:paraId="27B59ECB" w14:textId="5A3F10DC" w:rsidR="00B910BD" w:rsidRPr="00B910BD" w:rsidRDefault="00B910BD" w:rsidP="00B910BD">
      <w:pPr>
        <w:pStyle w:val="EndNoteBibliography"/>
        <w:spacing w:after="0"/>
        <w:ind w:left="720" w:hanging="720"/>
      </w:pPr>
      <w:r w:rsidRPr="00B910BD">
        <w:t xml:space="preserve">Milajerdi, A., Djafarian, K., &amp; Shab-Bidar, S. (2019). Dose-response association of dietary sodium intake with all-cause and cardiovascular mortality: a systematic review and meta-analysis of prospective studies. </w:t>
      </w:r>
      <w:r w:rsidRPr="00B910BD">
        <w:rPr>
          <w:i/>
        </w:rPr>
        <w:t>Public Health Nutr</w:t>
      </w:r>
      <w:r w:rsidRPr="00B910BD">
        <w:t>,</w:t>
      </w:r>
      <w:r w:rsidRPr="00B910BD">
        <w:rPr>
          <w:i/>
        </w:rPr>
        <w:t xml:space="preserve"> 22</w:t>
      </w:r>
      <w:r w:rsidRPr="00B910BD">
        <w:t xml:space="preserve">(2), 295-306. </w:t>
      </w:r>
      <w:hyperlink r:id="rId339" w:history="1">
        <w:r w:rsidRPr="00B910BD">
          <w:rPr>
            <w:rStyle w:val="Hyperlink"/>
          </w:rPr>
          <w:t>https://doi.org/10.1017/s1368980018002112</w:t>
        </w:r>
      </w:hyperlink>
      <w:r w:rsidRPr="00B910BD">
        <w:t xml:space="preserve"> </w:t>
      </w:r>
    </w:p>
    <w:p w14:paraId="09308400" w14:textId="14D9FFEF" w:rsidR="00B910BD" w:rsidRPr="00B910BD" w:rsidRDefault="00B910BD" w:rsidP="00B910BD">
      <w:pPr>
        <w:pStyle w:val="EndNoteBibliography"/>
        <w:spacing w:after="0"/>
        <w:ind w:left="720" w:hanging="720"/>
      </w:pPr>
      <w:r w:rsidRPr="00B910BD">
        <w:t xml:space="preserve">Monro, D., Hu, N., &amp; McLean, R. M. (2025). Food Reformulation in New Zealand: A Success Story of Reducing the Sodium Content in Bread from 2003 to 2023. </w:t>
      </w:r>
      <w:r w:rsidRPr="00B910BD">
        <w:rPr>
          <w:i/>
        </w:rPr>
        <w:t>Nutrients</w:t>
      </w:r>
      <w:r w:rsidRPr="00B910BD">
        <w:t>,</w:t>
      </w:r>
      <w:r w:rsidRPr="00B910BD">
        <w:rPr>
          <w:i/>
        </w:rPr>
        <w:t xml:space="preserve"> 17</w:t>
      </w:r>
      <w:r w:rsidRPr="00B910BD">
        <w:t xml:space="preserve">(22), 3627. </w:t>
      </w:r>
      <w:hyperlink r:id="rId340" w:history="1">
        <w:r w:rsidRPr="00B910BD">
          <w:rPr>
            <w:rStyle w:val="Hyperlink"/>
          </w:rPr>
          <w:t>https://www.mdpi.com/2072-6643/17/22/3627</w:t>
        </w:r>
      </w:hyperlink>
      <w:r w:rsidRPr="00B910BD">
        <w:t xml:space="preserve"> </w:t>
      </w:r>
    </w:p>
    <w:p w14:paraId="6E7C693D" w14:textId="6A7E386D" w:rsidR="00B910BD" w:rsidRPr="00B910BD" w:rsidRDefault="00B910BD" w:rsidP="00B910BD">
      <w:pPr>
        <w:pStyle w:val="EndNoteBibliography"/>
        <w:spacing w:after="0"/>
        <w:ind w:left="720" w:hanging="720"/>
      </w:pPr>
      <w:r w:rsidRPr="00B910BD">
        <w:t xml:space="preserve">Moreno, S. V., Grimes, C., Bolton, K. A., Uddin, R., Siopis, G., Maddison, R., &amp; Islam, S. M. S. (2024). The burden of cardiovascular disease attributable to high dietary sodium intake in Australia between 1990 and 2019. </w:t>
      </w:r>
      <w:r w:rsidRPr="00B910BD">
        <w:rPr>
          <w:i/>
        </w:rPr>
        <w:t>J Hypertens</w:t>
      </w:r>
      <w:r w:rsidRPr="00B910BD">
        <w:t>,</w:t>
      </w:r>
      <w:r w:rsidRPr="00B910BD">
        <w:rPr>
          <w:i/>
        </w:rPr>
        <w:t xml:space="preserve"> 42</w:t>
      </w:r>
      <w:r w:rsidRPr="00B910BD">
        <w:t xml:space="preserve">(7), 1163-1172. </w:t>
      </w:r>
      <w:hyperlink r:id="rId341" w:history="1">
        <w:r w:rsidRPr="00B910BD">
          <w:rPr>
            <w:rStyle w:val="Hyperlink"/>
          </w:rPr>
          <w:t>https://doi.org/10.1097/hjh.0000000000003699</w:t>
        </w:r>
      </w:hyperlink>
      <w:r w:rsidRPr="00B910BD">
        <w:t xml:space="preserve"> </w:t>
      </w:r>
    </w:p>
    <w:p w14:paraId="161C44C2" w14:textId="77777777" w:rsidR="00B910BD" w:rsidRPr="00B910BD" w:rsidRDefault="00B910BD" w:rsidP="00B910BD">
      <w:pPr>
        <w:pStyle w:val="EndNoteBibliography"/>
        <w:spacing w:after="0"/>
        <w:ind w:left="720" w:hanging="720"/>
      </w:pPr>
      <w:r w:rsidRPr="00B910BD">
        <w:t xml:space="preserve">Morriss, F. H., Jr., Brewer, E. D., Spedale, S. B., Riddle, L., Temple, D. M., Caprioli, R. M., &amp; West, M. S. (1986). Relationship of human milk pH during course of lactation to concentrations of citrate and fatty acids. </w:t>
      </w:r>
      <w:r w:rsidRPr="00B910BD">
        <w:rPr>
          <w:i/>
        </w:rPr>
        <w:t>Pediatrics</w:t>
      </w:r>
      <w:r w:rsidRPr="00B910BD">
        <w:t>,</w:t>
      </w:r>
      <w:r w:rsidRPr="00B910BD">
        <w:rPr>
          <w:i/>
        </w:rPr>
        <w:t xml:space="preserve"> 78</w:t>
      </w:r>
      <w:r w:rsidRPr="00B910BD">
        <w:t xml:space="preserve">(3), 458-464. </w:t>
      </w:r>
    </w:p>
    <w:p w14:paraId="271D67FB" w14:textId="7335712D" w:rsidR="00B910BD" w:rsidRPr="00B910BD" w:rsidRDefault="00B910BD" w:rsidP="00B910BD">
      <w:pPr>
        <w:pStyle w:val="EndNoteBibliography"/>
        <w:spacing w:after="0"/>
        <w:ind w:left="720" w:hanging="720"/>
      </w:pPr>
      <w:r w:rsidRPr="00B910BD">
        <w:t xml:space="preserve">Motil, K. J., Kertz, B., &amp; Thotathuchery, M. (1997). Lactational performance of adolescent mothers shows preliminary differences from that of adult women. </w:t>
      </w:r>
      <w:r w:rsidRPr="00B910BD">
        <w:rPr>
          <w:i/>
        </w:rPr>
        <w:t>J Adolesc Health</w:t>
      </w:r>
      <w:r w:rsidRPr="00B910BD">
        <w:t>,</w:t>
      </w:r>
      <w:r w:rsidRPr="00B910BD">
        <w:rPr>
          <w:i/>
        </w:rPr>
        <w:t xml:space="preserve"> 20</w:t>
      </w:r>
      <w:r w:rsidRPr="00B910BD">
        <w:t xml:space="preserve">(6), 442-449. </w:t>
      </w:r>
      <w:hyperlink r:id="rId342" w:history="1">
        <w:r w:rsidRPr="00B910BD">
          <w:rPr>
            <w:rStyle w:val="Hyperlink"/>
          </w:rPr>
          <w:t>https://doi.org/10.1016/s1054-139x(97)00036-0</w:t>
        </w:r>
      </w:hyperlink>
      <w:r w:rsidRPr="00B910BD">
        <w:t xml:space="preserve"> </w:t>
      </w:r>
    </w:p>
    <w:p w14:paraId="20A2F3F5" w14:textId="26C2B92F" w:rsidR="00B910BD" w:rsidRPr="00B910BD" w:rsidRDefault="00B910BD" w:rsidP="00B910BD">
      <w:pPr>
        <w:pStyle w:val="EndNoteBibliography"/>
        <w:spacing w:after="0"/>
        <w:ind w:left="720" w:hanging="720"/>
      </w:pPr>
      <w:r w:rsidRPr="00B910BD">
        <w:t xml:space="preserve">National Academies of Sciences, E., and Medicine. (2019). </w:t>
      </w:r>
      <w:r w:rsidRPr="00B910BD">
        <w:rPr>
          <w:i/>
        </w:rPr>
        <w:t>Dietary Reference Intakes for Sodium and Potassium</w:t>
      </w:r>
      <w:r w:rsidRPr="00B910BD">
        <w:t xml:space="preserve"> (H. M. Oria M, Stallings VA,, Ed.). National Academies Press (US). </w:t>
      </w:r>
      <w:hyperlink r:id="rId343" w:history="1">
        <w:r w:rsidRPr="00B910BD">
          <w:rPr>
            <w:rStyle w:val="Hyperlink"/>
          </w:rPr>
          <w:t>https://www.ncbi.nlm.nih.gov/sites/books/NBK545445/</w:t>
        </w:r>
      </w:hyperlink>
      <w:r w:rsidRPr="00B910BD">
        <w:t xml:space="preserve"> </w:t>
      </w:r>
    </w:p>
    <w:p w14:paraId="3C03B447" w14:textId="77777777" w:rsidR="00B910BD" w:rsidRPr="00B910BD" w:rsidRDefault="00B910BD" w:rsidP="00B910BD">
      <w:pPr>
        <w:pStyle w:val="EndNoteBibliography"/>
        <w:spacing w:after="0"/>
        <w:ind w:left="720" w:hanging="720"/>
      </w:pPr>
      <w:r w:rsidRPr="00B910BD">
        <w:t xml:space="preserve">National Health and Medical Research Council, N. (2006a). </w:t>
      </w:r>
      <w:r w:rsidRPr="00B910BD">
        <w:rPr>
          <w:i/>
        </w:rPr>
        <w:t>Evidence Appendix for the 2006 Nutrient Reference Values for Australia and New Zealand</w:t>
      </w:r>
      <w:r w:rsidRPr="00B910BD">
        <w:t>. Canberra, ACT</w:t>
      </w:r>
    </w:p>
    <w:p w14:paraId="76D72C29" w14:textId="4DD5CA41" w:rsidR="00B910BD" w:rsidRPr="00B910BD" w:rsidRDefault="00B910BD" w:rsidP="00B910BD">
      <w:pPr>
        <w:pStyle w:val="EndNoteBibliography"/>
        <w:spacing w:after="0"/>
        <w:ind w:left="720" w:hanging="720"/>
      </w:pPr>
      <w:r w:rsidRPr="00B910BD">
        <w:t xml:space="preserve">National Health and Medical Research Council, N. (2006b). </w:t>
      </w:r>
      <w:r w:rsidRPr="00B910BD">
        <w:rPr>
          <w:i/>
        </w:rPr>
        <w:t>Nutrient Reference Values for Australia and New Zealand</w:t>
      </w:r>
      <w:r w:rsidRPr="00B910BD">
        <w:t xml:space="preserve">. Canberra: NHMRC Retrieved from </w:t>
      </w:r>
      <w:hyperlink r:id="rId344" w:history="1">
        <w:r w:rsidRPr="00B910BD">
          <w:rPr>
            <w:rStyle w:val="Hyperlink"/>
          </w:rPr>
          <w:t>https://www.nhmrc.gov.au/about-us/publications/nutrient-reference-values-australia-and-new-zealand-including-recommended-dietary-intakes</w:t>
        </w:r>
      </w:hyperlink>
    </w:p>
    <w:p w14:paraId="471DF2A8" w14:textId="77777777" w:rsidR="00B910BD" w:rsidRPr="00B910BD" w:rsidRDefault="00B910BD" w:rsidP="00B910BD">
      <w:pPr>
        <w:pStyle w:val="EndNoteBibliography"/>
        <w:spacing w:after="0"/>
        <w:ind w:left="720" w:hanging="720"/>
      </w:pPr>
      <w:r w:rsidRPr="00B910BD">
        <w:t>National Health and Medical Research Council, N. (2011). A Modelling System to Inform the Revision of the Australian Guide to Healthy Eating. In N. National Health and Medical Research Council (Ed.). Canberra, ACT.</w:t>
      </w:r>
    </w:p>
    <w:p w14:paraId="6B731011" w14:textId="5524B665" w:rsidR="00B910BD" w:rsidRPr="00B910BD" w:rsidRDefault="00B910BD" w:rsidP="00B910BD">
      <w:pPr>
        <w:pStyle w:val="EndNoteBibliography"/>
        <w:spacing w:after="0"/>
        <w:ind w:left="720" w:hanging="720"/>
      </w:pPr>
      <w:r w:rsidRPr="00B910BD">
        <w:t xml:space="preserve">National Health and Medical Research Council, N. (2013). </w:t>
      </w:r>
      <w:r w:rsidRPr="00B910BD">
        <w:rPr>
          <w:i/>
        </w:rPr>
        <w:t>Australian Dietary Guidelines - Educator Guide</w:t>
      </w:r>
      <w:r w:rsidRPr="00B910BD">
        <w:t xml:space="preserve">. Canberra Retrieved from </w:t>
      </w:r>
      <w:hyperlink r:id="rId345" w:history="1">
        <w:r w:rsidRPr="00B910BD">
          <w:rPr>
            <w:rStyle w:val="Hyperlink"/>
          </w:rPr>
          <w:t>https://www.eatforhealth.gov.au/sites/default/files/files/the_guidelines/n55b_eat_for_health_educators_guide.pdf</w:t>
        </w:r>
      </w:hyperlink>
    </w:p>
    <w:p w14:paraId="4A04C22E" w14:textId="267F5069" w:rsidR="00B910BD" w:rsidRPr="00B910BD" w:rsidRDefault="00B910BD" w:rsidP="00B910BD">
      <w:pPr>
        <w:pStyle w:val="EndNoteBibliography"/>
        <w:spacing w:after="0"/>
        <w:ind w:left="720" w:hanging="720"/>
      </w:pPr>
      <w:r w:rsidRPr="00B910BD">
        <w:t xml:space="preserve">National Health and Medical Research Council, N. (2019). </w:t>
      </w:r>
      <w:r w:rsidRPr="00B910BD">
        <w:rPr>
          <w:i/>
        </w:rPr>
        <w:t>Policy on the Disclosure of Interests Requirements for Prospective and Appointed NHMRC Committee Members</w:t>
      </w:r>
      <w:r w:rsidRPr="00B910BD">
        <w:t xml:space="preserve">.  Retrieved from </w:t>
      </w:r>
      <w:hyperlink r:id="rId346" w:history="1">
        <w:r w:rsidRPr="00B910BD">
          <w:rPr>
            <w:rStyle w:val="Hyperlink"/>
          </w:rPr>
          <w:t>https://www.nhmrc.gov.au/sites/default/files/documents/attachments/publications/policy-on-the-disclosure-of-interests-requirements.pdf</w:t>
        </w:r>
      </w:hyperlink>
    </w:p>
    <w:p w14:paraId="35AABD75" w14:textId="77777777" w:rsidR="00B910BD" w:rsidRPr="00B910BD" w:rsidRDefault="00B910BD" w:rsidP="00B910BD">
      <w:pPr>
        <w:pStyle w:val="EndNoteBibliography"/>
        <w:spacing w:after="0"/>
        <w:ind w:left="720" w:hanging="720"/>
      </w:pPr>
      <w:r w:rsidRPr="00B910BD">
        <w:t xml:space="preserve">National Health and Medical Research Council, N. (2026). </w:t>
      </w:r>
      <w:r w:rsidRPr="00B910BD">
        <w:rPr>
          <w:i/>
        </w:rPr>
        <w:t>Methodological Framework for the Review of Nutrient Reference Values</w:t>
      </w:r>
      <w:r w:rsidRPr="00B910BD">
        <w:t>. Canberra, ACT: NHMRC Retrieved from URL TBC ONCE PUBLISHED</w:t>
      </w:r>
    </w:p>
    <w:p w14:paraId="5E4DC45D" w14:textId="7F727B79" w:rsidR="00B910BD" w:rsidRPr="00B910BD" w:rsidRDefault="00B910BD" w:rsidP="00B910BD">
      <w:pPr>
        <w:pStyle w:val="EndNoteBibliography"/>
        <w:spacing w:after="0"/>
        <w:ind w:left="720" w:hanging="720"/>
      </w:pPr>
      <w:r w:rsidRPr="00B910BD">
        <w:t xml:space="preserve">Ndanuko, R. N., Ibrahim, R., Hapsari, R. A., Neale, E. P., Raubenheimer, D., &amp; Charlton, K. E. (2021). Association between the Urinary Sodium to Potassium Ratio and Blood Pressure in Adults: A Systematic Review and Meta-Analysis. </w:t>
      </w:r>
      <w:r w:rsidRPr="00B910BD">
        <w:rPr>
          <w:i/>
        </w:rPr>
        <w:t>Adv Nutr</w:t>
      </w:r>
      <w:r w:rsidRPr="00B910BD">
        <w:t>,</w:t>
      </w:r>
      <w:r w:rsidRPr="00B910BD">
        <w:rPr>
          <w:i/>
        </w:rPr>
        <w:t xml:space="preserve"> 12</w:t>
      </w:r>
      <w:r w:rsidRPr="00B910BD">
        <w:t xml:space="preserve">(5), 1751-1767. </w:t>
      </w:r>
      <w:hyperlink r:id="rId347" w:history="1">
        <w:r w:rsidRPr="00B910BD">
          <w:rPr>
            <w:rStyle w:val="Hyperlink"/>
          </w:rPr>
          <w:t>https://doi.org/10.1093/advances/nmab036</w:t>
        </w:r>
      </w:hyperlink>
      <w:r w:rsidRPr="00B910BD">
        <w:t xml:space="preserve"> </w:t>
      </w:r>
    </w:p>
    <w:p w14:paraId="7E296EEB" w14:textId="1B8AB2E3" w:rsidR="00B910BD" w:rsidRPr="00B910BD" w:rsidRDefault="00B910BD" w:rsidP="00B910BD">
      <w:pPr>
        <w:pStyle w:val="EndNoteBibliography"/>
        <w:spacing w:after="0"/>
        <w:ind w:left="720" w:hanging="720"/>
      </w:pPr>
      <w:r w:rsidRPr="00B910BD">
        <w:t xml:space="preserve">New Zealand Food Safety. (2018). </w:t>
      </w:r>
      <w:r w:rsidRPr="00B910BD">
        <w:rPr>
          <w:i/>
        </w:rPr>
        <w:t>New Zealand Total Diet Study 2016</w:t>
      </w:r>
      <w:r w:rsidRPr="00B910BD">
        <w:t xml:space="preserve">.  Retrieved from </w:t>
      </w:r>
      <w:hyperlink r:id="rId348" w:history="1">
        <w:r w:rsidRPr="00B910BD">
          <w:rPr>
            <w:rStyle w:val="Hyperlink"/>
          </w:rPr>
          <w:t>https://www.mpi.govt.nz/dmsdocument/43663-2016-NZ-Total-Diet-Study-without-Appendices-report-</w:t>
        </w:r>
      </w:hyperlink>
    </w:p>
    <w:p w14:paraId="57A3BC37" w14:textId="77777777" w:rsidR="00B910BD" w:rsidRPr="00B910BD" w:rsidRDefault="00B910BD" w:rsidP="00B910BD">
      <w:pPr>
        <w:pStyle w:val="EndNoteBibliography"/>
        <w:spacing w:after="0"/>
        <w:ind w:left="720" w:hanging="720"/>
      </w:pPr>
      <w:r w:rsidRPr="00B910BD">
        <w:t xml:space="preserve">Newberry, S. J., Chung, M., Anderson, C. A. M., Chen, C., Fu, Z., Tang, A., Zhao, N., Booth, M., Marks, J., Hollands, S., Motala, A., Larkin, J., Shanman, R., &amp; Hempel, S. (2018). Sodium and Potassium Intake: Effects on Chronic Disease Outcomes and Risks. In. Agency for Healthcare Research and Quality (US). </w:t>
      </w:r>
    </w:p>
    <w:p w14:paraId="7AE4720B" w14:textId="4A7183D9" w:rsidR="00B910BD" w:rsidRPr="00B910BD" w:rsidRDefault="00B910BD" w:rsidP="00B910BD">
      <w:pPr>
        <w:pStyle w:val="EndNoteBibliography"/>
        <w:spacing w:after="0"/>
        <w:ind w:left="720" w:hanging="720"/>
      </w:pPr>
      <w:r w:rsidRPr="00B910BD">
        <w:lastRenderedPageBreak/>
        <w:t xml:space="preserve">Nowson, C., Lim, K., Land, M. A., Webster, J., Shaw, J. E., Chalmers, J., Flood, V., Woodward, M., &amp; Grimes, C. (2018). Salt intake and dietary sources of salt on weekdays and weekend days in Australian adults. </w:t>
      </w:r>
      <w:r w:rsidRPr="00B910BD">
        <w:rPr>
          <w:i/>
        </w:rPr>
        <w:t>Public Health Nutr</w:t>
      </w:r>
      <w:r w:rsidRPr="00B910BD">
        <w:t>,</w:t>
      </w:r>
      <w:r w:rsidRPr="00B910BD">
        <w:rPr>
          <w:i/>
        </w:rPr>
        <w:t xml:space="preserve"> 21</w:t>
      </w:r>
      <w:r w:rsidRPr="00B910BD">
        <w:t xml:space="preserve">(12), 2174-2182. </w:t>
      </w:r>
      <w:hyperlink r:id="rId349" w:history="1">
        <w:r w:rsidRPr="00B910BD">
          <w:rPr>
            <w:rStyle w:val="Hyperlink"/>
          </w:rPr>
          <w:t>https://doi.org/10.1017/s1368980017004104</w:t>
        </w:r>
      </w:hyperlink>
      <w:r w:rsidRPr="00B910BD">
        <w:t xml:space="preserve"> </w:t>
      </w:r>
    </w:p>
    <w:p w14:paraId="1E276705" w14:textId="7C3DC37E" w:rsidR="00B910BD" w:rsidRPr="00B910BD" w:rsidRDefault="00B910BD" w:rsidP="00B910BD">
      <w:pPr>
        <w:pStyle w:val="EndNoteBibliography"/>
        <w:spacing w:after="0"/>
        <w:ind w:left="720" w:hanging="720"/>
      </w:pPr>
      <w:r w:rsidRPr="00B910BD">
        <w:t xml:space="preserve">NSW Government Agency for Clincal Innovation. (2026). </w:t>
      </w:r>
      <w:r w:rsidRPr="00B910BD">
        <w:rPr>
          <w:i/>
        </w:rPr>
        <w:t>Nutrient Goal Standard for adult patients</w:t>
      </w:r>
      <w:r w:rsidRPr="00B910BD">
        <w:t xml:space="preserve">.  Retrieved from </w:t>
      </w:r>
      <w:hyperlink r:id="rId350" w:anchor="sodium" w:history="1">
        <w:r w:rsidRPr="00B910BD">
          <w:rPr>
            <w:rStyle w:val="Hyperlink"/>
          </w:rPr>
          <w:t>https://aci.health.nsw.gov.au/projects/nutrition-standards/adult/nutrient-goals#sodium</w:t>
        </w:r>
      </w:hyperlink>
    </w:p>
    <w:p w14:paraId="1E41488B" w14:textId="7EE00AEB" w:rsidR="00B910BD" w:rsidRPr="00B910BD" w:rsidRDefault="00B910BD" w:rsidP="00B910BD">
      <w:pPr>
        <w:pStyle w:val="EndNoteBibliography"/>
        <w:spacing w:after="0"/>
        <w:ind w:left="720" w:hanging="720"/>
      </w:pPr>
      <w:r w:rsidRPr="00B910BD">
        <w:t xml:space="preserve">O'Halloran, S. A., Grimes, C. A., Lacy, K. E., Nowson, C. A., &amp; Campbell, K. J. (2016). Dietary sources and sodium intake in a sample of Australian preschool children. </w:t>
      </w:r>
      <w:r w:rsidRPr="00B910BD">
        <w:rPr>
          <w:i/>
        </w:rPr>
        <w:t>BMJ Open</w:t>
      </w:r>
      <w:r w:rsidRPr="00B910BD">
        <w:t>,</w:t>
      </w:r>
      <w:r w:rsidRPr="00B910BD">
        <w:rPr>
          <w:i/>
        </w:rPr>
        <w:t xml:space="preserve"> 6</w:t>
      </w:r>
      <w:r w:rsidRPr="00B910BD">
        <w:t xml:space="preserve">(2), e008698. </w:t>
      </w:r>
      <w:hyperlink r:id="rId351" w:history="1">
        <w:r w:rsidRPr="00B910BD">
          <w:rPr>
            <w:rStyle w:val="Hyperlink"/>
          </w:rPr>
          <w:t>https://doi.org/10.1136/bmjopen-2015-008698</w:t>
        </w:r>
      </w:hyperlink>
      <w:r w:rsidRPr="00B910BD">
        <w:t xml:space="preserve"> </w:t>
      </w:r>
    </w:p>
    <w:p w14:paraId="3ACA5A40" w14:textId="3F237F70" w:rsidR="00B910BD" w:rsidRPr="00B910BD" w:rsidRDefault="00B910BD" w:rsidP="00B910BD">
      <w:pPr>
        <w:pStyle w:val="EndNoteBibliography"/>
        <w:spacing w:after="0"/>
        <w:ind w:left="720" w:hanging="720"/>
      </w:pPr>
      <w:r w:rsidRPr="00B910BD">
        <w:t xml:space="preserve">Oliver, W. J., Neel, J. V., Grekin, R. J., &amp; Cohen, E. L. (1981). Hormonal adaptation to the stresses imposed upon sodium balance by pregnancy and lactation in the Yanomama Indians, a culture without salt. </w:t>
      </w:r>
      <w:r w:rsidRPr="00B910BD">
        <w:rPr>
          <w:i/>
        </w:rPr>
        <w:t>Circulation</w:t>
      </w:r>
      <w:r w:rsidRPr="00B910BD">
        <w:t>,</w:t>
      </w:r>
      <w:r w:rsidRPr="00B910BD">
        <w:rPr>
          <w:i/>
        </w:rPr>
        <w:t xml:space="preserve"> 63</w:t>
      </w:r>
      <w:r w:rsidRPr="00B910BD">
        <w:t xml:space="preserve">(1), 110-116. </w:t>
      </w:r>
      <w:hyperlink r:id="rId352" w:history="1">
        <w:r w:rsidRPr="00B910BD">
          <w:rPr>
            <w:rStyle w:val="Hyperlink"/>
          </w:rPr>
          <w:t>https://doi.org/10.1161/01.cir.63.1.110</w:t>
        </w:r>
      </w:hyperlink>
      <w:r w:rsidRPr="00B910BD">
        <w:t xml:space="preserve"> </w:t>
      </w:r>
    </w:p>
    <w:p w14:paraId="70F9A556" w14:textId="77777777" w:rsidR="00B910BD" w:rsidRPr="00B910BD" w:rsidRDefault="00B910BD" w:rsidP="00B910BD">
      <w:pPr>
        <w:pStyle w:val="EndNoteBibliography"/>
        <w:spacing w:after="0"/>
        <w:ind w:left="720" w:hanging="720"/>
      </w:pPr>
      <w:r w:rsidRPr="00B910BD">
        <w:t xml:space="preserve">Organization, W. H. (2012). Report of the Formal Meeting of Member States to conclude the work on the comprehensive global monitoring framework, including indicators, and a set of voluntary global targets for the prevention and control of noncommunicable diseases. </w:t>
      </w:r>
      <w:r w:rsidRPr="00B910BD">
        <w:rPr>
          <w:i/>
        </w:rPr>
        <w:t>World Health Organization: Geneva, Switzerland</w:t>
      </w:r>
      <w:r w:rsidRPr="00B910BD">
        <w:t>,</w:t>
      </w:r>
      <w:r w:rsidRPr="00B910BD">
        <w:rPr>
          <w:i/>
        </w:rPr>
        <w:t xml:space="preserve"> 6</w:t>
      </w:r>
      <w:r w:rsidRPr="00B910BD">
        <w:t xml:space="preserve">. </w:t>
      </w:r>
    </w:p>
    <w:p w14:paraId="381BE1FE" w14:textId="7545816C" w:rsidR="00B910BD" w:rsidRPr="00B910BD" w:rsidRDefault="00B910BD" w:rsidP="00B910BD">
      <w:pPr>
        <w:pStyle w:val="EndNoteBibliography"/>
        <w:spacing w:after="0"/>
        <w:ind w:left="720" w:hanging="720"/>
      </w:pPr>
      <w:r w:rsidRPr="00B910BD">
        <w:t xml:space="preserve">Palacios, C., Wigertz, K., Martin, B. R., Jackman, L., Pratt, J. H., Peacock, M., McCabe, G., &amp; Weaver, C. M. (2004). Sodium retention in black and white female adolescents in response to salt intake. </w:t>
      </w:r>
      <w:r w:rsidRPr="00B910BD">
        <w:rPr>
          <w:i/>
        </w:rPr>
        <w:t>J Clin Endocrinol Metab</w:t>
      </w:r>
      <w:r w:rsidRPr="00B910BD">
        <w:t>,</w:t>
      </w:r>
      <w:r w:rsidRPr="00B910BD">
        <w:rPr>
          <w:i/>
        </w:rPr>
        <w:t xml:space="preserve"> 89</w:t>
      </w:r>
      <w:r w:rsidRPr="00B910BD">
        <w:t xml:space="preserve">(4), 1858-1863. </w:t>
      </w:r>
      <w:hyperlink r:id="rId353" w:history="1">
        <w:r w:rsidRPr="00B910BD">
          <w:rPr>
            <w:rStyle w:val="Hyperlink"/>
          </w:rPr>
          <w:t>https://doi.org/10.1210/jc.2003-031446</w:t>
        </w:r>
      </w:hyperlink>
      <w:r w:rsidRPr="00B910BD">
        <w:t xml:space="preserve"> </w:t>
      </w:r>
    </w:p>
    <w:p w14:paraId="32421B5D" w14:textId="549DB54D" w:rsidR="00B910BD" w:rsidRPr="00B910BD" w:rsidRDefault="00B910BD" w:rsidP="00B910BD">
      <w:pPr>
        <w:pStyle w:val="EndNoteBibliography"/>
        <w:spacing w:after="0"/>
        <w:ind w:left="720" w:hanging="720"/>
      </w:pPr>
      <w:r w:rsidRPr="00B910BD">
        <w:t xml:space="preserve">Parker, M., Puddey, I. B., Beilin, L. J., &amp; Vandongen, R. (1990). Two-way factorial study of alcohol and salt restriction in treated hypertensive men. </w:t>
      </w:r>
      <w:r w:rsidRPr="00B910BD">
        <w:rPr>
          <w:i/>
        </w:rPr>
        <w:t>Hypertension</w:t>
      </w:r>
      <w:r w:rsidRPr="00B910BD">
        <w:t>,</w:t>
      </w:r>
      <w:r w:rsidRPr="00B910BD">
        <w:rPr>
          <w:i/>
        </w:rPr>
        <w:t xml:space="preserve"> 16</w:t>
      </w:r>
      <w:r w:rsidRPr="00B910BD">
        <w:t xml:space="preserve">(4), 398-406. </w:t>
      </w:r>
      <w:hyperlink r:id="rId354" w:history="1">
        <w:r w:rsidRPr="00B910BD">
          <w:rPr>
            <w:rStyle w:val="Hyperlink"/>
          </w:rPr>
          <w:t>https://doi.org/10.1161/01.hyp.16.4.398</w:t>
        </w:r>
      </w:hyperlink>
      <w:r w:rsidRPr="00B910BD">
        <w:t xml:space="preserve"> </w:t>
      </w:r>
    </w:p>
    <w:p w14:paraId="55161408" w14:textId="62BE5670" w:rsidR="00B910BD" w:rsidRPr="00B910BD" w:rsidRDefault="00B910BD" w:rsidP="00B910BD">
      <w:pPr>
        <w:pStyle w:val="EndNoteBibliography"/>
        <w:spacing w:after="0"/>
        <w:ind w:left="720" w:hanging="720"/>
      </w:pPr>
      <w:r w:rsidRPr="00B910BD">
        <w:t xml:space="preserve">Perez, V., &amp; Chang, E. T. (2014). Sodium-to-potassium ratio and blood pressure, hypertension, and related factors. </w:t>
      </w:r>
      <w:r w:rsidRPr="00B910BD">
        <w:rPr>
          <w:i/>
        </w:rPr>
        <w:t>Adv Nutr</w:t>
      </w:r>
      <w:r w:rsidRPr="00B910BD">
        <w:t>,</w:t>
      </w:r>
      <w:r w:rsidRPr="00B910BD">
        <w:rPr>
          <w:i/>
        </w:rPr>
        <w:t xml:space="preserve"> 5</w:t>
      </w:r>
      <w:r w:rsidRPr="00B910BD">
        <w:t xml:space="preserve">(6), 712-741. </w:t>
      </w:r>
      <w:hyperlink r:id="rId355" w:history="1">
        <w:r w:rsidRPr="00B910BD">
          <w:rPr>
            <w:rStyle w:val="Hyperlink"/>
          </w:rPr>
          <w:t>https://doi.org/10.3945/an.114.006783</w:t>
        </w:r>
      </w:hyperlink>
      <w:r w:rsidRPr="00B910BD">
        <w:t xml:space="preserve"> </w:t>
      </w:r>
    </w:p>
    <w:p w14:paraId="078BD08A" w14:textId="37D9ED94" w:rsidR="00B910BD" w:rsidRPr="00B910BD" w:rsidRDefault="00B910BD" w:rsidP="00B910BD">
      <w:pPr>
        <w:pStyle w:val="EndNoteBibliography"/>
        <w:spacing w:after="0"/>
        <w:ind w:left="720" w:hanging="720"/>
      </w:pPr>
      <w:r w:rsidRPr="00B910BD">
        <w:t xml:space="preserve">Perrin, M. T., Fogleman, A. D., Newburg, D. S., &amp; Allen, J. C. (2017). A longitudinal study of human milk composition in the second year postpartum: implications for human milk banking. </w:t>
      </w:r>
      <w:r w:rsidRPr="00B910BD">
        <w:rPr>
          <w:i/>
        </w:rPr>
        <w:t>Matern Child Nutr</w:t>
      </w:r>
      <w:r w:rsidRPr="00B910BD">
        <w:t>,</w:t>
      </w:r>
      <w:r w:rsidRPr="00B910BD">
        <w:rPr>
          <w:i/>
        </w:rPr>
        <w:t xml:space="preserve"> 13</w:t>
      </w:r>
      <w:r w:rsidRPr="00B910BD">
        <w:t xml:space="preserve">(1). </w:t>
      </w:r>
      <w:hyperlink r:id="rId356" w:history="1">
        <w:r w:rsidRPr="00B910BD">
          <w:rPr>
            <w:rStyle w:val="Hyperlink"/>
          </w:rPr>
          <w:t>https://doi.org/10.1111/mcn.12239</w:t>
        </w:r>
      </w:hyperlink>
      <w:r w:rsidRPr="00B910BD">
        <w:t xml:space="preserve"> </w:t>
      </w:r>
    </w:p>
    <w:p w14:paraId="327D444B" w14:textId="6094D072" w:rsidR="00B910BD" w:rsidRPr="00B910BD" w:rsidRDefault="00B910BD" w:rsidP="00B910BD">
      <w:pPr>
        <w:pStyle w:val="EndNoteBibliography"/>
        <w:spacing w:after="0"/>
        <w:ind w:left="720" w:hanging="720"/>
      </w:pPr>
      <w:r w:rsidRPr="00B910BD">
        <w:t xml:space="preserve">Petersen, K. S., Malta, D., Rae, S., Dash, S., Webster, J., McLean, R., Thout, S. R., Campbell, N. R. C., &amp; Arcand, J. (2020). Further evidence that methods based on spot urine samples should not be used to examine sodium-disease relationships from the Science of Salt: A regularly updated systematic review of salt and health outcomes (November 2018 to August 2019). </w:t>
      </w:r>
      <w:r w:rsidRPr="00B910BD">
        <w:rPr>
          <w:i/>
        </w:rPr>
        <w:t>J Clin Hypertens (Greenwich)</w:t>
      </w:r>
      <w:r w:rsidRPr="00B910BD">
        <w:t>,</w:t>
      </w:r>
      <w:r w:rsidRPr="00B910BD">
        <w:rPr>
          <w:i/>
        </w:rPr>
        <w:t xml:space="preserve"> 22</w:t>
      </w:r>
      <w:r w:rsidRPr="00B910BD">
        <w:t xml:space="preserve">(10), 1741-1753. </w:t>
      </w:r>
      <w:hyperlink r:id="rId357" w:history="1">
        <w:r w:rsidRPr="00B910BD">
          <w:rPr>
            <w:rStyle w:val="Hyperlink"/>
          </w:rPr>
          <w:t>https://doi.org/10.1111/jch.13958</w:t>
        </w:r>
      </w:hyperlink>
      <w:r w:rsidRPr="00B910BD">
        <w:t xml:space="preserve"> </w:t>
      </w:r>
    </w:p>
    <w:p w14:paraId="60F1465D" w14:textId="76F07C58" w:rsidR="00B910BD" w:rsidRPr="00B910BD" w:rsidRDefault="00B910BD" w:rsidP="00B910BD">
      <w:pPr>
        <w:pStyle w:val="EndNoteBibliography"/>
        <w:spacing w:after="0"/>
        <w:ind w:left="720" w:hanging="720"/>
      </w:pPr>
      <w:r w:rsidRPr="00B910BD">
        <w:t xml:space="preserve">Picciano, M. F., Calkins, E. J., Garrick, J. R., &amp; Deering, R. H. (1981). Milk and mineral intakes of breastfed infants. </w:t>
      </w:r>
      <w:r w:rsidRPr="00B910BD">
        <w:rPr>
          <w:i/>
        </w:rPr>
        <w:t>Acta Paediatr Scand</w:t>
      </w:r>
      <w:r w:rsidRPr="00B910BD">
        <w:t>,</w:t>
      </w:r>
      <w:r w:rsidRPr="00B910BD">
        <w:rPr>
          <w:i/>
        </w:rPr>
        <w:t xml:space="preserve"> 70</w:t>
      </w:r>
      <w:r w:rsidRPr="00B910BD">
        <w:t xml:space="preserve">(2), 189-194. </w:t>
      </w:r>
      <w:hyperlink r:id="rId358" w:history="1">
        <w:r w:rsidRPr="00B910BD">
          <w:rPr>
            <w:rStyle w:val="Hyperlink"/>
          </w:rPr>
          <w:t>https://doi.org/10.1111/j.1651-2227.1981.tb05540.x</w:t>
        </w:r>
      </w:hyperlink>
      <w:r w:rsidRPr="00B910BD">
        <w:t xml:space="preserve"> </w:t>
      </w:r>
    </w:p>
    <w:p w14:paraId="70D1DCFB" w14:textId="77777777" w:rsidR="00B910BD" w:rsidRPr="00B910BD" w:rsidRDefault="00B910BD" w:rsidP="00B910BD">
      <w:pPr>
        <w:pStyle w:val="EndNoteBibliography"/>
        <w:spacing w:after="0"/>
        <w:ind w:left="720" w:hanging="720"/>
      </w:pPr>
      <w:r w:rsidRPr="00B910BD">
        <w:t xml:space="preserve">Pitkin, R. M., Kaminetzky, H. A., Newton, M., &amp; Pritchard, J. A. (1972). Maternal nutrition. A selective review of clinical topics. </w:t>
      </w:r>
      <w:r w:rsidRPr="00B910BD">
        <w:rPr>
          <w:i/>
        </w:rPr>
        <w:t>Obstet Gynecol</w:t>
      </w:r>
      <w:r w:rsidRPr="00B910BD">
        <w:t>,</w:t>
      </w:r>
      <w:r w:rsidRPr="00B910BD">
        <w:rPr>
          <w:i/>
        </w:rPr>
        <w:t xml:space="preserve"> 40</w:t>
      </w:r>
      <w:r w:rsidRPr="00B910BD">
        <w:t xml:space="preserve">(6), 773-785. </w:t>
      </w:r>
    </w:p>
    <w:p w14:paraId="2B9CD6DA" w14:textId="2D36A040" w:rsidR="00B910BD" w:rsidRPr="00B910BD" w:rsidRDefault="00B910BD" w:rsidP="00B910BD">
      <w:pPr>
        <w:pStyle w:val="EndNoteBibliography"/>
        <w:spacing w:after="0"/>
        <w:ind w:left="720" w:hanging="720"/>
      </w:pPr>
      <w:r w:rsidRPr="00B910BD">
        <w:t xml:space="preserve">Rosewarne, E., Santos, J. A., Hoek, A., Grimes, C., Nowson, C., Webster, J., &amp; Bolton, K. A. (2021). Are there socio-demographic differences in salt behaviours and fruit and vegetable consumption in Australian adults? A nationally representative cross-sectional survey. </w:t>
      </w:r>
      <w:r w:rsidRPr="00B910BD">
        <w:rPr>
          <w:i/>
        </w:rPr>
        <w:t>Nutrition journal</w:t>
      </w:r>
      <w:r w:rsidRPr="00B910BD">
        <w:t>,</w:t>
      </w:r>
      <w:r w:rsidRPr="00B910BD">
        <w:rPr>
          <w:i/>
        </w:rPr>
        <w:t xml:space="preserve"> 20</w:t>
      </w:r>
      <w:r w:rsidRPr="00B910BD">
        <w:t xml:space="preserve">(1), 77. </w:t>
      </w:r>
      <w:hyperlink r:id="rId359" w:history="1">
        <w:r w:rsidRPr="00B910BD">
          <w:rPr>
            <w:rStyle w:val="Hyperlink"/>
          </w:rPr>
          <w:t>https://doi.org/10.1186/s12937-021-00734-0</w:t>
        </w:r>
      </w:hyperlink>
      <w:r w:rsidRPr="00B910BD">
        <w:t xml:space="preserve"> </w:t>
      </w:r>
    </w:p>
    <w:p w14:paraId="2D571FA5" w14:textId="39488C5F" w:rsidR="00B910BD" w:rsidRPr="00B910BD" w:rsidRDefault="00B910BD" w:rsidP="00B910BD">
      <w:pPr>
        <w:pStyle w:val="EndNoteBibliography"/>
        <w:spacing w:after="0"/>
        <w:ind w:left="720" w:hanging="720"/>
      </w:pPr>
      <w:r w:rsidRPr="00B910BD">
        <w:t xml:space="preserve">Sacks, F. M., Svetkey, L. P., Vollmer, W. M., Appel, L. J., Bray, G. A., Harsha, D., Obarzanek, E., Conlin, P. R., Miller, E. R., 3rd, Simons-Morton, D. G., Karanja, N., &amp; Lin, P. H. (2001). Effects on blood pressure of reduced dietary sodium and the Dietary Approaches to Stop Hypertension (DASH) diet. DASH-Sodium Collaborative Research Group. </w:t>
      </w:r>
      <w:r w:rsidRPr="00B910BD">
        <w:rPr>
          <w:i/>
        </w:rPr>
        <w:t>N Engl J Med</w:t>
      </w:r>
      <w:r w:rsidRPr="00B910BD">
        <w:t>,</w:t>
      </w:r>
      <w:r w:rsidRPr="00B910BD">
        <w:rPr>
          <w:i/>
        </w:rPr>
        <w:t xml:space="preserve"> 344</w:t>
      </w:r>
      <w:r w:rsidRPr="00B910BD">
        <w:t xml:space="preserve">(1), 3-10. </w:t>
      </w:r>
      <w:hyperlink r:id="rId360" w:history="1">
        <w:r w:rsidRPr="00B910BD">
          <w:rPr>
            <w:rStyle w:val="Hyperlink"/>
          </w:rPr>
          <w:t>https://doi.org/10.1056/nejm200101043440101</w:t>
        </w:r>
      </w:hyperlink>
      <w:r w:rsidRPr="00B910BD">
        <w:t xml:space="preserve"> </w:t>
      </w:r>
    </w:p>
    <w:p w14:paraId="73B524CC" w14:textId="069AA22F" w:rsidR="00B910BD" w:rsidRPr="00B910BD" w:rsidRDefault="00B910BD" w:rsidP="00B910BD">
      <w:pPr>
        <w:pStyle w:val="EndNoteBibliography"/>
        <w:spacing w:after="0"/>
        <w:ind w:left="720" w:hanging="720"/>
      </w:pPr>
      <w:r w:rsidRPr="00B910BD">
        <w:t xml:space="preserve">Sciarrone, S. E., Beilin, L. J., Rouse, I. L., &amp; Rogers, P. B. (1992). A factorial study of salt restriction and a low-fat/high-fibre diet in hypertensive subjects. </w:t>
      </w:r>
      <w:r w:rsidRPr="00B910BD">
        <w:rPr>
          <w:i/>
        </w:rPr>
        <w:t>J Hypertens</w:t>
      </w:r>
      <w:r w:rsidRPr="00B910BD">
        <w:t>,</w:t>
      </w:r>
      <w:r w:rsidRPr="00B910BD">
        <w:rPr>
          <w:i/>
        </w:rPr>
        <w:t xml:space="preserve"> 10</w:t>
      </w:r>
      <w:r w:rsidRPr="00B910BD">
        <w:t xml:space="preserve">(3), 287-298. </w:t>
      </w:r>
      <w:hyperlink r:id="rId361" w:history="1">
        <w:r w:rsidRPr="00B910BD">
          <w:rPr>
            <w:rStyle w:val="Hyperlink"/>
          </w:rPr>
          <w:t>https://doi.org/10.1097/00004872-199203000-00013</w:t>
        </w:r>
      </w:hyperlink>
      <w:r w:rsidRPr="00B910BD">
        <w:t xml:space="preserve"> </w:t>
      </w:r>
    </w:p>
    <w:p w14:paraId="1C5CC975" w14:textId="2932E67E" w:rsidR="00B910BD" w:rsidRPr="00B910BD" w:rsidRDefault="00B910BD" w:rsidP="00B910BD">
      <w:pPr>
        <w:pStyle w:val="EndNoteBibliography"/>
        <w:spacing w:after="0"/>
        <w:ind w:left="720" w:hanging="720"/>
      </w:pPr>
      <w:r w:rsidRPr="00B910BD">
        <w:t xml:space="preserve">Shim, J. S., Oh, K., &amp; Kim, H. C. (2014). Dietary assessment methods in epidemiologic studies. </w:t>
      </w:r>
      <w:r w:rsidRPr="00B910BD">
        <w:rPr>
          <w:i/>
        </w:rPr>
        <w:t>Epidemiol Health</w:t>
      </w:r>
      <w:r w:rsidRPr="00B910BD">
        <w:t>,</w:t>
      </w:r>
      <w:r w:rsidRPr="00B910BD">
        <w:rPr>
          <w:i/>
        </w:rPr>
        <w:t xml:space="preserve"> 36</w:t>
      </w:r>
      <w:r w:rsidRPr="00B910BD">
        <w:t xml:space="preserve">, e2014009. </w:t>
      </w:r>
      <w:hyperlink r:id="rId362" w:history="1">
        <w:r w:rsidRPr="00B910BD">
          <w:rPr>
            <w:rStyle w:val="Hyperlink"/>
          </w:rPr>
          <w:t>https://doi.org/10.4178/epih/e2014009</w:t>
        </w:r>
      </w:hyperlink>
      <w:r w:rsidRPr="00B910BD">
        <w:t xml:space="preserve"> </w:t>
      </w:r>
    </w:p>
    <w:p w14:paraId="0262F378" w14:textId="41B54D15" w:rsidR="00B910BD" w:rsidRPr="00B910BD" w:rsidRDefault="00B910BD" w:rsidP="00B910BD">
      <w:pPr>
        <w:pStyle w:val="EndNoteBibliography"/>
        <w:spacing w:after="0"/>
        <w:ind w:left="720" w:hanging="720"/>
      </w:pPr>
      <w:r w:rsidRPr="00B910BD">
        <w:lastRenderedPageBreak/>
        <w:t xml:space="preserve">Stein, L. J., Cowart, B. J., &amp; Beauchamp, G. K. (2012). The development of salty taste acceptance is related to dietary experience in human infants: a prospective study. </w:t>
      </w:r>
      <w:r w:rsidRPr="00B910BD">
        <w:rPr>
          <w:i/>
        </w:rPr>
        <w:t>Am J Clin Nutr</w:t>
      </w:r>
      <w:r w:rsidRPr="00B910BD">
        <w:t>,</w:t>
      </w:r>
      <w:r w:rsidRPr="00B910BD">
        <w:rPr>
          <w:i/>
        </w:rPr>
        <w:t xml:space="preserve"> 95</w:t>
      </w:r>
      <w:r w:rsidRPr="00B910BD">
        <w:t xml:space="preserve">(1), 123-129. </w:t>
      </w:r>
      <w:hyperlink r:id="rId363" w:history="1">
        <w:r w:rsidRPr="00B910BD">
          <w:rPr>
            <w:rStyle w:val="Hyperlink"/>
          </w:rPr>
          <w:t>https://doi.org/10.3945/ajcn.111.014282</w:t>
        </w:r>
      </w:hyperlink>
      <w:r w:rsidRPr="00B910BD">
        <w:t xml:space="preserve"> </w:t>
      </w:r>
    </w:p>
    <w:p w14:paraId="3BE5521F" w14:textId="66278AB4" w:rsidR="00B910BD" w:rsidRPr="00B910BD" w:rsidRDefault="00B910BD" w:rsidP="00B910BD">
      <w:pPr>
        <w:pStyle w:val="EndNoteBibliography"/>
        <w:spacing w:after="0"/>
        <w:ind w:left="720" w:hanging="720"/>
      </w:pPr>
      <w:r w:rsidRPr="00B910BD">
        <w:t xml:space="preserve">Sterns, R. H. (2015). Disorders of Plasma Sodium — Causes, Consequences, and Correction. </w:t>
      </w:r>
      <w:r w:rsidRPr="00B910BD">
        <w:rPr>
          <w:i/>
        </w:rPr>
        <w:t>New England Journal of Medicine</w:t>
      </w:r>
      <w:r w:rsidRPr="00B910BD">
        <w:t>,</w:t>
      </w:r>
      <w:r w:rsidRPr="00B910BD">
        <w:rPr>
          <w:i/>
        </w:rPr>
        <w:t xml:space="preserve"> 372</w:t>
      </w:r>
      <w:r w:rsidRPr="00B910BD">
        <w:t xml:space="preserve">(1), 55-65. </w:t>
      </w:r>
      <w:hyperlink r:id="rId364" w:history="1">
        <w:r w:rsidRPr="00B910BD">
          <w:rPr>
            <w:rStyle w:val="Hyperlink"/>
          </w:rPr>
          <w:t>https://doi.org/doi:10.1056/NEJMra1404489</w:t>
        </w:r>
      </w:hyperlink>
      <w:r w:rsidRPr="00B910BD">
        <w:t xml:space="preserve"> </w:t>
      </w:r>
    </w:p>
    <w:p w14:paraId="1D0D046E" w14:textId="4BB62626" w:rsidR="00B910BD" w:rsidRPr="00B910BD" w:rsidRDefault="00B910BD" w:rsidP="00B910BD">
      <w:pPr>
        <w:pStyle w:val="EndNoteBibliography"/>
        <w:spacing w:after="0"/>
        <w:ind w:left="720" w:hanging="720"/>
      </w:pPr>
      <w:r w:rsidRPr="00B910BD">
        <w:t xml:space="preserve">Stolarz-Skrzypek, K., Kuznetsova, T., Thijs, L., Tikhonoff, V., Seidlerová, J., Richart, T., Jin, Y., Olszanecka, A., Malyutina, S., Casiglia, E., Filipovský, J., Kawecka-Jaszcz, K., Nikitin, Y., &amp; Staessen, J. A. (2011). Fatal and nonfatal outcomes, incidence of hypertension, and blood pressure changes in relation to urinary sodium excretion. </w:t>
      </w:r>
      <w:r w:rsidRPr="00B910BD">
        <w:rPr>
          <w:i/>
        </w:rPr>
        <w:t>Jama</w:t>
      </w:r>
      <w:r w:rsidRPr="00B910BD">
        <w:t>,</w:t>
      </w:r>
      <w:r w:rsidRPr="00B910BD">
        <w:rPr>
          <w:i/>
        </w:rPr>
        <w:t xml:space="preserve"> 305</w:t>
      </w:r>
      <w:r w:rsidRPr="00B910BD">
        <w:t xml:space="preserve">(17), 1777-1785. </w:t>
      </w:r>
      <w:hyperlink r:id="rId365" w:history="1">
        <w:r w:rsidRPr="00B910BD">
          <w:rPr>
            <w:rStyle w:val="Hyperlink"/>
          </w:rPr>
          <w:t>https://doi.org/10.1001/jama.2011.574</w:t>
        </w:r>
      </w:hyperlink>
      <w:r w:rsidRPr="00B910BD">
        <w:t xml:space="preserve"> </w:t>
      </w:r>
    </w:p>
    <w:p w14:paraId="6C28BC07" w14:textId="7DE41566" w:rsidR="00B910BD" w:rsidRPr="00B910BD" w:rsidRDefault="00B910BD" w:rsidP="00B910BD">
      <w:pPr>
        <w:pStyle w:val="EndNoteBibliography"/>
        <w:spacing w:after="0"/>
        <w:ind w:left="720" w:hanging="720"/>
      </w:pPr>
      <w:r w:rsidRPr="00B910BD">
        <w:t xml:space="preserve">Strohm, D., Bechthold, A., Ellinger, S., Leschik-Bonnet, E., Stehle, P., &amp; Heseker, H. (2018). Revised Reference Values for the Intake of Sodium and Chloride. </w:t>
      </w:r>
      <w:r w:rsidRPr="00B910BD">
        <w:rPr>
          <w:i/>
        </w:rPr>
        <w:t>Ann Nutr Metab</w:t>
      </w:r>
      <w:r w:rsidRPr="00B910BD">
        <w:t>,</w:t>
      </w:r>
      <w:r w:rsidRPr="00B910BD">
        <w:rPr>
          <w:i/>
        </w:rPr>
        <w:t xml:space="preserve"> 72</w:t>
      </w:r>
      <w:r w:rsidRPr="00B910BD">
        <w:t xml:space="preserve">(1), 12-17. </w:t>
      </w:r>
      <w:hyperlink r:id="rId366" w:history="1">
        <w:r w:rsidRPr="00B910BD">
          <w:rPr>
            <w:rStyle w:val="Hyperlink"/>
          </w:rPr>
          <w:t>https://doi.org/10.1159/000484355</w:t>
        </w:r>
      </w:hyperlink>
      <w:r w:rsidRPr="00B910BD">
        <w:t xml:space="preserve"> </w:t>
      </w:r>
    </w:p>
    <w:p w14:paraId="0115BDB3" w14:textId="23A7555A" w:rsidR="00B910BD" w:rsidRPr="00B910BD" w:rsidRDefault="00B910BD" w:rsidP="00B910BD">
      <w:pPr>
        <w:pStyle w:val="EndNoteBibliography"/>
        <w:spacing w:after="0"/>
        <w:ind w:left="720" w:hanging="720"/>
      </w:pPr>
      <w:r w:rsidRPr="00B910BD">
        <w:t xml:space="preserve">Subar, A. F., Freedman, L. S., Tooze, J. A., Kirkpatrick, S. I., Boushey, C., Neuhouser, M. L., Thompson, F. E., Potischman, N., Guenther, P. M., Tarasuk, V., Reedy, J., &amp; Krebs-Smith, S. M. (2015). Addressing Current Criticism Regarding the Value of Self-Report Dietary Data. </w:t>
      </w:r>
      <w:r w:rsidRPr="00B910BD">
        <w:rPr>
          <w:i/>
        </w:rPr>
        <w:t>J Nutr</w:t>
      </w:r>
      <w:r w:rsidRPr="00B910BD">
        <w:t>,</w:t>
      </w:r>
      <w:r w:rsidRPr="00B910BD">
        <w:rPr>
          <w:i/>
        </w:rPr>
        <w:t xml:space="preserve"> 145</w:t>
      </w:r>
      <w:r w:rsidRPr="00B910BD">
        <w:t xml:space="preserve">(12), 2639-2645. </w:t>
      </w:r>
      <w:hyperlink r:id="rId367" w:history="1">
        <w:r w:rsidRPr="00B910BD">
          <w:rPr>
            <w:rStyle w:val="Hyperlink"/>
          </w:rPr>
          <w:t>https://doi.org/10.3945/jn.115.219634</w:t>
        </w:r>
      </w:hyperlink>
      <w:r w:rsidRPr="00B910BD">
        <w:t xml:space="preserve"> </w:t>
      </w:r>
    </w:p>
    <w:p w14:paraId="1EEB4CAC" w14:textId="106B1F2E" w:rsidR="00B910BD" w:rsidRPr="00B910BD" w:rsidRDefault="00B910BD" w:rsidP="00B910BD">
      <w:pPr>
        <w:pStyle w:val="EndNoteBibliography"/>
        <w:spacing w:after="0"/>
        <w:ind w:left="720" w:hanging="720"/>
      </w:pPr>
      <w:r w:rsidRPr="00B910BD">
        <w:t xml:space="preserve">Surma, S., Surma, S., Banach, M., Pruc, M., Pruc, M., Szarpak, L., Szarpak, L., Banach, M., Banach, M., &amp; Banach, M. (2025). Dietary salt on vascular function: a meta-analysis. </w:t>
      </w:r>
      <w:r w:rsidRPr="00B910BD">
        <w:rPr>
          <w:i/>
        </w:rPr>
        <w:t>Arch. Med. Sci.</w:t>
      </w:r>
      <w:r w:rsidRPr="00B910BD">
        <w:t>,</w:t>
      </w:r>
      <w:r w:rsidRPr="00B910BD">
        <w:rPr>
          <w:i/>
        </w:rPr>
        <w:t xml:space="preserve"> 21</w:t>
      </w:r>
      <w:r w:rsidRPr="00B910BD">
        <w:t xml:space="preserve">(4), 1631-1635. </w:t>
      </w:r>
      <w:hyperlink r:id="rId368" w:history="1">
        <w:r w:rsidRPr="00B910BD">
          <w:rPr>
            <w:rStyle w:val="Hyperlink"/>
          </w:rPr>
          <w:t>https://doi.org/10.5114/aoms/209720</w:t>
        </w:r>
      </w:hyperlink>
      <w:r w:rsidRPr="00B910BD">
        <w:t xml:space="preserve"> </w:t>
      </w:r>
    </w:p>
    <w:p w14:paraId="457CA8ED" w14:textId="5AE038F0" w:rsidR="00B910BD" w:rsidRPr="00B910BD" w:rsidRDefault="00B910BD" w:rsidP="00B910BD">
      <w:pPr>
        <w:pStyle w:val="EndNoteBibliography"/>
        <w:spacing w:after="0"/>
        <w:ind w:left="720" w:hanging="720"/>
      </w:pPr>
      <w:r w:rsidRPr="00B910BD">
        <w:t xml:space="preserve">Todd, A. S., Macginley, R. J., Schollum, J. B., Williams, S. M., Sutherland, W. H., Mann, J. I., &amp; Walker, R. J. (2012). Dietary sodium loading in normotensive healthy volunteers does not increase arterial vascular reactivity or blood pressure. </w:t>
      </w:r>
      <w:r w:rsidRPr="00B910BD">
        <w:rPr>
          <w:i/>
        </w:rPr>
        <w:t>Nephrology (Carlton)</w:t>
      </w:r>
      <w:r w:rsidRPr="00B910BD">
        <w:t>,</w:t>
      </w:r>
      <w:r w:rsidRPr="00B910BD">
        <w:rPr>
          <w:i/>
        </w:rPr>
        <w:t xml:space="preserve"> 17</w:t>
      </w:r>
      <w:r w:rsidRPr="00B910BD">
        <w:t xml:space="preserve">(3), 249-256. </w:t>
      </w:r>
      <w:hyperlink r:id="rId369" w:history="1">
        <w:r w:rsidRPr="00B910BD">
          <w:rPr>
            <w:rStyle w:val="Hyperlink"/>
          </w:rPr>
          <w:t>https://doi.org/10.1111/j.1440-1797.2011.01550.x</w:t>
        </w:r>
      </w:hyperlink>
      <w:r w:rsidRPr="00B910BD">
        <w:t xml:space="preserve"> </w:t>
      </w:r>
    </w:p>
    <w:p w14:paraId="2D4490BA" w14:textId="7FF883E8" w:rsidR="00B910BD" w:rsidRPr="00B910BD" w:rsidRDefault="00B910BD" w:rsidP="00B910BD">
      <w:pPr>
        <w:pStyle w:val="EndNoteBibliography"/>
        <w:spacing w:after="0"/>
        <w:ind w:left="720" w:hanging="720"/>
      </w:pPr>
      <w:r w:rsidRPr="00B910BD">
        <w:t xml:space="preserve">Truchet, S., &amp; Honvo-Houéto, E. (2017). Physiology of milk secretion. </w:t>
      </w:r>
      <w:r w:rsidRPr="00B910BD">
        <w:rPr>
          <w:i/>
        </w:rPr>
        <w:t>Best Pract Res Clin Endocrinol Metab</w:t>
      </w:r>
      <w:r w:rsidRPr="00B910BD">
        <w:t>,</w:t>
      </w:r>
      <w:r w:rsidRPr="00B910BD">
        <w:rPr>
          <w:i/>
        </w:rPr>
        <w:t xml:space="preserve"> 31</w:t>
      </w:r>
      <w:r w:rsidRPr="00B910BD">
        <w:t xml:space="preserve">(4), 367-384. </w:t>
      </w:r>
      <w:hyperlink r:id="rId370" w:history="1">
        <w:r w:rsidRPr="00B910BD">
          <w:rPr>
            <w:rStyle w:val="Hyperlink"/>
          </w:rPr>
          <w:t>https://doi.org/10.1016/j.beem.2017.10.008</w:t>
        </w:r>
      </w:hyperlink>
      <w:r w:rsidRPr="00B910BD">
        <w:t xml:space="preserve"> </w:t>
      </w:r>
    </w:p>
    <w:p w14:paraId="5E64BC4C" w14:textId="77777777" w:rsidR="00B910BD" w:rsidRPr="00B910BD" w:rsidRDefault="00B910BD" w:rsidP="00B910BD">
      <w:pPr>
        <w:pStyle w:val="EndNoteBibliography"/>
        <w:spacing w:after="0"/>
        <w:ind w:left="720" w:hanging="720"/>
      </w:pPr>
      <w:r w:rsidRPr="00B910BD">
        <w:t xml:space="preserve">United States Institute of Medicine, U. I. (2005). </w:t>
      </w:r>
      <w:r w:rsidRPr="00B910BD">
        <w:rPr>
          <w:i/>
        </w:rPr>
        <w:t>Dietary Reference Intakes for water, potassium, sodium, chloride, and sulfate</w:t>
      </w:r>
      <w:r w:rsidRPr="00B910BD">
        <w:t>. Washington (DC): The National Academies Press</w:t>
      </w:r>
    </w:p>
    <w:p w14:paraId="7DB06D0D" w14:textId="34754FD3" w:rsidR="00B910BD" w:rsidRPr="00B910BD" w:rsidRDefault="00B910BD" w:rsidP="00B910BD">
      <w:pPr>
        <w:pStyle w:val="EndNoteBibliography"/>
        <w:spacing w:after="0"/>
        <w:ind w:left="720" w:hanging="720"/>
      </w:pPr>
      <w:r w:rsidRPr="00B910BD">
        <w:t xml:space="preserve">University of Otago and Ministry of Health. (2011). </w:t>
      </w:r>
      <w:r w:rsidRPr="00B910BD">
        <w:rPr>
          <w:i/>
        </w:rPr>
        <w:t>A Focus on Nutrition: Key findings of the 2008/09 New Zealand Adult Nutrition Survey</w:t>
      </w:r>
      <w:r w:rsidRPr="00B910BD">
        <w:t xml:space="preserve">. Wellington: Ministry of Health Retrieved from </w:t>
      </w:r>
      <w:hyperlink r:id="rId371" w:history="1">
        <w:r w:rsidRPr="00B910BD">
          <w:rPr>
            <w:rStyle w:val="Hyperlink"/>
          </w:rPr>
          <w:t>https://www.health.govt.nz/system/files/2011-10/a-focus-on-nutrition-v2.pdf</w:t>
        </w:r>
      </w:hyperlink>
    </w:p>
    <w:p w14:paraId="304F335B" w14:textId="4EC49E47" w:rsidR="00B910BD" w:rsidRPr="00B910BD" w:rsidRDefault="00B910BD" w:rsidP="00B910BD">
      <w:pPr>
        <w:pStyle w:val="EndNoteBibliography"/>
        <w:spacing w:after="0"/>
        <w:ind w:left="720" w:hanging="720"/>
      </w:pPr>
      <w:r w:rsidRPr="00B910BD">
        <w:t xml:space="preserve">Wack, R. P., Lien, E. L., Taft, D., &amp; Roscelli, J. D. (1997). Electrolyte composition of human breast milk beyond the early postpartum period. </w:t>
      </w:r>
      <w:r w:rsidRPr="00B910BD">
        <w:rPr>
          <w:i/>
        </w:rPr>
        <w:t>Nutrition</w:t>
      </w:r>
      <w:r w:rsidRPr="00B910BD">
        <w:t>,</w:t>
      </w:r>
      <w:r w:rsidRPr="00B910BD">
        <w:rPr>
          <w:i/>
        </w:rPr>
        <w:t xml:space="preserve"> 13</w:t>
      </w:r>
      <w:r w:rsidRPr="00B910BD">
        <w:t xml:space="preserve">(9), 774-777. </w:t>
      </w:r>
      <w:hyperlink r:id="rId372" w:history="1">
        <w:r w:rsidRPr="00B910BD">
          <w:rPr>
            <w:rStyle w:val="Hyperlink"/>
          </w:rPr>
          <w:t>https://doi.org/10.1016/s0899-9007(97)00187-1</w:t>
        </w:r>
      </w:hyperlink>
      <w:r w:rsidRPr="00B910BD">
        <w:t xml:space="preserve"> </w:t>
      </w:r>
    </w:p>
    <w:p w14:paraId="65719EDF" w14:textId="7EC0A351" w:rsidR="00B910BD" w:rsidRPr="00B910BD" w:rsidRDefault="00B910BD" w:rsidP="00B910BD">
      <w:pPr>
        <w:pStyle w:val="EndNoteBibliography"/>
        <w:spacing w:after="0"/>
        <w:ind w:left="720" w:hanging="720"/>
      </w:pPr>
      <w:r w:rsidRPr="00B910BD">
        <w:t xml:space="preserve">Wang, N. X., McLean, R. M., Cameron, C., &amp; Skeaff, S. A. (2023). The quantification of sodium intake from discretionary salt intake in New Zealand using the lithium-tagged salt method [Original Research]. </w:t>
      </w:r>
      <w:r w:rsidRPr="00B910BD">
        <w:rPr>
          <w:i/>
        </w:rPr>
        <w:t>Frontiers in nutrition</w:t>
      </w:r>
      <w:r w:rsidRPr="00B910BD">
        <w:t>,</w:t>
      </w:r>
      <w:r w:rsidRPr="00B910BD">
        <w:rPr>
          <w:i/>
        </w:rPr>
        <w:t xml:space="preserve"> Volume 9 - 2022</w:t>
      </w:r>
      <w:r w:rsidRPr="00B910BD">
        <w:t xml:space="preserve">. </w:t>
      </w:r>
      <w:hyperlink r:id="rId373" w:history="1">
        <w:r w:rsidRPr="00B910BD">
          <w:rPr>
            <w:rStyle w:val="Hyperlink"/>
          </w:rPr>
          <w:t>https://doi.org/10.3389/fnut.2022.1065710</w:t>
        </w:r>
      </w:hyperlink>
      <w:r w:rsidRPr="00B910BD">
        <w:t xml:space="preserve"> </w:t>
      </w:r>
    </w:p>
    <w:p w14:paraId="4936E51D" w14:textId="3225E3B9" w:rsidR="00B910BD" w:rsidRPr="00B910BD" w:rsidRDefault="00B910BD" w:rsidP="00B910BD">
      <w:pPr>
        <w:pStyle w:val="EndNoteBibliography"/>
        <w:spacing w:after="0"/>
        <w:ind w:left="720" w:hanging="720"/>
      </w:pPr>
      <w:r w:rsidRPr="00B910BD">
        <w:t xml:space="preserve">Wang, N. X., Skeaff, S., Cameron, C., Fleming, E., &amp; McLean, R. M. (2022). Sodium in the New Zealand diet: proposed voluntary food reformulation targets will not meet the WHO goal of a 30% reduction in total sodium intake. </w:t>
      </w:r>
      <w:r w:rsidRPr="00B910BD">
        <w:rPr>
          <w:i/>
        </w:rPr>
        <w:t>Eur J Nutr</w:t>
      </w:r>
      <w:r w:rsidRPr="00B910BD">
        <w:t>,</w:t>
      </w:r>
      <w:r w:rsidRPr="00B910BD">
        <w:rPr>
          <w:i/>
        </w:rPr>
        <w:t xml:space="preserve"> 61</w:t>
      </w:r>
      <w:r w:rsidRPr="00B910BD">
        <w:t xml:space="preserve">(6), 3067-3076. </w:t>
      </w:r>
      <w:hyperlink r:id="rId374" w:history="1">
        <w:r w:rsidRPr="00B910BD">
          <w:rPr>
            <w:rStyle w:val="Hyperlink"/>
          </w:rPr>
          <w:t>https://doi.org/10.1007/s00394-022-02864-5</w:t>
        </w:r>
      </w:hyperlink>
      <w:r w:rsidRPr="00B910BD">
        <w:t xml:space="preserve"> </w:t>
      </w:r>
    </w:p>
    <w:p w14:paraId="249B4385" w14:textId="5282136F" w:rsidR="00B910BD" w:rsidRPr="00B910BD" w:rsidRDefault="00B910BD" w:rsidP="00B910BD">
      <w:pPr>
        <w:pStyle w:val="EndNoteBibliography"/>
        <w:spacing w:after="0"/>
        <w:ind w:left="720" w:hanging="720"/>
      </w:pPr>
      <w:r w:rsidRPr="00B910BD">
        <w:t xml:space="preserve">Wang, P., Deger, M. S., Kang, H., Ikizler, T. A., Titze, J., &amp; Gore, J. C. (2017). Sex differences in sodium deposition in human muscle and skin. </w:t>
      </w:r>
      <w:r w:rsidRPr="00B910BD">
        <w:rPr>
          <w:i/>
        </w:rPr>
        <w:t>Magn Reson Imaging</w:t>
      </w:r>
      <w:r w:rsidRPr="00B910BD">
        <w:t>,</w:t>
      </w:r>
      <w:r w:rsidRPr="00B910BD">
        <w:rPr>
          <w:i/>
        </w:rPr>
        <w:t xml:space="preserve"> 36</w:t>
      </w:r>
      <w:r w:rsidRPr="00B910BD">
        <w:t xml:space="preserve">, 93-97. </w:t>
      </w:r>
      <w:hyperlink r:id="rId375" w:history="1">
        <w:r w:rsidRPr="00B910BD">
          <w:rPr>
            <w:rStyle w:val="Hyperlink"/>
          </w:rPr>
          <w:t>https://doi.org/10.1016/j.mri.2016.10.023</w:t>
        </w:r>
      </w:hyperlink>
      <w:r w:rsidRPr="00B910BD">
        <w:t xml:space="preserve"> </w:t>
      </w:r>
    </w:p>
    <w:p w14:paraId="31B18A5E" w14:textId="34FDEEE6" w:rsidR="00B910BD" w:rsidRPr="00B910BD" w:rsidRDefault="00B910BD" w:rsidP="00B910BD">
      <w:pPr>
        <w:pStyle w:val="EndNoteBibliography"/>
        <w:spacing w:after="0"/>
        <w:ind w:left="720" w:hanging="720"/>
      </w:pPr>
      <w:r w:rsidRPr="00B910BD">
        <w:t xml:space="preserve">Wheeler, A., Rahiri, J.-L., Ellison-Lupena, R., Hanchard, S., Brewer, K. M., Paynter, J., Winter-Smith, J., Selak, V., Ameratunga, S., Grey, C., &amp; Harwood, M. (2025). Assessing the gaps in cardiovascular disease risk assessment and management in primary care for M&amp;#x101;ori and Pacific peoples in Aotearoa New Zealand&amp;#x2014; a systematic review. </w:t>
      </w:r>
      <w:r w:rsidRPr="00B910BD">
        <w:rPr>
          <w:i/>
        </w:rPr>
        <w:t>The Lancet Regional Health – Western Pacific</w:t>
      </w:r>
      <w:r w:rsidRPr="00B910BD">
        <w:t>,</w:t>
      </w:r>
      <w:r w:rsidRPr="00B910BD">
        <w:rPr>
          <w:i/>
        </w:rPr>
        <w:t xml:space="preserve"> 56</w:t>
      </w:r>
      <w:r w:rsidRPr="00B910BD">
        <w:t xml:space="preserve">. </w:t>
      </w:r>
      <w:hyperlink r:id="rId376" w:history="1">
        <w:r w:rsidRPr="00B910BD">
          <w:rPr>
            <w:rStyle w:val="Hyperlink"/>
          </w:rPr>
          <w:t>https://doi.org/10.1016/j.lanwpc.2025.101511</w:t>
        </w:r>
      </w:hyperlink>
      <w:r w:rsidRPr="00B910BD">
        <w:t xml:space="preserve"> </w:t>
      </w:r>
    </w:p>
    <w:p w14:paraId="7FD9F0DC" w14:textId="458B42BC" w:rsidR="00B910BD" w:rsidRPr="00B910BD" w:rsidRDefault="00B910BD" w:rsidP="00B910BD">
      <w:pPr>
        <w:pStyle w:val="EndNoteBibliography"/>
        <w:spacing w:after="0"/>
        <w:ind w:left="720" w:hanging="720"/>
      </w:pPr>
      <w:r w:rsidRPr="00B910BD">
        <w:t xml:space="preserve">Wilson, N., Cleghorn, C., Nghiem, N., &amp; Blakely, T. (2023). Prioritization of intervention domains to prevent cardiovascular disease: a country-level case study using global burden of disease and local data. </w:t>
      </w:r>
      <w:r w:rsidRPr="00B910BD">
        <w:rPr>
          <w:i/>
        </w:rPr>
        <w:t>Population Health Metrics</w:t>
      </w:r>
      <w:r w:rsidRPr="00B910BD">
        <w:t>,</w:t>
      </w:r>
      <w:r w:rsidRPr="00B910BD">
        <w:rPr>
          <w:i/>
        </w:rPr>
        <w:t xml:space="preserve"> 21</w:t>
      </w:r>
      <w:r w:rsidRPr="00B910BD">
        <w:t xml:space="preserve">(1), 1. </w:t>
      </w:r>
      <w:hyperlink r:id="rId377" w:history="1">
        <w:r w:rsidRPr="00B910BD">
          <w:rPr>
            <w:rStyle w:val="Hyperlink"/>
          </w:rPr>
          <w:t>https://doi.org/10.1186/s12963-023-00301-1</w:t>
        </w:r>
      </w:hyperlink>
      <w:r w:rsidRPr="00B910BD">
        <w:t xml:space="preserve"> </w:t>
      </w:r>
    </w:p>
    <w:p w14:paraId="4D30394B" w14:textId="4E110341" w:rsidR="00B910BD" w:rsidRPr="00B910BD" w:rsidRDefault="00B910BD" w:rsidP="00B910BD">
      <w:pPr>
        <w:pStyle w:val="EndNoteBibliography"/>
        <w:spacing w:after="0"/>
        <w:ind w:left="720" w:hanging="720"/>
      </w:pPr>
      <w:r w:rsidRPr="00B910BD">
        <w:lastRenderedPageBreak/>
        <w:t xml:space="preserve">World Health Organisation. (2013). </w:t>
      </w:r>
      <w:r w:rsidRPr="00B910BD">
        <w:rPr>
          <w:i/>
        </w:rPr>
        <w:t>Global action plan for the prevention and control of noncommunicable diseases 2013-2020</w:t>
      </w:r>
      <w:r w:rsidRPr="00B910BD">
        <w:t xml:space="preserve">. </w:t>
      </w:r>
      <w:hyperlink r:id="rId378" w:history="1">
        <w:r w:rsidRPr="00B910BD">
          <w:rPr>
            <w:rStyle w:val="Hyperlink"/>
          </w:rPr>
          <w:t>https://iris.who.int/server/api/core/bitstreams/15f51d0a-bfbd-43ad-a637-73778feb57e3/content</w:t>
        </w:r>
      </w:hyperlink>
    </w:p>
    <w:p w14:paraId="4168C275" w14:textId="0E40DE54" w:rsidR="00B910BD" w:rsidRPr="00B910BD" w:rsidRDefault="00B910BD" w:rsidP="00B910BD">
      <w:pPr>
        <w:pStyle w:val="EndNoteBibliography"/>
        <w:spacing w:after="0"/>
        <w:ind w:left="720" w:hanging="720"/>
      </w:pPr>
      <w:r w:rsidRPr="00B910BD">
        <w:t xml:space="preserve">World Health Organisation. (2026, 11/05/2026). </w:t>
      </w:r>
      <w:r w:rsidRPr="00B910BD">
        <w:rPr>
          <w:i/>
        </w:rPr>
        <w:t>Sodium reduction</w:t>
      </w:r>
      <w:r w:rsidRPr="00B910BD">
        <w:t xml:space="preserve">. Retrieved 09/06/2026 from </w:t>
      </w:r>
      <w:hyperlink r:id="rId379" w:history="1">
        <w:r w:rsidRPr="00B910BD">
          <w:rPr>
            <w:rStyle w:val="Hyperlink"/>
          </w:rPr>
          <w:t>https://www.who.int/news-room/fact-sheets/detail/sodium-reduction</w:t>
        </w:r>
      </w:hyperlink>
    </w:p>
    <w:p w14:paraId="48D09191" w14:textId="1BFEB6DC" w:rsidR="00B910BD" w:rsidRPr="00B910BD" w:rsidRDefault="00B910BD" w:rsidP="00B910BD">
      <w:pPr>
        <w:pStyle w:val="EndNoteBibliography"/>
        <w:spacing w:after="0"/>
        <w:ind w:left="720" w:hanging="720"/>
      </w:pPr>
      <w:r w:rsidRPr="00B910BD">
        <w:t xml:space="preserve">World Health Organization, W. (2012). </w:t>
      </w:r>
      <w:r w:rsidRPr="00B910BD">
        <w:rPr>
          <w:i/>
        </w:rPr>
        <w:t>Guideline: Sodium Intake for Adults and Children</w:t>
      </w:r>
      <w:r w:rsidRPr="00B910BD">
        <w:t xml:space="preserve">. WHO. </w:t>
      </w:r>
      <w:hyperlink r:id="rId380" w:history="1">
        <w:r w:rsidRPr="00B910BD">
          <w:rPr>
            <w:rStyle w:val="Hyperlink"/>
          </w:rPr>
          <w:t>https://www.who.int/publications/i/item/9789241504836</w:t>
        </w:r>
      </w:hyperlink>
      <w:r w:rsidRPr="00B910BD">
        <w:t xml:space="preserve"> </w:t>
      </w:r>
    </w:p>
    <w:p w14:paraId="6F65CBE3" w14:textId="0A176509" w:rsidR="00B910BD" w:rsidRPr="00B910BD" w:rsidRDefault="00B910BD" w:rsidP="00B910BD">
      <w:pPr>
        <w:pStyle w:val="EndNoteBibliography"/>
        <w:spacing w:after="0"/>
        <w:ind w:left="720" w:hanging="720"/>
      </w:pPr>
      <w:r w:rsidRPr="00B910BD">
        <w:t xml:space="preserve">World Health Organization, W. (2026). </w:t>
      </w:r>
      <w:r w:rsidRPr="00B910BD">
        <w:rPr>
          <w:i/>
        </w:rPr>
        <w:t>Cardiovascular diseases</w:t>
      </w:r>
      <w:r w:rsidRPr="00B910BD">
        <w:t xml:space="preserve">. Retrieved 31/03/2026 from </w:t>
      </w:r>
      <w:hyperlink r:id="rId381" w:history="1">
        <w:r w:rsidRPr="00B910BD">
          <w:rPr>
            <w:rStyle w:val="Hyperlink"/>
          </w:rPr>
          <w:t>https://www.who.int/health-topics/cardiovascular-diseases</w:t>
        </w:r>
      </w:hyperlink>
    </w:p>
    <w:p w14:paraId="2B88BB17" w14:textId="79DDB8C9" w:rsidR="00B910BD" w:rsidRPr="00B910BD" w:rsidRDefault="00B910BD" w:rsidP="00B910BD">
      <w:pPr>
        <w:pStyle w:val="EndNoteBibliography"/>
        <w:ind w:left="720" w:hanging="720"/>
      </w:pPr>
      <w:r w:rsidRPr="00B910BD">
        <w:t xml:space="preserve">Zhao, D., Li, H. M., Li, C. X., &amp; Zhou, B. (2022). 24-Hour Urinary Sodium Excretion Association with Cardiovascular Events: A Systematic Review and Dose-Response Meta-Analysis. </w:t>
      </w:r>
      <w:r w:rsidRPr="00B910BD">
        <w:rPr>
          <w:i/>
        </w:rPr>
        <w:t>Biomed Environ Sci</w:t>
      </w:r>
      <w:r w:rsidRPr="00B910BD">
        <w:t>,</w:t>
      </w:r>
      <w:r w:rsidRPr="00B910BD">
        <w:rPr>
          <w:i/>
        </w:rPr>
        <w:t xml:space="preserve"> 35</w:t>
      </w:r>
      <w:r w:rsidRPr="00B910BD">
        <w:t xml:space="preserve">(10), 921-930. </w:t>
      </w:r>
      <w:hyperlink r:id="rId382" w:history="1">
        <w:r w:rsidRPr="00B910BD">
          <w:rPr>
            <w:rStyle w:val="Hyperlink"/>
          </w:rPr>
          <w:t>https://doi.org/10.3967/bes2022.119</w:t>
        </w:r>
      </w:hyperlink>
      <w:r w:rsidRPr="00B910BD">
        <w:t xml:space="preserve"> </w:t>
      </w:r>
    </w:p>
    <w:p w14:paraId="0F746D7E" w14:textId="0908A403" w:rsidR="00F61D64" w:rsidRPr="00E67C27" w:rsidRDefault="00F61D64" w:rsidP="00F61D64">
      <w:pPr>
        <w:rPr>
          <w:lang w:val="en-US"/>
        </w:rPr>
      </w:pPr>
      <w:r>
        <w:fldChar w:fldCharType="end"/>
      </w:r>
    </w:p>
    <w:p w14:paraId="0099451B" w14:textId="77777777" w:rsidR="00F61D64" w:rsidRDefault="00F61D64" w:rsidP="00F61D64"/>
    <w:p w14:paraId="2DDE668B" w14:textId="77777777" w:rsidR="004F7A92" w:rsidRPr="004F7A92" w:rsidRDefault="004F7A92" w:rsidP="004F7A92"/>
    <w:sectPr w:rsidR="004F7A92" w:rsidRPr="004F7A92" w:rsidSect="00074E84">
      <w:headerReference w:type="default" r:id="rId383"/>
      <w:footnotePr>
        <w:pos w:val="beneathText"/>
      </w:footnotePr>
      <w:pgSz w:w="16838" w:h="11906" w:orient="landscape"/>
      <w:pgMar w:top="-568" w:right="1080" w:bottom="70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3D31E" w14:textId="77777777" w:rsidR="000B543C" w:rsidRDefault="000B543C" w:rsidP="00A644FB">
      <w:pPr>
        <w:spacing w:after="0" w:line="240" w:lineRule="auto"/>
      </w:pPr>
      <w:r>
        <w:separator/>
      </w:r>
    </w:p>
  </w:endnote>
  <w:endnote w:type="continuationSeparator" w:id="0">
    <w:p w14:paraId="397494A3" w14:textId="77777777" w:rsidR="000B543C" w:rsidRDefault="000B543C" w:rsidP="00A644FB">
      <w:pPr>
        <w:spacing w:after="0" w:line="240" w:lineRule="auto"/>
      </w:pPr>
      <w:r>
        <w:continuationSeparator/>
      </w:r>
    </w:p>
  </w:endnote>
  <w:endnote w:type="continuationNotice" w:id="1">
    <w:p w14:paraId="19437185" w14:textId="77777777" w:rsidR="000B543C" w:rsidRDefault="000B54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otham Book">
    <w:altName w:val="Calibri"/>
    <w:panose1 w:val="00000000000000000000"/>
    <w:charset w:val="00"/>
    <w:family w:val="modern"/>
    <w:notTrueType/>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dvTT62f2e734">
    <w:altName w:val="Calibri"/>
    <w:charset w:val="00"/>
    <w:family w:val="auto"/>
    <w:pitch w:val="default"/>
  </w:font>
  <w:font w:name="Yu Mincho">
    <w:charset w:val="80"/>
    <w:family w:val="roman"/>
    <w:pitch w:val="variable"/>
    <w:sig w:usb0="800002E7" w:usb1="2AC7FCFF" w:usb2="00000012" w:usb3="00000000" w:csb0="0002009F" w:csb1="00000000"/>
  </w:font>
  <w:font w:name="AdvPSSAB-R">
    <w:altName w:val="Cambria"/>
    <w:panose1 w:val="00000000000000000000"/>
    <w:charset w:val="00"/>
    <w:family w:val="roman"/>
    <w:notTrueType/>
    <w:pitch w:val="default"/>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Gotham Medium">
    <w:panose1 w:val="00000000000000000000"/>
    <w:charset w:val="00"/>
    <w:family w:val="modern"/>
    <w:notTrueType/>
    <w:pitch w:val="variable"/>
    <w:sig w:usb0="A00002FF" w:usb1="4000005B"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7AEA6" w14:textId="343A0D5F" w:rsidR="008E410A" w:rsidRDefault="008E410A">
    <w:pPr>
      <w:pStyle w:val="Footer"/>
    </w:pPr>
    <w:r>
      <w:rPr>
        <w:noProof/>
      </w:rPr>
      <mc:AlternateContent>
        <mc:Choice Requires="wps">
          <w:drawing>
            <wp:anchor distT="0" distB="0" distL="0" distR="0" simplePos="0" relativeHeight="251666434" behindDoc="0" locked="0" layoutInCell="1" allowOverlap="1" wp14:anchorId="321FBD4B" wp14:editId="17E1642A">
              <wp:simplePos x="635" y="635"/>
              <wp:positionH relativeFrom="page">
                <wp:align>left</wp:align>
              </wp:positionH>
              <wp:positionV relativeFrom="page">
                <wp:align>bottom</wp:align>
              </wp:positionV>
              <wp:extent cx="772795" cy="357505"/>
              <wp:effectExtent l="0" t="0" r="8255" b="0"/>
              <wp:wrapNone/>
              <wp:docPr id="695907182"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2F21177E" w14:textId="238F0D40" w:rsidR="008E410A" w:rsidRPr="008E410A" w:rsidRDefault="008E410A" w:rsidP="008E410A">
                          <w:pPr>
                            <w:spacing w:after="0"/>
                            <w:rPr>
                              <w:rFonts w:ascii="Aptos" w:eastAsia="Aptos" w:hAnsi="Aptos" w:cs="Aptos"/>
                              <w:noProof/>
                              <w:color w:val="000000"/>
                              <w:sz w:val="20"/>
                              <w:szCs w:val="20"/>
                            </w:rPr>
                          </w:pPr>
                          <w:r w:rsidRPr="008E410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1FBD4B" id="_x0000_t202" coordsize="21600,21600" o:spt="202" path="m,l,21600r21600,l21600,xe">
              <v:stroke joinstyle="miter"/>
              <v:path gradientshapeok="t" o:connecttype="rect"/>
            </v:shapetype>
            <v:shape id="Text Box 29" o:spid="_x0000_s1042" type="#_x0000_t202" alt="OFFICIAL" style="position:absolute;margin-left:0;margin-top:0;width:60.85pt;height:28.15pt;z-index:25166643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" filled="f" stroked="f">
              <v:textbox style="mso-fit-shape-to-text:t" inset="20pt,0,0,15pt">
                <w:txbxContent>
                  <w:p w14:paraId="2F21177E" w14:textId="238F0D40" w:rsidR="008E410A" w:rsidRPr="008E410A" w:rsidRDefault="008E410A" w:rsidP="008E410A">
                    <w:pPr>
                      <w:spacing w:after="0"/>
                      <w:rPr>
                        <w:rFonts w:ascii="Aptos" w:eastAsia="Aptos" w:hAnsi="Aptos" w:cs="Aptos"/>
                        <w:noProof/>
                        <w:color w:val="000000"/>
                        <w:sz w:val="20"/>
                        <w:szCs w:val="20"/>
                      </w:rPr>
                    </w:pPr>
                    <w:r w:rsidRPr="008E410A">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F368" w14:textId="47714997" w:rsidR="00533C43" w:rsidRDefault="000B543C">
    <w:pPr>
      <w:pStyle w:val="Footer"/>
      <w:jc w:val="right"/>
    </w:pPr>
    <w:sdt>
      <w:sdtPr>
        <w:id w:val="-1989924143"/>
        <w:docPartObj>
          <w:docPartGallery w:val="Page Numbers (Bottom of Page)"/>
          <w:docPartUnique/>
        </w:docPartObj>
      </w:sdtPr>
      <w:sdtEndPr>
        <w:rPr>
          <w:noProof/>
        </w:rPr>
      </w:sdtEndPr>
      <w:sdtContent>
        <w:r w:rsidR="00533C43">
          <w:fldChar w:fldCharType="begin"/>
        </w:r>
        <w:r w:rsidR="00533C43">
          <w:instrText xml:space="preserve"> PAGE   \* MERGEFORMAT </w:instrText>
        </w:r>
        <w:r w:rsidR="00533C43">
          <w:fldChar w:fldCharType="separate"/>
        </w:r>
        <w:r w:rsidR="00533C43">
          <w:rPr>
            <w:noProof/>
          </w:rPr>
          <w:t>2</w:t>
        </w:r>
        <w:r w:rsidR="00533C43">
          <w:rPr>
            <w:noProof/>
          </w:rPr>
          <w:fldChar w:fldCharType="end"/>
        </w:r>
      </w:sdtContent>
    </w:sdt>
  </w:p>
  <w:p w14:paraId="2C0D8F50" w14:textId="77A2E418" w:rsidR="00533C43" w:rsidRPr="0015322F" w:rsidRDefault="00E12409">
    <w:pPr>
      <w:pStyle w:val="Footer"/>
      <w:rPr>
        <w:color w:val="595959" w:themeColor="text1" w:themeTint="A6"/>
        <w:sz w:val="18"/>
        <w:szCs w:val="18"/>
      </w:rPr>
    </w:pPr>
    <w:r w:rsidRPr="00206340">
      <w:rPr>
        <w:b/>
        <w:bCs/>
        <w:color w:val="595959" w:themeColor="text1" w:themeTint="A6"/>
        <w:sz w:val="18"/>
        <w:szCs w:val="18"/>
      </w:rPr>
      <w:t>AI statement</w:t>
    </w:r>
    <w:r w:rsidRPr="0015322F">
      <w:rPr>
        <w:color w:val="595959" w:themeColor="text1" w:themeTint="A6"/>
        <w:sz w:val="18"/>
        <w:szCs w:val="18"/>
      </w:rPr>
      <w:t>: Microsoft 365 CoPilot was used to refine language to improve clarity and alignment with the Australian Government Style Manual. All content was reviewed and validated.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02C04" w14:textId="73898E25" w:rsidR="008E410A" w:rsidRDefault="008E410A">
    <w:pPr>
      <w:pStyle w:val="Footer"/>
    </w:pPr>
    <w:r>
      <w:rPr>
        <w:noProof/>
      </w:rPr>
      <mc:AlternateContent>
        <mc:Choice Requires="wps">
          <w:drawing>
            <wp:anchor distT="0" distB="0" distL="0" distR="0" simplePos="0" relativeHeight="251665410" behindDoc="0" locked="0" layoutInCell="1" allowOverlap="1" wp14:anchorId="7F1F1BCC" wp14:editId="44E34A4E">
              <wp:simplePos x="635" y="635"/>
              <wp:positionH relativeFrom="page">
                <wp:align>left</wp:align>
              </wp:positionH>
              <wp:positionV relativeFrom="page">
                <wp:align>bottom</wp:align>
              </wp:positionV>
              <wp:extent cx="772795" cy="357505"/>
              <wp:effectExtent l="0" t="0" r="8255" b="0"/>
              <wp:wrapNone/>
              <wp:docPr id="290189521"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0819A5C6" w14:textId="5AF944B7" w:rsidR="008E410A" w:rsidRPr="008E410A" w:rsidRDefault="008E410A" w:rsidP="008E410A">
                          <w:pPr>
                            <w:spacing w:after="0"/>
                            <w:rPr>
                              <w:rFonts w:ascii="Aptos" w:eastAsia="Aptos" w:hAnsi="Aptos" w:cs="Aptos"/>
                              <w:noProof/>
                              <w:color w:val="000000"/>
                              <w:sz w:val="20"/>
                              <w:szCs w:val="20"/>
                            </w:rPr>
                          </w:pPr>
                          <w:r w:rsidRPr="008E410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1F1BCC" id="_x0000_t202" coordsize="21600,21600" o:spt="202" path="m,l,21600r21600,l21600,xe">
              <v:stroke joinstyle="miter"/>
              <v:path gradientshapeok="t" o:connecttype="rect"/>
            </v:shapetype>
            <v:shape id="Text Box 28" o:spid="_x0000_s1044" type="#_x0000_t202" alt="OFFICIAL" style="position:absolute;margin-left:0;margin-top:0;width:60.85pt;height:28.15pt;z-index:25166541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OMiQJQT&#10;AgAAIQQAAA4AAAAAAAAAAAAAAAAALgIAAGRycy9lMm9Eb2MueG1sUEsBAi0AFAAGAAgAAAAhAAyn&#10;DJzaAAAABAEAAA8AAAAAAAAAAAAAAAAAbQQAAGRycy9kb3ducmV2LnhtbFBLBQYAAAAABAAEAPMA&#10;AAB0BQAAAAA=&#10;" filled="f" stroked="f">
              <v:textbox style="mso-fit-shape-to-text:t" inset="20pt,0,0,15pt">
                <w:txbxContent>
                  <w:p w14:paraId="0819A5C6" w14:textId="5AF944B7" w:rsidR="008E410A" w:rsidRPr="008E410A" w:rsidRDefault="008E410A" w:rsidP="008E410A">
                    <w:pPr>
                      <w:spacing w:after="0"/>
                      <w:rPr>
                        <w:rFonts w:ascii="Aptos" w:eastAsia="Aptos" w:hAnsi="Aptos" w:cs="Aptos"/>
                        <w:noProof/>
                        <w:color w:val="000000"/>
                        <w:sz w:val="20"/>
                        <w:szCs w:val="20"/>
                      </w:rPr>
                    </w:pPr>
                    <w:r w:rsidRPr="008E410A">
                      <w:rPr>
                        <w:rFonts w:ascii="Aptos" w:eastAsia="Aptos" w:hAnsi="Aptos" w:cs="Aptos"/>
                        <w:noProof/>
                        <w:color w:val="00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61B9" w14:textId="77777777" w:rsidR="00E12409" w:rsidRDefault="000B543C">
    <w:pPr>
      <w:pStyle w:val="Footer"/>
      <w:jc w:val="right"/>
    </w:pPr>
    <w:sdt>
      <w:sdtPr>
        <w:id w:val="-1164247064"/>
        <w:docPartObj>
          <w:docPartGallery w:val="Page Numbers (Bottom of Page)"/>
          <w:docPartUnique/>
        </w:docPartObj>
      </w:sdtPr>
      <w:sdtEndPr>
        <w:rPr>
          <w:noProof/>
        </w:rPr>
      </w:sdtEndPr>
      <w:sdtContent>
        <w:r w:rsidR="00E12409">
          <w:fldChar w:fldCharType="begin"/>
        </w:r>
        <w:r w:rsidR="00E12409">
          <w:instrText xml:space="preserve"> PAGE   \* MERGEFORMAT </w:instrText>
        </w:r>
        <w:r w:rsidR="00E12409">
          <w:fldChar w:fldCharType="separate"/>
        </w:r>
        <w:r w:rsidR="00E12409">
          <w:rPr>
            <w:noProof/>
          </w:rPr>
          <w:t>2</w:t>
        </w:r>
        <w:r w:rsidR="00E12409">
          <w:rPr>
            <w:noProof/>
          </w:rPr>
          <w:fldChar w:fldCharType="end"/>
        </w:r>
      </w:sdtContent>
    </w:sdt>
  </w:p>
  <w:p w14:paraId="46CEED91" w14:textId="77777777" w:rsidR="00E12409" w:rsidRDefault="00E124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1DE76" w14:textId="77777777" w:rsidR="000B543C" w:rsidRDefault="000B543C" w:rsidP="00A644FB">
      <w:pPr>
        <w:spacing w:after="0" w:line="240" w:lineRule="auto"/>
      </w:pPr>
      <w:r>
        <w:separator/>
      </w:r>
    </w:p>
  </w:footnote>
  <w:footnote w:type="continuationSeparator" w:id="0">
    <w:p w14:paraId="1C23707B" w14:textId="77777777" w:rsidR="000B543C" w:rsidRDefault="000B543C" w:rsidP="00A644FB">
      <w:pPr>
        <w:spacing w:after="0" w:line="240" w:lineRule="auto"/>
      </w:pPr>
      <w:r>
        <w:continuationSeparator/>
      </w:r>
    </w:p>
  </w:footnote>
  <w:footnote w:type="continuationNotice" w:id="1">
    <w:p w14:paraId="68DC9EF1" w14:textId="77777777" w:rsidR="000B543C" w:rsidRDefault="000B543C">
      <w:pPr>
        <w:spacing w:after="0" w:line="240" w:lineRule="auto"/>
      </w:pPr>
    </w:p>
  </w:footnote>
  <w:footnote w:id="2">
    <w:p w14:paraId="4B5C187C" w14:textId="0A8F820C" w:rsidR="005E1B63" w:rsidRDefault="00457BC5" w:rsidP="000C2E8C">
      <w:pPr>
        <w:pStyle w:val="FootnoteText"/>
        <w:spacing w:after="120"/>
      </w:pPr>
      <w:r>
        <w:rPr>
          <w:rStyle w:val="FootnoteReference"/>
        </w:rPr>
        <w:footnoteRef/>
      </w:r>
      <w:r>
        <w:t xml:space="preserve"> In this context, the term ‘processed’ refers to</w:t>
      </w:r>
      <w:r w:rsidR="005E1B63">
        <w:t xml:space="preserve"> any</w:t>
      </w:r>
      <w:r>
        <w:t xml:space="preserve"> foods that have </w:t>
      </w:r>
      <w:r w:rsidR="00213420">
        <w:t>been modified from their raw state</w:t>
      </w:r>
      <w:r w:rsidR="007C1C5A">
        <w:t>, including foods processed for safety (eg. pasteurisation of milk)</w:t>
      </w:r>
      <w:r w:rsidR="00E57F06">
        <w:t xml:space="preserve"> or</w:t>
      </w:r>
      <w:r w:rsidR="007C1C5A">
        <w:t xml:space="preserve"> to extend shelf life (canned goods), </w:t>
      </w:r>
      <w:r w:rsidR="00E57F06">
        <w:t xml:space="preserve">as well as processing to </w:t>
      </w:r>
      <w:r w:rsidR="00861114">
        <w:t>enhance flavour, texture or appearance</w:t>
      </w:r>
      <w:r w:rsidR="005E1B63">
        <w:t xml:space="preserve"> (e.g. ultra-processed foods)</w:t>
      </w:r>
    </w:p>
    <w:p w14:paraId="4F04AFA6" w14:textId="05187BFC" w:rsidR="00457BC5" w:rsidRDefault="005E1B63" w:rsidP="000C2E8C">
      <w:pPr>
        <w:pStyle w:val="FootnoteText"/>
        <w:spacing w:after="120"/>
      </w:pPr>
      <w:r>
        <w:t>See:</w:t>
      </w:r>
      <w:r w:rsidR="00861114">
        <w:t xml:space="preserve"> </w:t>
      </w:r>
      <w:r>
        <w:fldChar w:fldCharType="begin"/>
      </w:r>
      <w:r w:rsidR="008662AE">
        <w:instrText xml:space="preserve"> ADDIN EN.CITE &lt;EndNote&gt;&lt;Cite&gt;&lt;Author&gt;Food Standards Australia and New Zealand&lt;/Author&gt;&lt;Year&gt;2023&lt;/Year&gt;&lt;RecNum&gt;4704&lt;/RecNum&gt;&lt;DisplayText&gt;Food Standards Australia and New Zealand. (2023). &lt;style face="italic"&gt;Processed foods&lt;/style&gt;. FSANZ Retrieved from https://www.foodstandards.gov.au/consumer/our-safe-food-supply/processed-foods&lt;/DisplayText&gt;&lt;record&gt;&lt;rec-number&gt;4704&lt;/rec-number&gt;&lt;foreign-keys&gt;&lt;key app="EN" db-id="wwsdv2wwp29fenerv0kx5tw9zxtx2fdrprx2" timestamp="1777866999"&gt;4704&lt;/key&gt;&lt;/foreign-keys&gt;&lt;ref-type name="Government Document"&gt;46&lt;/ref-type&gt;&lt;contributors&gt;&lt;authors&gt;&lt;author&gt;Food Standards Australia and New Zealand,&lt;/author&gt;&lt;/authors&gt;&lt;/contributors&gt;&lt;titles&gt;&lt;title&gt;Processed foods&lt;/title&gt;&lt;/titles&gt;&lt;dates&gt;&lt;year&gt;2023&lt;/year&gt;&lt;/dates&gt;&lt;publisher&gt;FSANZ&lt;/publisher&gt;&lt;urls&gt;&lt;related-urls&gt;&lt;url&gt;https://www.foodstandards.gov.au/consumer/our-safe-food-supply/processed-foods&lt;/url&gt;&lt;/related-urls&gt;&lt;/urls&gt;&lt;access-date&gt;04/05/2026&lt;/access-date&gt;&lt;/record&gt;&lt;/Cite&gt;&lt;/EndNote&gt;</w:instrText>
      </w:r>
      <w:r>
        <w:fldChar w:fldCharType="separate"/>
      </w:r>
      <w:r>
        <w:rPr>
          <w:noProof/>
        </w:rPr>
        <w:t xml:space="preserve">Food Standards Australia and New Zealand. (2023). </w:t>
      </w:r>
      <w:r w:rsidRPr="005E1B63">
        <w:rPr>
          <w:i/>
          <w:noProof/>
        </w:rPr>
        <w:t>Processed foods</w:t>
      </w:r>
      <w:r>
        <w:rPr>
          <w:noProof/>
        </w:rPr>
        <w:t>. FSANZ Retrieved from https://www.foodstandards.gov.au/consumer/our-safe-food-supply/processed-foods</w:t>
      </w:r>
      <w:r>
        <w:fldChar w:fldCharType="end"/>
      </w:r>
      <w:r w:rsidR="00861114">
        <w:t xml:space="preserve">. </w:t>
      </w:r>
    </w:p>
  </w:footnote>
  <w:footnote w:id="3">
    <w:p w14:paraId="5A4697B1" w14:textId="61DAAE45" w:rsidR="008F4936" w:rsidRDefault="008F4936" w:rsidP="000C2E8C">
      <w:pPr>
        <w:pStyle w:val="FootnoteText"/>
        <w:spacing w:after="120"/>
      </w:pPr>
      <w:r>
        <w:rPr>
          <w:rStyle w:val="FootnoteReference"/>
        </w:rPr>
        <w:footnoteRef/>
      </w:r>
      <w:r>
        <w:t xml:space="preserve"> </w:t>
      </w:r>
      <w:r w:rsidR="00B50F2F">
        <w:t>D</w:t>
      </w:r>
      <w:r>
        <w:t>iscretionary foods a</w:t>
      </w:r>
      <w:r w:rsidR="00B50F2F">
        <w:t>re</w:t>
      </w:r>
      <w:r>
        <w:t xml:space="preserve"> </w:t>
      </w:r>
      <w:r w:rsidR="00B50F2F">
        <w:t xml:space="preserve">defined as </w:t>
      </w:r>
      <w:r>
        <w:t>“</w:t>
      </w:r>
      <w:r w:rsidRPr="008F4936">
        <w:t>foods and drinks not necessary to provide the nutrients the body needs, but that may add variety.</w:t>
      </w:r>
      <w:r>
        <w:t xml:space="preserve">” </w:t>
      </w:r>
      <w:r w:rsidR="0018435C">
        <w:fldChar w:fldCharType="begin"/>
      </w:r>
      <w:r w:rsidR="0018435C">
        <w:instrText xml:space="preserve"> ADDIN EN.CITE &lt;EndNote&gt;&lt;Cite&gt;&lt;Author&gt;National Health and Medical Research Council&lt;/Author&gt;&lt;Year&gt;2013&lt;/Year&gt;&lt;RecNum&gt;4757&lt;/RecNum&gt;&lt;DisplayText&gt;National Health and Medical Research Council, N. (2013). &lt;style face="italic"&gt;Australian Dietary Guidelines - Educator Guide&lt;/style&gt;. Canberra Retrieved from https://www.eatforhealth.gov.au/sites/default/files/files/the_guidelines/n55b_eat_for_health_educators_guide.pdf&lt;/DisplayText&gt;&lt;record&gt;&lt;rec-number&gt;4757&lt;/rec-number&gt;&lt;foreign-keys&gt;&lt;key app="EN" db-id="wwsdv2wwp29fenerv0kx5tw9zxtx2fdrprx2" timestamp="1782699670"&gt;4757&lt;/key&gt;&lt;/foreign-keys&gt;&lt;ref-type name="Government Document"&gt;46&lt;/ref-type&gt;&lt;contributors&gt;&lt;authors&gt;&lt;author&gt;National Health and Medical Research Council, NHMRC&lt;/author&gt;&lt;/authors&gt;&lt;secondary-authors&gt;&lt;author&gt;Department of Health and Ageing&lt;/author&gt;&lt;/secondary-authors&gt;&lt;/contributors&gt;&lt;titles&gt;&lt;title&gt;Australian Dietary Guidelines - Educator Guide&lt;/title&gt;&lt;/titles&gt;&lt;dates&gt;&lt;year&gt;2013&lt;/year&gt;&lt;/dates&gt;&lt;pub-location&gt;Canberra&lt;/pub-location&gt;&lt;urls&gt;&lt;related-urls&gt;&lt;url&gt;https://www.eatforhealth.gov.au/sites/default/files/files/the_guidelines/n55b_eat_for_health_educators_guide.pdf&lt;/url&gt;&lt;/related-urls&gt;&lt;/urls&gt;&lt;/record&gt;&lt;/Cite&gt;&lt;/EndNote&gt;</w:instrText>
      </w:r>
      <w:r w:rsidR="0018435C">
        <w:fldChar w:fldCharType="separate"/>
      </w:r>
      <w:r w:rsidR="0018435C">
        <w:rPr>
          <w:noProof/>
        </w:rPr>
        <w:t xml:space="preserve">National Health and Medical Research Council, N. (2013). </w:t>
      </w:r>
      <w:r w:rsidR="0018435C" w:rsidRPr="0018435C">
        <w:rPr>
          <w:i/>
          <w:noProof/>
        </w:rPr>
        <w:t>Australian Dietary Guidelines - Educator Guide</w:t>
      </w:r>
      <w:r w:rsidR="0018435C">
        <w:rPr>
          <w:noProof/>
        </w:rPr>
        <w:t>. Canberra Retrieved from https://www.eatforhealth.gov.au/sites/default/files/files/the_guidelines/n55b_eat_for_health_educators_guide.pdf</w:t>
      </w:r>
      <w:r w:rsidR="0018435C">
        <w:fldChar w:fldCharType="end"/>
      </w:r>
    </w:p>
  </w:footnote>
  <w:footnote w:id="4">
    <w:p w14:paraId="51B5B610" w14:textId="338E3E43" w:rsidR="00B74E24" w:rsidRDefault="00B74E24">
      <w:pPr>
        <w:pStyle w:val="FootnoteText"/>
      </w:pPr>
      <w:r>
        <w:rPr>
          <w:rStyle w:val="FootnoteReference"/>
        </w:rPr>
        <w:footnoteRef/>
      </w:r>
      <w:r>
        <w:t xml:space="preserve"> Summary of Findings table</w:t>
      </w:r>
      <w:r w:rsidR="002D5ED8">
        <w:t>s</w:t>
      </w:r>
      <w:r>
        <w:t xml:space="preserve"> </w:t>
      </w:r>
      <w:r w:rsidR="002D5ED8">
        <w:t>are</w:t>
      </w:r>
      <w:r>
        <w:t xml:space="preserve"> </w:t>
      </w:r>
      <w:r w:rsidR="0002309D">
        <w:t xml:space="preserve">presented </w:t>
      </w:r>
      <w:r>
        <w:t xml:space="preserve">as per the AHRQ (2018) review. However, </w:t>
      </w:r>
      <w:r w:rsidR="0002309D">
        <w:t xml:space="preserve">consistent with </w:t>
      </w:r>
      <w:r>
        <w:t>GRADE recommended wording,</w:t>
      </w:r>
      <w:r w:rsidR="0002309D">
        <w:t xml:space="preserve"> the evidence may be more accurately summarised as </w:t>
      </w:r>
      <w:r>
        <w:t xml:space="preserve">“low certainty evidence that lower sodium intake may have </w:t>
      </w:r>
      <w:r w:rsidR="002D5ED8">
        <w:t xml:space="preserve">little to </w:t>
      </w:r>
      <w:r>
        <w:t>no effect on systolic blood pressure in children.”</w:t>
      </w:r>
    </w:p>
  </w:footnote>
  <w:footnote w:id="5">
    <w:p w14:paraId="04F42459" w14:textId="0BC0B2D3" w:rsidR="00806747" w:rsidRDefault="00806747">
      <w:pPr>
        <w:pStyle w:val="FootnoteText"/>
      </w:pPr>
      <w:r>
        <w:rPr>
          <w:rStyle w:val="FootnoteReference"/>
        </w:rPr>
        <w:footnoteRef/>
      </w:r>
      <w:r>
        <w:t xml:space="preserve"> Discretionary foods are defined as “</w:t>
      </w:r>
      <w:r w:rsidRPr="008F4936">
        <w:t>foods and drinks not necessary to provide the nutrients the body needs, but that may add variety.</w:t>
      </w:r>
      <w:r>
        <w:t xml:space="preserve">” </w:t>
      </w:r>
      <w:r>
        <w:fldChar w:fldCharType="begin"/>
      </w:r>
      <w:r>
        <w:instrText xml:space="preserve"> ADDIN EN.CITE &lt;EndNote&gt;&lt;Cite&gt;&lt;Author&gt;National Health and Medical Research Council&lt;/Author&gt;&lt;Year&gt;2013&lt;/Year&gt;&lt;RecNum&gt;4757&lt;/RecNum&gt;&lt;DisplayText&gt;National Health and Medical Research Council, N. (2013). &lt;style face="italic"&gt;Australian Dietary Guidelines - Educator Guide&lt;/style&gt;. Canberra Retrieved from https://www.eatforhealth.gov.au/sites/default/files/files/the_guidelines/n55b_eat_for_health_educators_guide.pdf&lt;/DisplayText&gt;&lt;record&gt;&lt;rec-number&gt;4757&lt;/rec-number&gt;&lt;foreign-keys&gt;&lt;key app="EN" db-id="wwsdv2wwp29fenerv0kx5tw9zxtx2fdrprx2" timestamp="1782699670"&gt;4757&lt;/key&gt;&lt;/foreign-keys&gt;&lt;ref-type name="Government Document"&gt;46&lt;/ref-type&gt;&lt;contributors&gt;&lt;authors&gt;&lt;author&gt;National Health and Medical Research Council, NHMRC&lt;/author&gt;&lt;/authors&gt;&lt;secondary-authors&gt;&lt;author&gt;Department of Health and Ageing&lt;/author&gt;&lt;/secondary-authors&gt;&lt;/contributors&gt;&lt;titles&gt;&lt;title&gt;Australian Dietary Guidelines - Educator Guide&lt;/title&gt;&lt;/titles&gt;&lt;dates&gt;&lt;year&gt;2013&lt;/year&gt;&lt;/dates&gt;&lt;pub-location&gt;Canberra&lt;/pub-location&gt;&lt;urls&gt;&lt;related-urls&gt;&lt;url&gt;https://www.eatforhealth.gov.au/sites/default/files/files/the_guidelines/n55b_eat_for_health_educators_guide.pdf&lt;/url&gt;&lt;/related-urls&gt;&lt;/urls&gt;&lt;/record&gt;&lt;/Cite&gt;&lt;/EndNote&gt;</w:instrText>
      </w:r>
      <w:r>
        <w:fldChar w:fldCharType="separate"/>
      </w:r>
      <w:r>
        <w:rPr>
          <w:noProof/>
        </w:rPr>
        <w:t xml:space="preserve">National Health and Medical Research Council, N. (2013). </w:t>
      </w:r>
      <w:r w:rsidRPr="0018435C">
        <w:rPr>
          <w:i/>
          <w:noProof/>
        </w:rPr>
        <w:t>Australian Dietary Guidelines - Educator Guide</w:t>
      </w:r>
      <w:r>
        <w:rPr>
          <w:noProof/>
        </w:rPr>
        <w:t>. Canberra Retrieved from https://www.eatforhealth.gov.au/sites/default/files/files/the_guidelines/n55b_eat_for_health_educators_guide.pdf</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8653" w14:textId="2DA9E3CA" w:rsidR="008E410A" w:rsidRDefault="008E410A">
    <w:pPr>
      <w:pStyle w:val="Header"/>
    </w:pPr>
    <w:r>
      <w:rPr>
        <w:noProof/>
      </w:rPr>
      <mc:AlternateContent>
        <mc:Choice Requires="wps">
          <w:drawing>
            <wp:anchor distT="0" distB="0" distL="0" distR="0" simplePos="0" relativeHeight="251660290" behindDoc="0" locked="0" layoutInCell="1" allowOverlap="1" wp14:anchorId="699479F9" wp14:editId="6C278C02">
              <wp:simplePos x="635" y="635"/>
              <wp:positionH relativeFrom="page">
                <wp:align>left</wp:align>
              </wp:positionH>
              <wp:positionV relativeFrom="page">
                <wp:align>top</wp:align>
              </wp:positionV>
              <wp:extent cx="772795" cy="357505"/>
              <wp:effectExtent l="0" t="0" r="8255" b="4445"/>
              <wp:wrapNone/>
              <wp:docPr id="993434958"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1D099646" w14:textId="13D6C5C3" w:rsidR="008E410A" w:rsidRPr="008E410A" w:rsidRDefault="008E410A" w:rsidP="008E410A">
                          <w:pPr>
                            <w:spacing w:after="0"/>
                            <w:rPr>
                              <w:rFonts w:ascii="Aptos" w:eastAsia="Aptos" w:hAnsi="Aptos" w:cs="Aptos"/>
                              <w:noProof/>
                              <w:color w:val="000000"/>
                              <w:sz w:val="20"/>
                              <w:szCs w:val="20"/>
                            </w:rPr>
                          </w:pPr>
                          <w:r w:rsidRPr="008E410A">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99479F9" id="_x0000_t202" coordsize="21600,21600" o:spt="202" path="m,l,21600r21600,l21600,xe">
              <v:stroke joinstyle="miter"/>
              <v:path gradientshapeok="t" o:connecttype="rect"/>
            </v:shapetype>
            <v:shape id="Text Box 23" o:spid="_x0000_s1041" type="#_x0000_t202" alt="OFFICIAL" style="position:absolute;margin-left:0;margin-top:0;width:60.85pt;height:28.15pt;z-index:25166029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" filled="f" stroked="f">
              <v:textbox style="mso-fit-shape-to-text:t" inset="20pt,15pt,0,0">
                <w:txbxContent>
                  <w:p w14:paraId="1D099646" w14:textId="13D6C5C3" w:rsidR="008E410A" w:rsidRPr="008E410A" w:rsidRDefault="008E410A" w:rsidP="008E410A">
                    <w:pPr>
                      <w:spacing w:after="0"/>
                      <w:rPr>
                        <w:rFonts w:ascii="Aptos" w:eastAsia="Aptos" w:hAnsi="Aptos" w:cs="Aptos"/>
                        <w:noProof/>
                        <w:color w:val="000000"/>
                        <w:sz w:val="20"/>
                        <w:szCs w:val="20"/>
                      </w:rPr>
                    </w:pPr>
                    <w:r w:rsidRPr="008E410A">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1416"/>
    </w:tblGrid>
    <w:tr w:rsidR="00C6544D" w14:paraId="5AB802CD" w14:textId="77777777" w:rsidTr="00945499">
      <w:tc>
        <w:tcPr>
          <w:tcW w:w="5386" w:type="dxa"/>
        </w:tcPr>
        <w:p w14:paraId="1FE5E159" w14:textId="77777777" w:rsidR="00C6544D" w:rsidRDefault="00C6544D" w:rsidP="00C6544D">
          <w:pPr>
            <w:pStyle w:val="Header"/>
          </w:pPr>
          <w:r>
            <w:rPr>
              <w:noProof/>
            </w:rPr>
            <w:drawing>
              <wp:inline distT="0" distB="0" distL="0" distR="0" wp14:anchorId="60506064" wp14:editId="068EC814">
                <wp:extent cx="3282950" cy="756920"/>
                <wp:effectExtent l="0" t="0" r="0" b="5080"/>
                <wp:docPr id="1336819213" name="Picture 1336819213"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9" w:type="dxa"/>
        </w:tcPr>
        <w:p w14:paraId="5102DC76" w14:textId="77777777" w:rsidR="00C6544D" w:rsidRDefault="00C6544D" w:rsidP="00C6544D">
          <w:pPr>
            <w:pStyle w:val="SecurityDLM"/>
            <w:ind w:left="0"/>
            <w:jc w:val="right"/>
          </w:pPr>
        </w:p>
      </w:tc>
      <w:tc>
        <w:tcPr>
          <w:tcW w:w="1415" w:type="dxa"/>
        </w:tcPr>
        <w:p w14:paraId="75D07F7E" w14:textId="77777777" w:rsidR="00C6544D" w:rsidRDefault="00C6544D" w:rsidP="00C6544D">
          <w:pPr>
            <w:pStyle w:val="Header"/>
            <w:jc w:val="right"/>
          </w:pPr>
          <w:r>
            <w:rPr>
              <w:noProof/>
            </w:rPr>
            <w:drawing>
              <wp:inline distT="0" distB="0" distL="0" distR="0" wp14:anchorId="2E9E6263" wp14:editId="0D312F82">
                <wp:extent cx="755640" cy="755640"/>
                <wp:effectExtent l="0" t="0" r="6985" b="6985"/>
                <wp:docPr id="1041981323" name="Picture 1041981323"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6AC8F0D6" w14:textId="73411E2B" w:rsidR="007D6E14" w:rsidRDefault="000B543C" w:rsidP="0024043D">
    <w:pPr>
      <w:spacing w:line="360" w:lineRule="auto"/>
    </w:pPr>
    <w:sdt>
      <w:sdtPr>
        <w:id w:val="1182943955"/>
        <w:docPartObj>
          <w:docPartGallery w:val="Watermarks"/>
          <w:docPartUnique/>
        </w:docPartObj>
      </w:sdtPr>
      <w:sdtEndPr/>
      <w:sdtContent>
        <w:r>
          <w:rPr>
            <w:noProof/>
          </w:rPr>
          <w:pict w14:anchorId="6CEB8B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059DA" w14:textId="3B7E44F7" w:rsidR="008E410A" w:rsidRDefault="008E410A">
    <w:pPr>
      <w:pStyle w:val="Header"/>
    </w:pPr>
    <w:r>
      <w:rPr>
        <w:noProof/>
      </w:rPr>
      <mc:AlternateContent>
        <mc:Choice Requires="wps">
          <w:drawing>
            <wp:anchor distT="0" distB="0" distL="0" distR="0" simplePos="0" relativeHeight="251659266" behindDoc="0" locked="0" layoutInCell="1" allowOverlap="1" wp14:anchorId="762898D6" wp14:editId="7D113E32">
              <wp:simplePos x="635" y="635"/>
              <wp:positionH relativeFrom="page">
                <wp:align>left</wp:align>
              </wp:positionH>
              <wp:positionV relativeFrom="page">
                <wp:align>top</wp:align>
              </wp:positionV>
              <wp:extent cx="772795" cy="357505"/>
              <wp:effectExtent l="0" t="0" r="8255" b="4445"/>
              <wp:wrapNone/>
              <wp:docPr id="1374823383"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69F566FD" w14:textId="067CE995" w:rsidR="008E410A" w:rsidRPr="008E410A" w:rsidRDefault="008E410A" w:rsidP="008E410A">
                          <w:pPr>
                            <w:spacing w:after="0"/>
                            <w:rPr>
                              <w:rFonts w:ascii="Aptos" w:eastAsia="Aptos" w:hAnsi="Aptos" w:cs="Aptos"/>
                              <w:noProof/>
                              <w:color w:val="000000"/>
                              <w:sz w:val="20"/>
                              <w:szCs w:val="20"/>
                            </w:rPr>
                          </w:pPr>
                          <w:r w:rsidRPr="008E410A">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2898D6" id="_x0000_t202" coordsize="21600,21600" o:spt="202" path="m,l,21600r21600,l21600,xe">
              <v:stroke joinstyle="miter"/>
              <v:path gradientshapeok="t" o:connecttype="rect"/>
            </v:shapetype>
            <v:shape id="Text Box 22" o:spid="_x0000_s1043" type="#_x0000_t202" alt="OFFICIAL" style="position:absolute;margin-left:0;margin-top:0;width:60.85pt;height:28.15pt;z-index:25165926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" filled="f" stroked="f">
              <v:textbox style="mso-fit-shape-to-text:t" inset="20pt,15pt,0,0">
                <w:txbxContent>
                  <w:p w14:paraId="69F566FD" w14:textId="067CE995" w:rsidR="008E410A" w:rsidRPr="008E410A" w:rsidRDefault="008E410A" w:rsidP="008E410A">
                    <w:pPr>
                      <w:spacing w:after="0"/>
                      <w:rPr>
                        <w:rFonts w:ascii="Aptos" w:eastAsia="Aptos" w:hAnsi="Aptos" w:cs="Aptos"/>
                        <w:noProof/>
                        <w:color w:val="000000"/>
                        <w:sz w:val="20"/>
                        <w:szCs w:val="20"/>
                      </w:rPr>
                    </w:pPr>
                    <w:r w:rsidRPr="008E410A">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1ED4B" w14:textId="77777777" w:rsidR="00C6544D" w:rsidRDefault="000B543C" w:rsidP="0024043D">
    <w:pPr>
      <w:spacing w:line="360" w:lineRule="auto"/>
    </w:pPr>
    <w:sdt>
      <w:sdtPr>
        <w:id w:val="-1387875858"/>
        <w:docPartObj>
          <w:docPartGallery w:val="Watermarks"/>
          <w:docPartUnique/>
        </w:docPartObj>
      </w:sdtPr>
      <w:sdtEndPr/>
      <w:sdtContent>
        <w:r>
          <w:rPr>
            <w:noProof/>
          </w:rPr>
          <w:pict w14:anchorId="200ABA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412.4pt;height:247.45pt;rotation:315;z-index:-25164799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0917A" w14:textId="05A34695" w:rsidR="00AF7E6E" w:rsidRDefault="000B543C" w:rsidP="00AF7E6E">
    <w:pPr>
      <w:spacing w:after="0" w:line="240" w:lineRule="auto"/>
    </w:pPr>
    <w:sdt>
      <w:sdtPr>
        <w:id w:val="-1553540310"/>
        <w:docPartObj>
          <w:docPartGallery w:val="Watermarks"/>
          <w:docPartUnique/>
        </w:docPartObj>
      </w:sdtPr>
      <w:sdtEndPr/>
      <w:sdtContent>
        <w:r>
          <w:rPr>
            <w:noProof/>
          </w:rPr>
          <w:pict w14:anchorId="1394E2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412.4pt;height:247.45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90645" w14:textId="5B7430BB" w:rsidR="007D6E14" w:rsidRPr="005F2E62" w:rsidRDefault="007D6E14" w:rsidP="005F2E6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30FBB" w14:textId="6020F2E1" w:rsidR="00213532" w:rsidRDefault="000B543C" w:rsidP="0024043D">
    <w:pPr>
      <w:spacing w:line="360" w:lineRule="auto"/>
    </w:pPr>
    <w:sdt>
      <w:sdtPr>
        <w:id w:val="-1524473244"/>
        <w:docPartObj>
          <w:docPartGallery w:val="Watermarks"/>
          <w:docPartUnique/>
        </w:docPartObj>
      </w:sdtPr>
      <w:sdtEndPr/>
      <w:sdtContent>
        <w:r w:rsidR="00006F9F">
          <w:rPr>
            <w:noProof/>
          </w:rPr>
          <mc:AlternateContent>
            <mc:Choice Requires="wps">
              <w:drawing>
                <wp:anchor distT="0" distB="0" distL="114300" distR="114300" simplePos="0" relativeHeight="251658240" behindDoc="1" locked="0" layoutInCell="0" allowOverlap="1" wp14:anchorId="4297BF44" wp14:editId="72527E42">
                  <wp:simplePos x="0" y="0"/>
                  <wp:positionH relativeFrom="margin">
                    <wp:align>center</wp:align>
                  </wp:positionH>
                  <wp:positionV relativeFrom="margin">
                    <wp:align>center</wp:align>
                  </wp:positionV>
                  <wp:extent cx="5237480" cy="3142615"/>
                  <wp:effectExtent l="0" t="1143000" r="0" b="657860"/>
                  <wp:wrapNone/>
                  <wp:docPr id="419944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47F468" w14:textId="77777777" w:rsidR="00006F9F" w:rsidRDefault="00006F9F" w:rsidP="00006F9F">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97BF44" id="_x0000_t202" coordsize="21600,21600" o:spt="202" path="m,l,21600r21600,l21600,xe">
                  <v:stroke joinstyle="miter"/>
                  <v:path gradientshapeok="t" o:connecttype="rect"/>
                </v:shapetype>
                <v:shape id="Text Box 5" o:spid="_x0000_s1045"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AZq1Y++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1A47F468" w14:textId="77777777" w:rsidR="00006F9F" w:rsidRDefault="00006F9F" w:rsidP="00006F9F">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96C"/>
    <w:multiLevelType w:val="hybridMultilevel"/>
    <w:tmpl w:val="37F416DA"/>
    <w:lvl w:ilvl="0" w:tplc="171CE8CE">
      <w:start w:val="1"/>
      <w:numFmt w:val="bullet"/>
      <w:lvlText w:val=""/>
      <w:lvlJc w:val="left"/>
      <w:pPr>
        <w:ind w:left="1800" w:hanging="360"/>
      </w:pPr>
      <w:rPr>
        <w:rFonts w:ascii="Symbol" w:hAnsi="Symbol"/>
      </w:rPr>
    </w:lvl>
    <w:lvl w:ilvl="1" w:tplc="D09ECFDC">
      <w:start w:val="1"/>
      <w:numFmt w:val="bullet"/>
      <w:lvlText w:val=""/>
      <w:lvlJc w:val="left"/>
      <w:pPr>
        <w:ind w:left="1800" w:hanging="360"/>
      </w:pPr>
      <w:rPr>
        <w:rFonts w:ascii="Symbol" w:hAnsi="Symbol"/>
      </w:rPr>
    </w:lvl>
    <w:lvl w:ilvl="2" w:tplc="E52EB8FE">
      <w:start w:val="1"/>
      <w:numFmt w:val="bullet"/>
      <w:lvlText w:val=""/>
      <w:lvlJc w:val="left"/>
      <w:pPr>
        <w:ind w:left="1800" w:hanging="360"/>
      </w:pPr>
      <w:rPr>
        <w:rFonts w:ascii="Symbol" w:hAnsi="Symbol"/>
      </w:rPr>
    </w:lvl>
    <w:lvl w:ilvl="3" w:tplc="858E08CC">
      <w:start w:val="1"/>
      <w:numFmt w:val="bullet"/>
      <w:lvlText w:val=""/>
      <w:lvlJc w:val="left"/>
      <w:pPr>
        <w:ind w:left="1800" w:hanging="360"/>
      </w:pPr>
      <w:rPr>
        <w:rFonts w:ascii="Symbol" w:hAnsi="Symbol"/>
      </w:rPr>
    </w:lvl>
    <w:lvl w:ilvl="4" w:tplc="F04C43EA">
      <w:start w:val="1"/>
      <w:numFmt w:val="bullet"/>
      <w:lvlText w:val=""/>
      <w:lvlJc w:val="left"/>
      <w:pPr>
        <w:ind w:left="1800" w:hanging="360"/>
      </w:pPr>
      <w:rPr>
        <w:rFonts w:ascii="Symbol" w:hAnsi="Symbol"/>
      </w:rPr>
    </w:lvl>
    <w:lvl w:ilvl="5" w:tplc="ECAE4E5C">
      <w:start w:val="1"/>
      <w:numFmt w:val="bullet"/>
      <w:lvlText w:val=""/>
      <w:lvlJc w:val="left"/>
      <w:pPr>
        <w:ind w:left="1800" w:hanging="360"/>
      </w:pPr>
      <w:rPr>
        <w:rFonts w:ascii="Symbol" w:hAnsi="Symbol"/>
      </w:rPr>
    </w:lvl>
    <w:lvl w:ilvl="6" w:tplc="86364F1A">
      <w:start w:val="1"/>
      <w:numFmt w:val="bullet"/>
      <w:lvlText w:val=""/>
      <w:lvlJc w:val="left"/>
      <w:pPr>
        <w:ind w:left="1800" w:hanging="360"/>
      </w:pPr>
      <w:rPr>
        <w:rFonts w:ascii="Symbol" w:hAnsi="Symbol"/>
      </w:rPr>
    </w:lvl>
    <w:lvl w:ilvl="7" w:tplc="0E8C8080">
      <w:start w:val="1"/>
      <w:numFmt w:val="bullet"/>
      <w:lvlText w:val=""/>
      <w:lvlJc w:val="left"/>
      <w:pPr>
        <w:ind w:left="1800" w:hanging="360"/>
      </w:pPr>
      <w:rPr>
        <w:rFonts w:ascii="Symbol" w:hAnsi="Symbol"/>
      </w:rPr>
    </w:lvl>
    <w:lvl w:ilvl="8" w:tplc="41CC86A4">
      <w:start w:val="1"/>
      <w:numFmt w:val="bullet"/>
      <w:lvlText w:val=""/>
      <w:lvlJc w:val="left"/>
      <w:pPr>
        <w:ind w:left="1800" w:hanging="360"/>
      </w:pPr>
      <w:rPr>
        <w:rFonts w:ascii="Symbol" w:hAnsi="Symbol"/>
      </w:rPr>
    </w:lvl>
  </w:abstractNum>
  <w:abstractNum w:abstractNumId="1" w15:restartNumberingAfterBreak="0">
    <w:nsid w:val="08E727E8"/>
    <w:multiLevelType w:val="hybridMultilevel"/>
    <w:tmpl w:val="61E61B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D7E5AAC"/>
    <w:multiLevelType w:val="hybridMultilevel"/>
    <w:tmpl w:val="6EB6D6E4"/>
    <w:lvl w:ilvl="0" w:tplc="0C090003">
      <w:start w:val="1"/>
      <w:numFmt w:val="bullet"/>
      <w:lvlText w:val="o"/>
      <w:lvlJc w:val="left"/>
      <w:pPr>
        <w:ind w:left="1800" w:hanging="360"/>
      </w:pPr>
      <w:rPr>
        <w:rFonts w:ascii="Courier New" w:hAnsi="Courier New" w:cs="Courier New"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15:restartNumberingAfterBreak="0">
    <w:nsid w:val="12352DB6"/>
    <w:multiLevelType w:val="hybridMultilevel"/>
    <w:tmpl w:val="F15E4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1467AF"/>
    <w:multiLevelType w:val="multilevel"/>
    <w:tmpl w:val="CFC0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54DC7"/>
    <w:multiLevelType w:val="hybridMultilevel"/>
    <w:tmpl w:val="10B4283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 w15:restartNumberingAfterBreak="0">
    <w:nsid w:val="15615F30"/>
    <w:multiLevelType w:val="hybridMultilevel"/>
    <w:tmpl w:val="215E629E"/>
    <w:lvl w:ilvl="0" w:tplc="0E8C62F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877C11"/>
    <w:multiLevelType w:val="multilevel"/>
    <w:tmpl w:val="BCC6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414CD6"/>
    <w:multiLevelType w:val="hybridMultilevel"/>
    <w:tmpl w:val="386E3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427034"/>
    <w:multiLevelType w:val="multilevel"/>
    <w:tmpl w:val="A78C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804418"/>
    <w:multiLevelType w:val="multilevel"/>
    <w:tmpl w:val="02F4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69114A"/>
    <w:multiLevelType w:val="multilevel"/>
    <w:tmpl w:val="F4A86F30"/>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1C7B52E1"/>
    <w:multiLevelType w:val="multilevel"/>
    <w:tmpl w:val="7584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FA0379"/>
    <w:multiLevelType w:val="hybridMultilevel"/>
    <w:tmpl w:val="B42A1B80"/>
    <w:lvl w:ilvl="0" w:tplc="605297B4">
      <w:start w:val="1176"/>
      <w:numFmt w:val="bullet"/>
      <w:lvlText w:val="-"/>
      <w:lvlJc w:val="left"/>
      <w:pPr>
        <w:ind w:left="720" w:hanging="360"/>
      </w:pPr>
      <w:rPr>
        <w:rFonts w:ascii="Aptos" w:eastAsia="Times New Roman" w:hAnsi="Apto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000FF5"/>
    <w:multiLevelType w:val="multilevel"/>
    <w:tmpl w:val="B31E14F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2DB077AF"/>
    <w:multiLevelType w:val="multilevel"/>
    <w:tmpl w:val="9A24E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9D1998"/>
    <w:multiLevelType w:val="multilevel"/>
    <w:tmpl w:val="F828B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C11259"/>
    <w:multiLevelType w:val="hybridMultilevel"/>
    <w:tmpl w:val="212047AC"/>
    <w:lvl w:ilvl="0" w:tplc="1452FED4">
      <w:start w:val="1"/>
      <w:numFmt w:val="bullet"/>
      <w:lvlText w:val=""/>
      <w:lvlJc w:val="left"/>
      <w:pPr>
        <w:ind w:left="1800" w:hanging="360"/>
      </w:pPr>
      <w:rPr>
        <w:rFonts w:ascii="Symbol" w:hAnsi="Symbol"/>
      </w:rPr>
    </w:lvl>
    <w:lvl w:ilvl="1" w:tplc="C2746262">
      <w:start w:val="1"/>
      <w:numFmt w:val="bullet"/>
      <w:lvlText w:val=""/>
      <w:lvlJc w:val="left"/>
      <w:pPr>
        <w:ind w:left="1800" w:hanging="360"/>
      </w:pPr>
      <w:rPr>
        <w:rFonts w:ascii="Symbol" w:hAnsi="Symbol"/>
      </w:rPr>
    </w:lvl>
    <w:lvl w:ilvl="2" w:tplc="BF92C06A">
      <w:start w:val="1"/>
      <w:numFmt w:val="bullet"/>
      <w:lvlText w:val=""/>
      <w:lvlJc w:val="left"/>
      <w:pPr>
        <w:ind w:left="1800" w:hanging="360"/>
      </w:pPr>
      <w:rPr>
        <w:rFonts w:ascii="Symbol" w:hAnsi="Symbol"/>
      </w:rPr>
    </w:lvl>
    <w:lvl w:ilvl="3" w:tplc="56D24820">
      <w:start w:val="1"/>
      <w:numFmt w:val="bullet"/>
      <w:lvlText w:val=""/>
      <w:lvlJc w:val="left"/>
      <w:pPr>
        <w:ind w:left="1800" w:hanging="360"/>
      </w:pPr>
      <w:rPr>
        <w:rFonts w:ascii="Symbol" w:hAnsi="Symbol"/>
      </w:rPr>
    </w:lvl>
    <w:lvl w:ilvl="4" w:tplc="4DC60E0A">
      <w:start w:val="1"/>
      <w:numFmt w:val="bullet"/>
      <w:lvlText w:val=""/>
      <w:lvlJc w:val="left"/>
      <w:pPr>
        <w:ind w:left="1800" w:hanging="360"/>
      </w:pPr>
      <w:rPr>
        <w:rFonts w:ascii="Symbol" w:hAnsi="Symbol"/>
      </w:rPr>
    </w:lvl>
    <w:lvl w:ilvl="5" w:tplc="0CCAF452">
      <w:start w:val="1"/>
      <w:numFmt w:val="bullet"/>
      <w:lvlText w:val=""/>
      <w:lvlJc w:val="left"/>
      <w:pPr>
        <w:ind w:left="1800" w:hanging="360"/>
      </w:pPr>
      <w:rPr>
        <w:rFonts w:ascii="Symbol" w:hAnsi="Symbol"/>
      </w:rPr>
    </w:lvl>
    <w:lvl w:ilvl="6" w:tplc="95208F6A">
      <w:start w:val="1"/>
      <w:numFmt w:val="bullet"/>
      <w:lvlText w:val=""/>
      <w:lvlJc w:val="left"/>
      <w:pPr>
        <w:ind w:left="1800" w:hanging="360"/>
      </w:pPr>
      <w:rPr>
        <w:rFonts w:ascii="Symbol" w:hAnsi="Symbol"/>
      </w:rPr>
    </w:lvl>
    <w:lvl w:ilvl="7" w:tplc="68FE586C">
      <w:start w:val="1"/>
      <w:numFmt w:val="bullet"/>
      <w:lvlText w:val=""/>
      <w:lvlJc w:val="left"/>
      <w:pPr>
        <w:ind w:left="1800" w:hanging="360"/>
      </w:pPr>
      <w:rPr>
        <w:rFonts w:ascii="Symbol" w:hAnsi="Symbol"/>
      </w:rPr>
    </w:lvl>
    <w:lvl w:ilvl="8" w:tplc="BD3A1448">
      <w:start w:val="1"/>
      <w:numFmt w:val="bullet"/>
      <w:lvlText w:val=""/>
      <w:lvlJc w:val="left"/>
      <w:pPr>
        <w:ind w:left="1800" w:hanging="360"/>
      </w:pPr>
      <w:rPr>
        <w:rFonts w:ascii="Symbol" w:hAnsi="Symbol"/>
      </w:rPr>
    </w:lvl>
  </w:abstractNum>
  <w:abstractNum w:abstractNumId="18" w15:restartNumberingAfterBreak="0">
    <w:nsid w:val="3A3376FE"/>
    <w:multiLevelType w:val="hybridMultilevel"/>
    <w:tmpl w:val="93D49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68435E"/>
    <w:multiLevelType w:val="hybridMultilevel"/>
    <w:tmpl w:val="5B344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3B365A"/>
    <w:multiLevelType w:val="hybridMultilevel"/>
    <w:tmpl w:val="D436A6F8"/>
    <w:lvl w:ilvl="0" w:tplc="0C090001">
      <w:start w:val="1"/>
      <w:numFmt w:val="bullet"/>
      <w:lvlText w:val=""/>
      <w:lvlJc w:val="left"/>
      <w:pPr>
        <w:ind w:left="769" w:hanging="360"/>
      </w:pPr>
      <w:rPr>
        <w:rFonts w:ascii="Symbol" w:hAnsi="Symbol" w:hint="default"/>
      </w:rPr>
    </w:lvl>
    <w:lvl w:ilvl="1" w:tplc="0C090003" w:tentative="1">
      <w:start w:val="1"/>
      <w:numFmt w:val="bullet"/>
      <w:lvlText w:val="o"/>
      <w:lvlJc w:val="left"/>
      <w:pPr>
        <w:ind w:left="1489" w:hanging="360"/>
      </w:pPr>
      <w:rPr>
        <w:rFonts w:ascii="Courier New" w:hAnsi="Courier New" w:cs="Courier New" w:hint="default"/>
      </w:rPr>
    </w:lvl>
    <w:lvl w:ilvl="2" w:tplc="0C090005" w:tentative="1">
      <w:start w:val="1"/>
      <w:numFmt w:val="bullet"/>
      <w:lvlText w:val=""/>
      <w:lvlJc w:val="left"/>
      <w:pPr>
        <w:ind w:left="2209" w:hanging="360"/>
      </w:pPr>
      <w:rPr>
        <w:rFonts w:ascii="Wingdings" w:hAnsi="Wingdings" w:hint="default"/>
      </w:rPr>
    </w:lvl>
    <w:lvl w:ilvl="3" w:tplc="0C090001" w:tentative="1">
      <w:start w:val="1"/>
      <w:numFmt w:val="bullet"/>
      <w:lvlText w:val=""/>
      <w:lvlJc w:val="left"/>
      <w:pPr>
        <w:ind w:left="2929" w:hanging="360"/>
      </w:pPr>
      <w:rPr>
        <w:rFonts w:ascii="Symbol" w:hAnsi="Symbol" w:hint="default"/>
      </w:rPr>
    </w:lvl>
    <w:lvl w:ilvl="4" w:tplc="0C090003" w:tentative="1">
      <w:start w:val="1"/>
      <w:numFmt w:val="bullet"/>
      <w:lvlText w:val="o"/>
      <w:lvlJc w:val="left"/>
      <w:pPr>
        <w:ind w:left="3649" w:hanging="360"/>
      </w:pPr>
      <w:rPr>
        <w:rFonts w:ascii="Courier New" w:hAnsi="Courier New" w:cs="Courier New" w:hint="default"/>
      </w:rPr>
    </w:lvl>
    <w:lvl w:ilvl="5" w:tplc="0C090005" w:tentative="1">
      <w:start w:val="1"/>
      <w:numFmt w:val="bullet"/>
      <w:lvlText w:val=""/>
      <w:lvlJc w:val="left"/>
      <w:pPr>
        <w:ind w:left="4369" w:hanging="360"/>
      </w:pPr>
      <w:rPr>
        <w:rFonts w:ascii="Wingdings" w:hAnsi="Wingdings" w:hint="default"/>
      </w:rPr>
    </w:lvl>
    <w:lvl w:ilvl="6" w:tplc="0C090001" w:tentative="1">
      <w:start w:val="1"/>
      <w:numFmt w:val="bullet"/>
      <w:lvlText w:val=""/>
      <w:lvlJc w:val="left"/>
      <w:pPr>
        <w:ind w:left="5089" w:hanging="360"/>
      </w:pPr>
      <w:rPr>
        <w:rFonts w:ascii="Symbol" w:hAnsi="Symbol" w:hint="default"/>
      </w:rPr>
    </w:lvl>
    <w:lvl w:ilvl="7" w:tplc="0C090003" w:tentative="1">
      <w:start w:val="1"/>
      <w:numFmt w:val="bullet"/>
      <w:lvlText w:val="o"/>
      <w:lvlJc w:val="left"/>
      <w:pPr>
        <w:ind w:left="5809" w:hanging="360"/>
      </w:pPr>
      <w:rPr>
        <w:rFonts w:ascii="Courier New" w:hAnsi="Courier New" w:cs="Courier New" w:hint="default"/>
      </w:rPr>
    </w:lvl>
    <w:lvl w:ilvl="8" w:tplc="0C090005" w:tentative="1">
      <w:start w:val="1"/>
      <w:numFmt w:val="bullet"/>
      <w:lvlText w:val=""/>
      <w:lvlJc w:val="left"/>
      <w:pPr>
        <w:ind w:left="6529" w:hanging="360"/>
      </w:pPr>
      <w:rPr>
        <w:rFonts w:ascii="Wingdings" w:hAnsi="Wingdings" w:hint="default"/>
      </w:rPr>
    </w:lvl>
  </w:abstractNum>
  <w:abstractNum w:abstractNumId="21" w15:restartNumberingAfterBreak="0">
    <w:nsid w:val="40B52F9A"/>
    <w:multiLevelType w:val="multilevel"/>
    <w:tmpl w:val="D9DEA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E1355C"/>
    <w:multiLevelType w:val="hybridMultilevel"/>
    <w:tmpl w:val="3FDC3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7B1FDD"/>
    <w:multiLevelType w:val="hybridMultilevel"/>
    <w:tmpl w:val="5D08832C"/>
    <w:lvl w:ilvl="0" w:tplc="A972F910">
      <w:numFmt w:val="bullet"/>
      <w:lvlText w:val="-"/>
      <w:lvlJc w:val="left"/>
      <w:pPr>
        <w:ind w:left="720" w:hanging="360"/>
      </w:pPr>
      <w:rPr>
        <w:rFonts w:ascii="Calibri" w:eastAsia="Times New Roman" w:hAnsi="Calibri" w:cs="Calibr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892036"/>
    <w:multiLevelType w:val="hybridMultilevel"/>
    <w:tmpl w:val="C2C2053E"/>
    <w:lvl w:ilvl="0" w:tplc="605297B4">
      <w:start w:val="1176"/>
      <w:numFmt w:val="bullet"/>
      <w:lvlText w:val="-"/>
      <w:lvlJc w:val="left"/>
      <w:pPr>
        <w:ind w:left="720" w:hanging="360"/>
      </w:pPr>
      <w:rPr>
        <w:rFonts w:ascii="Aptos" w:eastAsia="Times New Roman" w:hAnsi="Apto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9F6279"/>
    <w:multiLevelType w:val="multilevel"/>
    <w:tmpl w:val="0F68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4F0A95"/>
    <w:multiLevelType w:val="hybridMultilevel"/>
    <w:tmpl w:val="672ECAE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7" w15:restartNumberingAfterBreak="0">
    <w:nsid w:val="471252DA"/>
    <w:multiLevelType w:val="hybridMultilevel"/>
    <w:tmpl w:val="DCD8F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79843B3"/>
    <w:multiLevelType w:val="multilevel"/>
    <w:tmpl w:val="DFDA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C34307"/>
    <w:multiLevelType w:val="hybridMultilevel"/>
    <w:tmpl w:val="3D1EF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A56823"/>
    <w:multiLevelType w:val="multilevel"/>
    <w:tmpl w:val="C2AA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8729AA"/>
    <w:multiLevelType w:val="hybridMultilevel"/>
    <w:tmpl w:val="2D207ECC"/>
    <w:lvl w:ilvl="0" w:tplc="F7D2D5EC">
      <w:start w:val="1991"/>
      <w:numFmt w:val="bullet"/>
      <w:lvlText w:val="-"/>
      <w:lvlJc w:val="left"/>
      <w:pPr>
        <w:ind w:left="36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07F6BC3"/>
    <w:multiLevelType w:val="hybridMultilevel"/>
    <w:tmpl w:val="4BC07414"/>
    <w:lvl w:ilvl="0" w:tplc="669C037E">
      <w:start w:val="1"/>
      <w:numFmt w:val="bullet"/>
      <w:lvlText w:val="-"/>
      <w:lvlJc w:val="left"/>
      <w:pPr>
        <w:ind w:left="360" w:hanging="360"/>
      </w:pPr>
      <w:rPr>
        <w:rFonts w:ascii="Aptos" w:eastAsiaTheme="minorHAnsi" w:hAnsi="Aptos"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0B7415C"/>
    <w:multiLevelType w:val="hybridMultilevel"/>
    <w:tmpl w:val="426809BC"/>
    <w:lvl w:ilvl="0" w:tplc="EF8ECB10">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34A752E"/>
    <w:multiLevelType w:val="hybridMultilevel"/>
    <w:tmpl w:val="91640BE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5" w15:restartNumberingAfterBreak="0">
    <w:nsid w:val="5560051B"/>
    <w:multiLevelType w:val="multilevel"/>
    <w:tmpl w:val="002C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D95CA4"/>
    <w:multiLevelType w:val="hybridMultilevel"/>
    <w:tmpl w:val="B15239BE"/>
    <w:lvl w:ilvl="0" w:tplc="0C090001">
      <w:start w:val="1"/>
      <w:numFmt w:val="bullet"/>
      <w:lvlText w:val=""/>
      <w:lvlJc w:val="left"/>
      <w:pPr>
        <w:ind w:left="1440" w:hanging="360"/>
      </w:pPr>
      <w:rPr>
        <w:rFonts w:ascii="Symbol" w:hAnsi="Symbol" w:hint="default"/>
      </w:rPr>
    </w:lvl>
    <w:lvl w:ilvl="1" w:tplc="FFFFFFFF">
      <w:numFmt w:val="bullet"/>
      <w:lvlText w:val="•"/>
      <w:lvlJc w:val="left"/>
      <w:pPr>
        <w:ind w:left="2520" w:hanging="720"/>
      </w:pPr>
      <w:rPr>
        <w:rFonts w:ascii="Aptos" w:eastAsiaTheme="minorHAnsi" w:hAnsi="Aptos" w:cstheme="minorBid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58F91CCE"/>
    <w:multiLevelType w:val="hybridMultilevel"/>
    <w:tmpl w:val="6EA8B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9A26828"/>
    <w:multiLevelType w:val="hybridMultilevel"/>
    <w:tmpl w:val="883A84FC"/>
    <w:styleLink w:val="RList1"/>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B2B52C7"/>
    <w:multiLevelType w:val="multilevel"/>
    <w:tmpl w:val="B5BEE4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DC92CD0"/>
    <w:multiLevelType w:val="hybridMultilevel"/>
    <w:tmpl w:val="E96EA39A"/>
    <w:lvl w:ilvl="0" w:tplc="CFAEFA56">
      <w:start w:val="1"/>
      <w:numFmt w:val="decimal"/>
      <w:lvlText w:val="%1)"/>
      <w:lvlJc w:val="left"/>
      <w:pPr>
        <w:ind w:left="1080" w:hanging="360"/>
      </w:pPr>
    </w:lvl>
    <w:lvl w:ilvl="1" w:tplc="426A4C0C">
      <w:start w:val="1"/>
      <w:numFmt w:val="decimal"/>
      <w:lvlText w:val="%2)"/>
      <w:lvlJc w:val="left"/>
      <w:pPr>
        <w:ind w:left="1080" w:hanging="360"/>
      </w:pPr>
    </w:lvl>
    <w:lvl w:ilvl="2" w:tplc="B98E117E">
      <w:start w:val="1"/>
      <w:numFmt w:val="decimal"/>
      <w:lvlText w:val="%3)"/>
      <w:lvlJc w:val="left"/>
      <w:pPr>
        <w:ind w:left="1080" w:hanging="360"/>
      </w:pPr>
    </w:lvl>
    <w:lvl w:ilvl="3" w:tplc="4CCEFC36">
      <w:start w:val="1"/>
      <w:numFmt w:val="decimal"/>
      <w:lvlText w:val="%4)"/>
      <w:lvlJc w:val="left"/>
      <w:pPr>
        <w:ind w:left="1080" w:hanging="360"/>
      </w:pPr>
    </w:lvl>
    <w:lvl w:ilvl="4" w:tplc="32A68540">
      <w:start w:val="1"/>
      <w:numFmt w:val="decimal"/>
      <w:lvlText w:val="%5)"/>
      <w:lvlJc w:val="left"/>
      <w:pPr>
        <w:ind w:left="1080" w:hanging="360"/>
      </w:pPr>
    </w:lvl>
    <w:lvl w:ilvl="5" w:tplc="660AEC58">
      <w:start w:val="1"/>
      <w:numFmt w:val="decimal"/>
      <w:lvlText w:val="%6)"/>
      <w:lvlJc w:val="left"/>
      <w:pPr>
        <w:ind w:left="1080" w:hanging="360"/>
      </w:pPr>
    </w:lvl>
    <w:lvl w:ilvl="6" w:tplc="9C248BB2">
      <w:start w:val="1"/>
      <w:numFmt w:val="decimal"/>
      <w:lvlText w:val="%7)"/>
      <w:lvlJc w:val="left"/>
      <w:pPr>
        <w:ind w:left="1080" w:hanging="360"/>
      </w:pPr>
    </w:lvl>
    <w:lvl w:ilvl="7" w:tplc="9CD04B76">
      <w:start w:val="1"/>
      <w:numFmt w:val="decimal"/>
      <w:lvlText w:val="%8)"/>
      <w:lvlJc w:val="left"/>
      <w:pPr>
        <w:ind w:left="1080" w:hanging="360"/>
      </w:pPr>
    </w:lvl>
    <w:lvl w:ilvl="8" w:tplc="85C8CF80">
      <w:start w:val="1"/>
      <w:numFmt w:val="decimal"/>
      <w:lvlText w:val="%9)"/>
      <w:lvlJc w:val="left"/>
      <w:pPr>
        <w:ind w:left="1080" w:hanging="360"/>
      </w:pPr>
    </w:lvl>
  </w:abstractNum>
  <w:abstractNum w:abstractNumId="41" w15:restartNumberingAfterBreak="0">
    <w:nsid w:val="5FAD311F"/>
    <w:multiLevelType w:val="multilevel"/>
    <w:tmpl w:val="72745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03C29DE"/>
    <w:multiLevelType w:val="multilevel"/>
    <w:tmpl w:val="A71202E0"/>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Aptos" w:eastAsiaTheme="minorHAnsi" w:hAnsi="Aptos" w:cstheme="minorBidi" w:hint="default"/>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3" w15:restartNumberingAfterBreak="0">
    <w:nsid w:val="68E32C91"/>
    <w:multiLevelType w:val="hybridMultilevel"/>
    <w:tmpl w:val="EDC8BC7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4" w15:restartNumberingAfterBreak="0">
    <w:nsid w:val="6AB871A5"/>
    <w:multiLevelType w:val="hybridMultilevel"/>
    <w:tmpl w:val="E95AA3A4"/>
    <w:lvl w:ilvl="0" w:tplc="8C506046">
      <w:numFmt w:val="bullet"/>
      <w:lvlText w:val="-"/>
      <w:lvlJc w:val="left"/>
      <w:pPr>
        <w:ind w:left="405" w:hanging="360"/>
      </w:pPr>
      <w:rPr>
        <w:rFonts w:ascii="Calibri" w:eastAsiaTheme="minorEastAsia" w:hAnsi="Calibri" w:cs="Calibri" w:hint="default"/>
        <w:color w:val="000000" w:themeColor="text1"/>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45" w15:restartNumberingAfterBreak="0">
    <w:nsid w:val="6DAE6FF3"/>
    <w:multiLevelType w:val="multilevel"/>
    <w:tmpl w:val="1DFCB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442740"/>
    <w:multiLevelType w:val="multilevel"/>
    <w:tmpl w:val="1CE8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D86CCD"/>
    <w:multiLevelType w:val="multilevel"/>
    <w:tmpl w:val="9A1C8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FB4402"/>
    <w:multiLevelType w:val="hybridMultilevel"/>
    <w:tmpl w:val="7F9C0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5C976D1"/>
    <w:multiLevelType w:val="hybridMultilevel"/>
    <w:tmpl w:val="F3CC8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12311833">
    <w:abstractNumId w:val="42"/>
  </w:num>
  <w:num w:numId="2" w16cid:durableId="2085909650">
    <w:abstractNumId w:val="38"/>
  </w:num>
  <w:num w:numId="3" w16cid:durableId="236791878">
    <w:abstractNumId w:val="26"/>
  </w:num>
  <w:num w:numId="4" w16cid:durableId="137502966">
    <w:abstractNumId w:val="33"/>
  </w:num>
  <w:num w:numId="5" w16cid:durableId="859273667">
    <w:abstractNumId w:val="48"/>
  </w:num>
  <w:num w:numId="6" w16cid:durableId="1482429342">
    <w:abstractNumId w:val="37"/>
  </w:num>
  <w:num w:numId="7" w16cid:durableId="65494635">
    <w:abstractNumId w:val="49"/>
  </w:num>
  <w:num w:numId="8" w16cid:durableId="579755307">
    <w:abstractNumId w:val="5"/>
  </w:num>
  <w:num w:numId="9" w16cid:durableId="1492328061">
    <w:abstractNumId w:val="34"/>
  </w:num>
  <w:num w:numId="10" w16cid:durableId="1550072063">
    <w:abstractNumId w:val="4"/>
  </w:num>
  <w:num w:numId="11" w16cid:durableId="1488210079">
    <w:abstractNumId w:val="20"/>
  </w:num>
  <w:num w:numId="12" w16cid:durableId="536092000">
    <w:abstractNumId w:val="3"/>
  </w:num>
  <w:num w:numId="13" w16cid:durableId="1103305163">
    <w:abstractNumId w:val="27"/>
  </w:num>
  <w:num w:numId="14" w16cid:durableId="1171456200">
    <w:abstractNumId w:val="8"/>
  </w:num>
  <w:num w:numId="15" w16cid:durableId="1859004680">
    <w:abstractNumId w:val="22"/>
  </w:num>
  <w:num w:numId="16" w16cid:durableId="1374814826">
    <w:abstractNumId w:val="44"/>
  </w:num>
  <w:num w:numId="17" w16cid:durableId="1607419991">
    <w:abstractNumId w:val="25"/>
  </w:num>
  <w:num w:numId="18" w16cid:durableId="1290740946">
    <w:abstractNumId w:val="23"/>
  </w:num>
  <w:num w:numId="19" w16cid:durableId="1588153793">
    <w:abstractNumId w:val="32"/>
  </w:num>
  <w:num w:numId="20" w16cid:durableId="1080979183">
    <w:abstractNumId w:val="6"/>
  </w:num>
  <w:num w:numId="21" w16cid:durableId="1357079723">
    <w:abstractNumId w:val="31"/>
  </w:num>
  <w:num w:numId="22" w16cid:durableId="783109298">
    <w:abstractNumId w:val="41"/>
  </w:num>
  <w:num w:numId="23" w16cid:durableId="1061948078">
    <w:abstractNumId w:val="39"/>
  </w:num>
  <w:num w:numId="24" w16cid:durableId="1880047626">
    <w:abstractNumId w:val="2"/>
  </w:num>
  <w:num w:numId="25" w16cid:durableId="11882295">
    <w:abstractNumId w:val="16"/>
  </w:num>
  <w:num w:numId="26" w16cid:durableId="1245726428">
    <w:abstractNumId w:val="19"/>
  </w:num>
  <w:num w:numId="27" w16cid:durableId="2064939346">
    <w:abstractNumId w:val="40"/>
  </w:num>
  <w:num w:numId="28" w16cid:durableId="1180046738">
    <w:abstractNumId w:val="21"/>
  </w:num>
  <w:num w:numId="29" w16cid:durableId="1337612994">
    <w:abstractNumId w:val="9"/>
  </w:num>
  <w:num w:numId="30" w16cid:durableId="1000037085">
    <w:abstractNumId w:val="28"/>
  </w:num>
  <w:num w:numId="31" w16cid:durableId="558321622">
    <w:abstractNumId w:val="7"/>
  </w:num>
  <w:num w:numId="32" w16cid:durableId="1457066496">
    <w:abstractNumId w:val="46"/>
  </w:num>
  <w:num w:numId="33" w16cid:durableId="1501654820">
    <w:abstractNumId w:val="30"/>
  </w:num>
  <w:num w:numId="34" w16cid:durableId="783571398">
    <w:abstractNumId w:val="15"/>
  </w:num>
  <w:num w:numId="35" w16cid:durableId="277492605">
    <w:abstractNumId w:val="1"/>
  </w:num>
  <w:num w:numId="36" w16cid:durableId="966548144">
    <w:abstractNumId w:val="43"/>
  </w:num>
  <w:num w:numId="37" w16cid:durableId="805968248">
    <w:abstractNumId w:val="14"/>
  </w:num>
  <w:num w:numId="38" w16cid:durableId="293219538">
    <w:abstractNumId w:val="18"/>
  </w:num>
  <w:num w:numId="39" w16cid:durableId="474226146">
    <w:abstractNumId w:val="13"/>
  </w:num>
  <w:num w:numId="40" w16cid:durableId="1318070272">
    <w:abstractNumId w:val="24"/>
  </w:num>
  <w:num w:numId="41" w16cid:durableId="525875342">
    <w:abstractNumId w:val="12"/>
  </w:num>
  <w:num w:numId="42" w16cid:durableId="1261062954">
    <w:abstractNumId w:val="29"/>
  </w:num>
  <w:num w:numId="43" w16cid:durableId="1332180117">
    <w:abstractNumId w:val="36"/>
  </w:num>
  <w:num w:numId="44" w16cid:durableId="1945185499">
    <w:abstractNumId w:val="0"/>
  </w:num>
  <w:num w:numId="45" w16cid:durableId="990522531">
    <w:abstractNumId w:val="17"/>
  </w:num>
  <w:num w:numId="46" w16cid:durableId="618798719">
    <w:abstractNumId w:val="10"/>
  </w:num>
  <w:num w:numId="47" w16cid:durableId="23483917">
    <w:abstractNumId w:val="11"/>
  </w:num>
  <w:num w:numId="48" w16cid:durableId="38476848">
    <w:abstractNumId w:val="45"/>
  </w:num>
  <w:num w:numId="49" w16cid:durableId="505171611">
    <w:abstractNumId w:val="47"/>
  </w:num>
  <w:num w:numId="50" w16cid:durableId="2055957699">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wsdv2wwp29fenerv0kx5tw9zxtx2fdrprx2&quot;&gt;ZoeEndNoteLibrary-Converted&lt;record-ids&gt;&lt;item&gt;2&lt;/item&gt;&lt;item&gt;3&lt;/item&gt;&lt;item&gt;6&lt;/item&gt;&lt;item&gt;17&lt;/item&gt;&lt;item&gt;37&lt;/item&gt;&lt;item&gt;44&lt;/item&gt;&lt;item&gt;117&lt;/item&gt;&lt;item&gt;260&lt;/item&gt;&lt;item&gt;285&lt;/item&gt;&lt;item&gt;620&lt;/item&gt;&lt;item&gt;621&lt;/item&gt;&lt;item&gt;701&lt;/item&gt;&lt;item&gt;826&lt;/item&gt;&lt;item&gt;1113&lt;/item&gt;&lt;item&gt;3366&lt;/item&gt;&lt;item&gt;3760&lt;/item&gt;&lt;item&gt;3812&lt;/item&gt;&lt;item&gt;3813&lt;/item&gt;&lt;item&gt;4560&lt;/item&gt;&lt;item&gt;4610&lt;/item&gt;&lt;item&gt;4617&lt;/item&gt;&lt;item&gt;4618&lt;/item&gt;&lt;item&gt;4621&lt;/item&gt;&lt;item&gt;4622&lt;/item&gt;&lt;item&gt;4623&lt;/item&gt;&lt;item&gt;4624&lt;/item&gt;&lt;item&gt;4625&lt;/item&gt;&lt;item&gt;4626&lt;/item&gt;&lt;item&gt;4627&lt;/item&gt;&lt;item&gt;4628&lt;/item&gt;&lt;item&gt;4629&lt;/item&gt;&lt;item&gt;4630&lt;/item&gt;&lt;item&gt;4631&lt;/item&gt;&lt;item&gt;4633&lt;/item&gt;&lt;item&gt;4634&lt;/item&gt;&lt;item&gt;4635&lt;/item&gt;&lt;item&gt;4637&lt;/item&gt;&lt;item&gt;4639&lt;/item&gt;&lt;item&gt;4640&lt;/item&gt;&lt;item&gt;4641&lt;/item&gt;&lt;item&gt;4643&lt;/item&gt;&lt;item&gt;4644&lt;/item&gt;&lt;item&gt;4645&lt;/item&gt;&lt;item&gt;4646&lt;/item&gt;&lt;item&gt;4647&lt;/item&gt;&lt;item&gt;4648&lt;/item&gt;&lt;item&gt;4649&lt;/item&gt;&lt;item&gt;4650&lt;/item&gt;&lt;item&gt;4651&lt;/item&gt;&lt;item&gt;4652&lt;/item&gt;&lt;item&gt;4653&lt;/item&gt;&lt;item&gt;4654&lt;/item&gt;&lt;item&gt;4655&lt;/item&gt;&lt;item&gt;4656&lt;/item&gt;&lt;item&gt;4657&lt;/item&gt;&lt;item&gt;4658&lt;/item&gt;&lt;item&gt;4659&lt;/item&gt;&lt;item&gt;4660&lt;/item&gt;&lt;item&gt;4661&lt;/item&gt;&lt;item&gt;4662&lt;/item&gt;&lt;item&gt;4663&lt;/item&gt;&lt;item&gt;4664&lt;/item&gt;&lt;item&gt;4665&lt;/item&gt;&lt;item&gt;4666&lt;/item&gt;&lt;item&gt;4667&lt;/item&gt;&lt;item&gt;4668&lt;/item&gt;&lt;item&gt;4669&lt;/item&gt;&lt;item&gt;4670&lt;/item&gt;&lt;item&gt;4671&lt;/item&gt;&lt;item&gt;4672&lt;/item&gt;&lt;item&gt;4673&lt;/item&gt;&lt;item&gt;4674&lt;/item&gt;&lt;item&gt;4675&lt;/item&gt;&lt;item&gt;4677&lt;/item&gt;&lt;item&gt;4678&lt;/item&gt;&lt;item&gt;4680&lt;/item&gt;&lt;item&gt;4681&lt;/item&gt;&lt;item&gt;4682&lt;/item&gt;&lt;item&gt;4683&lt;/item&gt;&lt;item&gt;4684&lt;/item&gt;&lt;item&gt;4685&lt;/item&gt;&lt;item&gt;4686&lt;/item&gt;&lt;item&gt;4687&lt;/item&gt;&lt;item&gt;4688&lt;/item&gt;&lt;item&gt;4689&lt;/item&gt;&lt;item&gt;4691&lt;/item&gt;&lt;item&gt;4692&lt;/item&gt;&lt;item&gt;4693&lt;/item&gt;&lt;item&gt;4694&lt;/item&gt;&lt;item&gt;4698&lt;/item&gt;&lt;item&gt;4699&lt;/item&gt;&lt;item&gt;4700&lt;/item&gt;&lt;item&gt;4703&lt;/item&gt;&lt;item&gt;4704&lt;/item&gt;&lt;item&gt;4705&lt;/item&gt;&lt;item&gt;4708&lt;/item&gt;&lt;item&gt;4709&lt;/item&gt;&lt;item&gt;4713&lt;/item&gt;&lt;item&gt;4714&lt;/item&gt;&lt;item&gt;4715&lt;/item&gt;&lt;item&gt;4716&lt;/item&gt;&lt;item&gt;4717&lt;/item&gt;&lt;item&gt;4726&lt;/item&gt;&lt;item&gt;4727&lt;/item&gt;&lt;item&gt;4730&lt;/item&gt;&lt;item&gt;4731&lt;/item&gt;&lt;item&gt;4732&lt;/item&gt;&lt;item&gt;4733&lt;/item&gt;&lt;item&gt;4734&lt;/item&gt;&lt;item&gt;4735&lt;/item&gt;&lt;item&gt;4736&lt;/item&gt;&lt;item&gt;4737&lt;/item&gt;&lt;item&gt;4738&lt;/item&gt;&lt;item&gt;4739&lt;/item&gt;&lt;item&gt;4740&lt;/item&gt;&lt;item&gt;4741&lt;/item&gt;&lt;item&gt;4742&lt;/item&gt;&lt;item&gt;4743&lt;/item&gt;&lt;item&gt;4745&lt;/item&gt;&lt;item&gt;4746&lt;/item&gt;&lt;item&gt;4748&lt;/item&gt;&lt;item&gt;4749&lt;/item&gt;&lt;item&gt;4750&lt;/item&gt;&lt;item&gt;4751&lt;/item&gt;&lt;item&gt;4753&lt;/item&gt;&lt;item&gt;4754&lt;/item&gt;&lt;item&gt;4755&lt;/item&gt;&lt;item&gt;4757&lt;/item&gt;&lt;item&gt;4758&lt;/item&gt;&lt;item&gt;4759&lt;/item&gt;&lt;item&gt;4760&lt;/item&gt;&lt;item&gt;4761&lt;/item&gt;&lt;item&gt;4762&lt;/item&gt;&lt;item&gt;4764&lt;/item&gt;&lt;item&gt;4765&lt;/item&gt;&lt;item&gt;4766&lt;/item&gt;&lt;item&gt;4768&lt;/item&gt;&lt;item&gt;4769&lt;/item&gt;&lt;item&gt;4771&lt;/item&gt;&lt;item&gt;4772&lt;/item&gt;&lt;item&gt;4773&lt;/item&gt;&lt;item&gt;4774&lt;/item&gt;&lt;item&gt;4775&lt;/item&gt;&lt;item&gt;4779&lt;/item&gt;&lt;item&gt;4780&lt;/item&gt;&lt;item&gt;4781&lt;/item&gt;&lt;item&gt;4782&lt;/item&gt;&lt;/record-ids&gt;&lt;/item&gt;&lt;/Libraries&gt;"/>
  </w:docVars>
  <w:rsids>
    <w:rsidRoot w:val="00923AE9"/>
    <w:rsid w:val="00000270"/>
    <w:rsid w:val="000009A3"/>
    <w:rsid w:val="00001048"/>
    <w:rsid w:val="00001094"/>
    <w:rsid w:val="000016F5"/>
    <w:rsid w:val="00001727"/>
    <w:rsid w:val="0000175C"/>
    <w:rsid w:val="0000184D"/>
    <w:rsid w:val="000018AA"/>
    <w:rsid w:val="00001DB7"/>
    <w:rsid w:val="00002018"/>
    <w:rsid w:val="00002238"/>
    <w:rsid w:val="0000245E"/>
    <w:rsid w:val="000024E1"/>
    <w:rsid w:val="00002891"/>
    <w:rsid w:val="00002CD5"/>
    <w:rsid w:val="00002E0B"/>
    <w:rsid w:val="000031C8"/>
    <w:rsid w:val="0000327D"/>
    <w:rsid w:val="00003474"/>
    <w:rsid w:val="000034A1"/>
    <w:rsid w:val="00003FB8"/>
    <w:rsid w:val="00004852"/>
    <w:rsid w:val="00004F63"/>
    <w:rsid w:val="0000571F"/>
    <w:rsid w:val="00005BCA"/>
    <w:rsid w:val="000061D5"/>
    <w:rsid w:val="0000631F"/>
    <w:rsid w:val="00006379"/>
    <w:rsid w:val="0000657D"/>
    <w:rsid w:val="000065D2"/>
    <w:rsid w:val="00006649"/>
    <w:rsid w:val="000066F6"/>
    <w:rsid w:val="00006BB1"/>
    <w:rsid w:val="00006F8D"/>
    <w:rsid w:val="00006F9F"/>
    <w:rsid w:val="00007190"/>
    <w:rsid w:val="00007365"/>
    <w:rsid w:val="0000792A"/>
    <w:rsid w:val="00007DAB"/>
    <w:rsid w:val="0001039C"/>
    <w:rsid w:val="0001078F"/>
    <w:rsid w:val="00010B65"/>
    <w:rsid w:val="00010C91"/>
    <w:rsid w:val="00011116"/>
    <w:rsid w:val="00011154"/>
    <w:rsid w:val="000113A8"/>
    <w:rsid w:val="000118A0"/>
    <w:rsid w:val="00011C7B"/>
    <w:rsid w:val="000120DE"/>
    <w:rsid w:val="00012153"/>
    <w:rsid w:val="00012208"/>
    <w:rsid w:val="00012635"/>
    <w:rsid w:val="000127F6"/>
    <w:rsid w:val="000129BF"/>
    <w:rsid w:val="00013066"/>
    <w:rsid w:val="000136C0"/>
    <w:rsid w:val="00013D92"/>
    <w:rsid w:val="00013E3D"/>
    <w:rsid w:val="00013F95"/>
    <w:rsid w:val="000141C9"/>
    <w:rsid w:val="0001473E"/>
    <w:rsid w:val="0001481A"/>
    <w:rsid w:val="00014BC0"/>
    <w:rsid w:val="000150C2"/>
    <w:rsid w:val="00015199"/>
    <w:rsid w:val="000152CA"/>
    <w:rsid w:val="00015630"/>
    <w:rsid w:val="00015966"/>
    <w:rsid w:val="00015C3C"/>
    <w:rsid w:val="00015F34"/>
    <w:rsid w:val="000163EB"/>
    <w:rsid w:val="0001651D"/>
    <w:rsid w:val="00016A10"/>
    <w:rsid w:val="00016E5C"/>
    <w:rsid w:val="00016F97"/>
    <w:rsid w:val="00017C2F"/>
    <w:rsid w:val="00020B03"/>
    <w:rsid w:val="00020EA4"/>
    <w:rsid w:val="00020FEF"/>
    <w:rsid w:val="00021823"/>
    <w:rsid w:val="000219AA"/>
    <w:rsid w:val="00021A4E"/>
    <w:rsid w:val="00021DEE"/>
    <w:rsid w:val="00021F06"/>
    <w:rsid w:val="0002273D"/>
    <w:rsid w:val="00022D05"/>
    <w:rsid w:val="0002309D"/>
    <w:rsid w:val="0002310F"/>
    <w:rsid w:val="00023308"/>
    <w:rsid w:val="00023626"/>
    <w:rsid w:val="00023A48"/>
    <w:rsid w:val="000249B4"/>
    <w:rsid w:val="00024B63"/>
    <w:rsid w:val="00024D61"/>
    <w:rsid w:val="00024EE4"/>
    <w:rsid w:val="000250C4"/>
    <w:rsid w:val="0002540F"/>
    <w:rsid w:val="00025725"/>
    <w:rsid w:val="0002599A"/>
    <w:rsid w:val="00025C43"/>
    <w:rsid w:val="000260DF"/>
    <w:rsid w:val="00026359"/>
    <w:rsid w:val="00026657"/>
    <w:rsid w:val="00026908"/>
    <w:rsid w:val="00026A80"/>
    <w:rsid w:val="000271AE"/>
    <w:rsid w:val="00027422"/>
    <w:rsid w:val="0002779E"/>
    <w:rsid w:val="000277B3"/>
    <w:rsid w:val="00030691"/>
    <w:rsid w:val="000309E2"/>
    <w:rsid w:val="00030A84"/>
    <w:rsid w:val="00030D4C"/>
    <w:rsid w:val="00031466"/>
    <w:rsid w:val="0003159E"/>
    <w:rsid w:val="00031F5E"/>
    <w:rsid w:val="0003267A"/>
    <w:rsid w:val="00033076"/>
    <w:rsid w:val="000331EA"/>
    <w:rsid w:val="000336E1"/>
    <w:rsid w:val="00033F95"/>
    <w:rsid w:val="0003414F"/>
    <w:rsid w:val="000343BA"/>
    <w:rsid w:val="00034782"/>
    <w:rsid w:val="000351B2"/>
    <w:rsid w:val="000353E1"/>
    <w:rsid w:val="00035456"/>
    <w:rsid w:val="000357B7"/>
    <w:rsid w:val="00035886"/>
    <w:rsid w:val="00035ACE"/>
    <w:rsid w:val="00036332"/>
    <w:rsid w:val="00036357"/>
    <w:rsid w:val="00036376"/>
    <w:rsid w:val="00036488"/>
    <w:rsid w:val="00036751"/>
    <w:rsid w:val="00036E9B"/>
    <w:rsid w:val="00037006"/>
    <w:rsid w:val="0003704B"/>
    <w:rsid w:val="00037B7B"/>
    <w:rsid w:val="00037D8D"/>
    <w:rsid w:val="00037EEF"/>
    <w:rsid w:val="0004001C"/>
    <w:rsid w:val="00040889"/>
    <w:rsid w:val="00040EFC"/>
    <w:rsid w:val="00041213"/>
    <w:rsid w:val="0004163A"/>
    <w:rsid w:val="00041C16"/>
    <w:rsid w:val="000425FD"/>
    <w:rsid w:val="00042618"/>
    <w:rsid w:val="0004298D"/>
    <w:rsid w:val="00042A83"/>
    <w:rsid w:val="00042C6E"/>
    <w:rsid w:val="00042CDC"/>
    <w:rsid w:val="00042EDC"/>
    <w:rsid w:val="00042F1D"/>
    <w:rsid w:val="00043247"/>
    <w:rsid w:val="000439C9"/>
    <w:rsid w:val="00043C80"/>
    <w:rsid w:val="00044E6D"/>
    <w:rsid w:val="00045394"/>
    <w:rsid w:val="000453D6"/>
    <w:rsid w:val="00045CD8"/>
    <w:rsid w:val="00045E19"/>
    <w:rsid w:val="00045F76"/>
    <w:rsid w:val="000465B8"/>
    <w:rsid w:val="000465F9"/>
    <w:rsid w:val="00046E28"/>
    <w:rsid w:val="000472E9"/>
    <w:rsid w:val="00047809"/>
    <w:rsid w:val="0005013B"/>
    <w:rsid w:val="000508C1"/>
    <w:rsid w:val="00050965"/>
    <w:rsid w:val="00050BAD"/>
    <w:rsid w:val="00050F12"/>
    <w:rsid w:val="00051147"/>
    <w:rsid w:val="00051989"/>
    <w:rsid w:val="00051FB3"/>
    <w:rsid w:val="00052291"/>
    <w:rsid w:val="000522E7"/>
    <w:rsid w:val="00052605"/>
    <w:rsid w:val="0005274F"/>
    <w:rsid w:val="000529EF"/>
    <w:rsid w:val="0005341A"/>
    <w:rsid w:val="00053541"/>
    <w:rsid w:val="00053BCD"/>
    <w:rsid w:val="00053ECB"/>
    <w:rsid w:val="00054405"/>
    <w:rsid w:val="00054CDE"/>
    <w:rsid w:val="00055376"/>
    <w:rsid w:val="000558A1"/>
    <w:rsid w:val="00055F13"/>
    <w:rsid w:val="0005610E"/>
    <w:rsid w:val="00056418"/>
    <w:rsid w:val="0005656A"/>
    <w:rsid w:val="00056EA4"/>
    <w:rsid w:val="00057421"/>
    <w:rsid w:val="00057A30"/>
    <w:rsid w:val="00057AD1"/>
    <w:rsid w:val="00057CBE"/>
    <w:rsid w:val="0006008F"/>
    <w:rsid w:val="00060256"/>
    <w:rsid w:val="00060BD6"/>
    <w:rsid w:val="00060C61"/>
    <w:rsid w:val="00060F3B"/>
    <w:rsid w:val="000612E2"/>
    <w:rsid w:val="0006147C"/>
    <w:rsid w:val="00061CD4"/>
    <w:rsid w:val="00061E52"/>
    <w:rsid w:val="00062294"/>
    <w:rsid w:val="000623C2"/>
    <w:rsid w:val="00062529"/>
    <w:rsid w:val="00062795"/>
    <w:rsid w:val="00062EA3"/>
    <w:rsid w:val="0006333C"/>
    <w:rsid w:val="0006340C"/>
    <w:rsid w:val="000640D9"/>
    <w:rsid w:val="000641E9"/>
    <w:rsid w:val="000642A9"/>
    <w:rsid w:val="00064403"/>
    <w:rsid w:val="00064AFC"/>
    <w:rsid w:val="00064C49"/>
    <w:rsid w:val="00064C60"/>
    <w:rsid w:val="000650F2"/>
    <w:rsid w:val="00065B63"/>
    <w:rsid w:val="00066B5C"/>
    <w:rsid w:val="00067970"/>
    <w:rsid w:val="00067CC5"/>
    <w:rsid w:val="00067DAB"/>
    <w:rsid w:val="00070384"/>
    <w:rsid w:val="000706B8"/>
    <w:rsid w:val="00070958"/>
    <w:rsid w:val="00070C63"/>
    <w:rsid w:val="0007136A"/>
    <w:rsid w:val="0007166F"/>
    <w:rsid w:val="00071719"/>
    <w:rsid w:val="00071932"/>
    <w:rsid w:val="00071B12"/>
    <w:rsid w:val="0007266D"/>
    <w:rsid w:val="000726A0"/>
    <w:rsid w:val="0007275C"/>
    <w:rsid w:val="00072A3A"/>
    <w:rsid w:val="00072F66"/>
    <w:rsid w:val="000735E4"/>
    <w:rsid w:val="00073612"/>
    <w:rsid w:val="00073678"/>
    <w:rsid w:val="00073830"/>
    <w:rsid w:val="0007391C"/>
    <w:rsid w:val="00074164"/>
    <w:rsid w:val="00074165"/>
    <w:rsid w:val="00074A45"/>
    <w:rsid w:val="00074CAE"/>
    <w:rsid w:val="00074E84"/>
    <w:rsid w:val="000751BE"/>
    <w:rsid w:val="000753C6"/>
    <w:rsid w:val="00075501"/>
    <w:rsid w:val="00075927"/>
    <w:rsid w:val="00075CE1"/>
    <w:rsid w:val="00077053"/>
    <w:rsid w:val="00077454"/>
    <w:rsid w:val="0007752F"/>
    <w:rsid w:val="00077902"/>
    <w:rsid w:val="0007791A"/>
    <w:rsid w:val="00077D52"/>
    <w:rsid w:val="00077D9E"/>
    <w:rsid w:val="0008010C"/>
    <w:rsid w:val="000801D5"/>
    <w:rsid w:val="00080BFE"/>
    <w:rsid w:val="000816AB"/>
    <w:rsid w:val="000818C0"/>
    <w:rsid w:val="000819F1"/>
    <w:rsid w:val="00081CB7"/>
    <w:rsid w:val="00081D11"/>
    <w:rsid w:val="000827C2"/>
    <w:rsid w:val="00082A2F"/>
    <w:rsid w:val="00082A77"/>
    <w:rsid w:val="00082ACB"/>
    <w:rsid w:val="000839D7"/>
    <w:rsid w:val="00083CE5"/>
    <w:rsid w:val="000840EF"/>
    <w:rsid w:val="000846AC"/>
    <w:rsid w:val="0008480A"/>
    <w:rsid w:val="00084AE2"/>
    <w:rsid w:val="00085347"/>
    <w:rsid w:val="000858AA"/>
    <w:rsid w:val="00085A4B"/>
    <w:rsid w:val="00085A75"/>
    <w:rsid w:val="00086015"/>
    <w:rsid w:val="0008632C"/>
    <w:rsid w:val="000866F0"/>
    <w:rsid w:val="00087823"/>
    <w:rsid w:val="00087DF9"/>
    <w:rsid w:val="00090020"/>
    <w:rsid w:val="000900A2"/>
    <w:rsid w:val="000909FC"/>
    <w:rsid w:val="00090D68"/>
    <w:rsid w:val="00090F55"/>
    <w:rsid w:val="00091AC2"/>
    <w:rsid w:val="0009265F"/>
    <w:rsid w:val="0009267B"/>
    <w:rsid w:val="000929A0"/>
    <w:rsid w:val="00092CA1"/>
    <w:rsid w:val="00092D5E"/>
    <w:rsid w:val="00092DA3"/>
    <w:rsid w:val="00093077"/>
    <w:rsid w:val="00093154"/>
    <w:rsid w:val="00093708"/>
    <w:rsid w:val="0009516F"/>
    <w:rsid w:val="000955EC"/>
    <w:rsid w:val="00095684"/>
    <w:rsid w:val="000957BE"/>
    <w:rsid w:val="0009599D"/>
    <w:rsid w:val="00095E8A"/>
    <w:rsid w:val="00095EBB"/>
    <w:rsid w:val="0009638D"/>
    <w:rsid w:val="000966C4"/>
    <w:rsid w:val="0009697E"/>
    <w:rsid w:val="0009698A"/>
    <w:rsid w:val="00096C6B"/>
    <w:rsid w:val="000976F6"/>
    <w:rsid w:val="0009779D"/>
    <w:rsid w:val="000979D9"/>
    <w:rsid w:val="00097AC7"/>
    <w:rsid w:val="00097DEA"/>
    <w:rsid w:val="00097EE2"/>
    <w:rsid w:val="000A000B"/>
    <w:rsid w:val="000A0279"/>
    <w:rsid w:val="000A04B1"/>
    <w:rsid w:val="000A0634"/>
    <w:rsid w:val="000A0A45"/>
    <w:rsid w:val="000A0C79"/>
    <w:rsid w:val="000A104F"/>
    <w:rsid w:val="000A119B"/>
    <w:rsid w:val="000A1408"/>
    <w:rsid w:val="000A1F8B"/>
    <w:rsid w:val="000A20FC"/>
    <w:rsid w:val="000A23F6"/>
    <w:rsid w:val="000A247D"/>
    <w:rsid w:val="000A27CD"/>
    <w:rsid w:val="000A2954"/>
    <w:rsid w:val="000A29D1"/>
    <w:rsid w:val="000A305A"/>
    <w:rsid w:val="000A31A9"/>
    <w:rsid w:val="000A3972"/>
    <w:rsid w:val="000A4976"/>
    <w:rsid w:val="000A510B"/>
    <w:rsid w:val="000A51BC"/>
    <w:rsid w:val="000A5D5D"/>
    <w:rsid w:val="000A6006"/>
    <w:rsid w:val="000A65F6"/>
    <w:rsid w:val="000A69CC"/>
    <w:rsid w:val="000A6BFE"/>
    <w:rsid w:val="000A6F1B"/>
    <w:rsid w:val="000A7295"/>
    <w:rsid w:val="000A7324"/>
    <w:rsid w:val="000A7A7B"/>
    <w:rsid w:val="000B02B9"/>
    <w:rsid w:val="000B079E"/>
    <w:rsid w:val="000B0A26"/>
    <w:rsid w:val="000B0B2A"/>
    <w:rsid w:val="000B0B31"/>
    <w:rsid w:val="000B0D7C"/>
    <w:rsid w:val="000B2452"/>
    <w:rsid w:val="000B251D"/>
    <w:rsid w:val="000B2AE0"/>
    <w:rsid w:val="000B2DF8"/>
    <w:rsid w:val="000B2E9F"/>
    <w:rsid w:val="000B2F2C"/>
    <w:rsid w:val="000B37F9"/>
    <w:rsid w:val="000B3A27"/>
    <w:rsid w:val="000B4170"/>
    <w:rsid w:val="000B48E2"/>
    <w:rsid w:val="000B4A8D"/>
    <w:rsid w:val="000B4DC1"/>
    <w:rsid w:val="000B5215"/>
    <w:rsid w:val="000B543C"/>
    <w:rsid w:val="000B5685"/>
    <w:rsid w:val="000B57C5"/>
    <w:rsid w:val="000B5C57"/>
    <w:rsid w:val="000B5C97"/>
    <w:rsid w:val="000B62A3"/>
    <w:rsid w:val="000B6B1B"/>
    <w:rsid w:val="000B71A4"/>
    <w:rsid w:val="000B7511"/>
    <w:rsid w:val="000B75DC"/>
    <w:rsid w:val="000B7C18"/>
    <w:rsid w:val="000B7D32"/>
    <w:rsid w:val="000C0B85"/>
    <w:rsid w:val="000C1148"/>
    <w:rsid w:val="000C11EB"/>
    <w:rsid w:val="000C1443"/>
    <w:rsid w:val="000C146E"/>
    <w:rsid w:val="000C1540"/>
    <w:rsid w:val="000C1B4A"/>
    <w:rsid w:val="000C1BA3"/>
    <w:rsid w:val="000C1DC2"/>
    <w:rsid w:val="000C2035"/>
    <w:rsid w:val="000C2683"/>
    <w:rsid w:val="000C2E8C"/>
    <w:rsid w:val="000C32E6"/>
    <w:rsid w:val="000C347B"/>
    <w:rsid w:val="000C356C"/>
    <w:rsid w:val="000C3CC2"/>
    <w:rsid w:val="000C411B"/>
    <w:rsid w:val="000C48A1"/>
    <w:rsid w:val="000C4A8C"/>
    <w:rsid w:val="000C4EEB"/>
    <w:rsid w:val="000C530E"/>
    <w:rsid w:val="000C555B"/>
    <w:rsid w:val="000C5693"/>
    <w:rsid w:val="000C593D"/>
    <w:rsid w:val="000C5C23"/>
    <w:rsid w:val="000C61C2"/>
    <w:rsid w:val="000C6319"/>
    <w:rsid w:val="000C652A"/>
    <w:rsid w:val="000C679B"/>
    <w:rsid w:val="000C697D"/>
    <w:rsid w:val="000C6BE7"/>
    <w:rsid w:val="000C7322"/>
    <w:rsid w:val="000C79B6"/>
    <w:rsid w:val="000C7ABF"/>
    <w:rsid w:val="000C7B83"/>
    <w:rsid w:val="000C7F9F"/>
    <w:rsid w:val="000D0006"/>
    <w:rsid w:val="000D05EE"/>
    <w:rsid w:val="000D0C48"/>
    <w:rsid w:val="000D0E15"/>
    <w:rsid w:val="000D0E3E"/>
    <w:rsid w:val="000D1123"/>
    <w:rsid w:val="000D12D1"/>
    <w:rsid w:val="000D1390"/>
    <w:rsid w:val="000D1A44"/>
    <w:rsid w:val="000D1E3C"/>
    <w:rsid w:val="000D2759"/>
    <w:rsid w:val="000D2DF6"/>
    <w:rsid w:val="000D4143"/>
    <w:rsid w:val="000D442C"/>
    <w:rsid w:val="000D47F0"/>
    <w:rsid w:val="000D5760"/>
    <w:rsid w:val="000D5CA5"/>
    <w:rsid w:val="000D5D57"/>
    <w:rsid w:val="000D5FC5"/>
    <w:rsid w:val="000D6712"/>
    <w:rsid w:val="000D6C08"/>
    <w:rsid w:val="000D6CD2"/>
    <w:rsid w:val="000D6E2B"/>
    <w:rsid w:val="000D6E57"/>
    <w:rsid w:val="000D6FD0"/>
    <w:rsid w:val="000D7471"/>
    <w:rsid w:val="000D74BC"/>
    <w:rsid w:val="000D7549"/>
    <w:rsid w:val="000D7B0A"/>
    <w:rsid w:val="000E02C4"/>
    <w:rsid w:val="000E0457"/>
    <w:rsid w:val="000E0975"/>
    <w:rsid w:val="000E0B0F"/>
    <w:rsid w:val="000E0B5A"/>
    <w:rsid w:val="000E0D14"/>
    <w:rsid w:val="000E115F"/>
    <w:rsid w:val="000E1A03"/>
    <w:rsid w:val="000E1F17"/>
    <w:rsid w:val="000E227F"/>
    <w:rsid w:val="000E285F"/>
    <w:rsid w:val="000E312C"/>
    <w:rsid w:val="000E3242"/>
    <w:rsid w:val="000E3256"/>
    <w:rsid w:val="000E36F7"/>
    <w:rsid w:val="000E4079"/>
    <w:rsid w:val="000E4174"/>
    <w:rsid w:val="000E498C"/>
    <w:rsid w:val="000E4DFD"/>
    <w:rsid w:val="000E65B6"/>
    <w:rsid w:val="000E68B0"/>
    <w:rsid w:val="000E6A5A"/>
    <w:rsid w:val="000E79C3"/>
    <w:rsid w:val="000F05CF"/>
    <w:rsid w:val="000F0953"/>
    <w:rsid w:val="000F0B58"/>
    <w:rsid w:val="000F0E1D"/>
    <w:rsid w:val="000F14F9"/>
    <w:rsid w:val="000F2201"/>
    <w:rsid w:val="000F252A"/>
    <w:rsid w:val="000F256B"/>
    <w:rsid w:val="000F2E74"/>
    <w:rsid w:val="000F2ECD"/>
    <w:rsid w:val="000F3043"/>
    <w:rsid w:val="000F3149"/>
    <w:rsid w:val="000F3428"/>
    <w:rsid w:val="000F3496"/>
    <w:rsid w:val="000F3637"/>
    <w:rsid w:val="000F3684"/>
    <w:rsid w:val="000F397B"/>
    <w:rsid w:val="000F3B5D"/>
    <w:rsid w:val="000F4377"/>
    <w:rsid w:val="000F470C"/>
    <w:rsid w:val="000F4AF1"/>
    <w:rsid w:val="000F4CA0"/>
    <w:rsid w:val="000F515B"/>
    <w:rsid w:val="000F51B1"/>
    <w:rsid w:val="000F52E7"/>
    <w:rsid w:val="000F57D4"/>
    <w:rsid w:val="000F598B"/>
    <w:rsid w:val="000F6596"/>
    <w:rsid w:val="000F67FD"/>
    <w:rsid w:val="000F6960"/>
    <w:rsid w:val="000F6C16"/>
    <w:rsid w:val="000F6E62"/>
    <w:rsid w:val="000F6F3C"/>
    <w:rsid w:val="000F73A0"/>
    <w:rsid w:val="000F7A9B"/>
    <w:rsid w:val="000F7BCE"/>
    <w:rsid w:val="00100249"/>
    <w:rsid w:val="00100310"/>
    <w:rsid w:val="0010058D"/>
    <w:rsid w:val="00100B9C"/>
    <w:rsid w:val="00100BF1"/>
    <w:rsid w:val="00100BFD"/>
    <w:rsid w:val="0010132A"/>
    <w:rsid w:val="0010177F"/>
    <w:rsid w:val="00101E21"/>
    <w:rsid w:val="00102027"/>
    <w:rsid w:val="00102410"/>
    <w:rsid w:val="001028E0"/>
    <w:rsid w:val="0010397F"/>
    <w:rsid w:val="00103B4D"/>
    <w:rsid w:val="001040A7"/>
    <w:rsid w:val="00104359"/>
    <w:rsid w:val="0010436C"/>
    <w:rsid w:val="00104385"/>
    <w:rsid w:val="00104A06"/>
    <w:rsid w:val="00104BD2"/>
    <w:rsid w:val="00104DB2"/>
    <w:rsid w:val="0010514B"/>
    <w:rsid w:val="00105A06"/>
    <w:rsid w:val="00105B92"/>
    <w:rsid w:val="001063AA"/>
    <w:rsid w:val="00106425"/>
    <w:rsid w:val="00107060"/>
    <w:rsid w:val="0010717E"/>
    <w:rsid w:val="00107356"/>
    <w:rsid w:val="00107935"/>
    <w:rsid w:val="00107E2F"/>
    <w:rsid w:val="001100DD"/>
    <w:rsid w:val="0011054B"/>
    <w:rsid w:val="00110CA4"/>
    <w:rsid w:val="00110E18"/>
    <w:rsid w:val="00111D01"/>
    <w:rsid w:val="00112611"/>
    <w:rsid w:val="00112881"/>
    <w:rsid w:val="001128F4"/>
    <w:rsid w:val="001129B4"/>
    <w:rsid w:val="00112A58"/>
    <w:rsid w:val="00112B9F"/>
    <w:rsid w:val="00112C88"/>
    <w:rsid w:val="0011328D"/>
    <w:rsid w:val="00113349"/>
    <w:rsid w:val="00113919"/>
    <w:rsid w:val="00113A07"/>
    <w:rsid w:val="00113CB1"/>
    <w:rsid w:val="00114266"/>
    <w:rsid w:val="00114534"/>
    <w:rsid w:val="001147AE"/>
    <w:rsid w:val="00114B11"/>
    <w:rsid w:val="00114C44"/>
    <w:rsid w:val="00114EA0"/>
    <w:rsid w:val="00114EAE"/>
    <w:rsid w:val="001154C0"/>
    <w:rsid w:val="00115E82"/>
    <w:rsid w:val="0011614D"/>
    <w:rsid w:val="001162DF"/>
    <w:rsid w:val="00116BC3"/>
    <w:rsid w:val="00116BDF"/>
    <w:rsid w:val="00116F14"/>
    <w:rsid w:val="00117D98"/>
    <w:rsid w:val="00117E19"/>
    <w:rsid w:val="00120125"/>
    <w:rsid w:val="00120E14"/>
    <w:rsid w:val="00121DBF"/>
    <w:rsid w:val="0012209A"/>
    <w:rsid w:val="001222C1"/>
    <w:rsid w:val="001230E5"/>
    <w:rsid w:val="0012368E"/>
    <w:rsid w:val="00123FD6"/>
    <w:rsid w:val="001244DF"/>
    <w:rsid w:val="0012482C"/>
    <w:rsid w:val="0012482D"/>
    <w:rsid w:val="00124934"/>
    <w:rsid w:val="001254E4"/>
    <w:rsid w:val="00125FBB"/>
    <w:rsid w:val="001261F0"/>
    <w:rsid w:val="00126C84"/>
    <w:rsid w:val="001273ED"/>
    <w:rsid w:val="001277BD"/>
    <w:rsid w:val="00127A28"/>
    <w:rsid w:val="001302BE"/>
    <w:rsid w:val="0013044B"/>
    <w:rsid w:val="0013053A"/>
    <w:rsid w:val="001305AD"/>
    <w:rsid w:val="001307D3"/>
    <w:rsid w:val="00130DA8"/>
    <w:rsid w:val="00130F60"/>
    <w:rsid w:val="001310E5"/>
    <w:rsid w:val="00131B05"/>
    <w:rsid w:val="0013211F"/>
    <w:rsid w:val="0013298C"/>
    <w:rsid w:val="00132EB1"/>
    <w:rsid w:val="001330F0"/>
    <w:rsid w:val="00133255"/>
    <w:rsid w:val="0013359D"/>
    <w:rsid w:val="001335F1"/>
    <w:rsid w:val="001337F6"/>
    <w:rsid w:val="0013389B"/>
    <w:rsid w:val="00133AA2"/>
    <w:rsid w:val="0013400B"/>
    <w:rsid w:val="00134358"/>
    <w:rsid w:val="00134690"/>
    <w:rsid w:val="00134F69"/>
    <w:rsid w:val="0013501E"/>
    <w:rsid w:val="00135CF3"/>
    <w:rsid w:val="00135EE4"/>
    <w:rsid w:val="00135EEB"/>
    <w:rsid w:val="00135FA0"/>
    <w:rsid w:val="001368FA"/>
    <w:rsid w:val="00136F71"/>
    <w:rsid w:val="001370EB"/>
    <w:rsid w:val="0013717C"/>
    <w:rsid w:val="001372B4"/>
    <w:rsid w:val="00137722"/>
    <w:rsid w:val="00137966"/>
    <w:rsid w:val="00137978"/>
    <w:rsid w:val="00137B41"/>
    <w:rsid w:val="00140005"/>
    <w:rsid w:val="00140123"/>
    <w:rsid w:val="00140411"/>
    <w:rsid w:val="001408AC"/>
    <w:rsid w:val="00140B61"/>
    <w:rsid w:val="00140F43"/>
    <w:rsid w:val="001415B9"/>
    <w:rsid w:val="001416DA"/>
    <w:rsid w:val="00141DD3"/>
    <w:rsid w:val="0014208B"/>
    <w:rsid w:val="001420A9"/>
    <w:rsid w:val="001420FA"/>
    <w:rsid w:val="00142314"/>
    <w:rsid w:val="0014240D"/>
    <w:rsid w:val="0014249B"/>
    <w:rsid w:val="001425AD"/>
    <w:rsid w:val="001425C5"/>
    <w:rsid w:val="0014282F"/>
    <w:rsid w:val="00142895"/>
    <w:rsid w:val="001428C6"/>
    <w:rsid w:val="00142C4E"/>
    <w:rsid w:val="00142E87"/>
    <w:rsid w:val="0014323B"/>
    <w:rsid w:val="001435BD"/>
    <w:rsid w:val="00143685"/>
    <w:rsid w:val="0014396A"/>
    <w:rsid w:val="00143A5C"/>
    <w:rsid w:val="00144471"/>
    <w:rsid w:val="001452FB"/>
    <w:rsid w:val="0014557B"/>
    <w:rsid w:val="0014638B"/>
    <w:rsid w:val="001463CA"/>
    <w:rsid w:val="001465FA"/>
    <w:rsid w:val="00146A99"/>
    <w:rsid w:val="00147132"/>
    <w:rsid w:val="00147699"/>
    <w:rsid w:val="00147C25"/>
    <w:rsid w:val="00147F9E"/>
    <w:rsid w:val="00150403"/>
    <w:rsid w:val="00150709"/>
    <w:rsid w:val="001507F3"/>
    <w:rsid w:val="001508B9"/>
    <w:rsid w:val="001512A3"/>
    <w:rsid w:val="00151384"/>
    <w:rsid w:val="00151628"/>
    <w:rsid w:val="00151D3E"/>
    <w:rsid w:val="00151E3F"/>
    <w:rsid w:val="001520D0"/>
    <w:rsid w:val="00152D6D"/>
    <w:rsid w:val="00152D90"/>
    <w:rsid w:val="001531E2"/>
    <w:rsid w:val="0015322F"/>
    <w:rsid w:val="0015327D"/>
    <w:rsid w:val="001533C0"/>
    <w:rsid w:val="00153632"/>
    <w:rsid w:val="00153AEE"/>
    <w:rsid w:val="00153F53"/>
    <w:rsid w:val="00154105"/>
    <w:rsid w:val="001542CF"/>
    <w:rsid w:val="001542FB"/>
    <w:rsid w:val="00154640"/>
    <w:rsid w:val="00154A1E"/>
    <w:rsid w:val="00154F08"/>
    <w:rsid w:val="00155247"/>
    <w:rsid w:val="00155514"/>
    <w:rsid w:val="00155C83"/>
    <w:rsid w:val="00155F2B"/>
    <w:rsid w:val="0015615D"/>
    <w:rsid w:val="001561C5"/>
    <w:rsid w:val="00156698"/>
    <w:rsid w:val="0015699B"/>
    <w:rsid w:val="00157435"/>
    <w:rsid w:val="00157482"/>
    <w:rsid w:val="0016006E"/>
    <w:rsid w:val="0016036E"/>
    <w:rsid w:val="00160463"/>
    <w:rsid w:val="00160D39"/>
    <w:rsid w:val="00161146"/>
    <w:rsid w:val="0016121C"/>
    <w:rsid w:val="00161605"/>
    <w:rsid w:val="00162492"/>
    <w:rsid w:val="001630BA"/>
    <w:rsid w:val="001639DB"/>
    <w:rsid w:val="001645BD"/>
    <w:rsid w:val="00164E0E"/>
    <w:rsid w:val="00164F78"/>
    <w:rsid w:val="001650DB"/>
    <w:rsid w:val="00165220"/>
    <w:rsid w:val="00165314"/>
    <w:rsid w:val="00165487"/>
    <w:rsid w:val="0016557D"/>
    <w:rsid w:val="00165CE6"/>
    <w:rsid w:val="00166010"/>
    <w:rsid w:val="00166471"/>
    <w:rsid w:val="001668A8"/>
    <w:rsid w:val="00166900"/>
    <w:rsid w:val="00167069"/>
    <w:rsid w:val="0016737D"/>
    <w:rsid w:val="00167C01"/>
    <w:rsid w:val="00167D94"/>
    <w:rsid w:val="00167FDC"/>
    <w:rsid w:val="001706DF"/>
    <w:rsid w:val="00170BAB"/>
    <w:rsid w:val="00171178"/>
    <w:rsid w:val="001713DA"/>
    <w:rsid w:val="00171B90"/>
    <w:rsid w:val="00172104"/>
    <w:rsid w:val="00172B6E"/>
    <w:rsid w:val="00172E9C"/>
    <w:rsid w:val="001732AC"/>
    <w:rsid w:val="001742A6"/>
    <w:rsid w:val="0017456E"/>
    <w:rsid w:val="00174EE3"/>
    <w:rsid w:val="00175C20"/>
    <w:rsid w:val="00175D11"/>
    <w:rsid w:val="0017647F"/>
    <w:rsid w:val="00176538"/>
    <w:rsid w:val="00176571"/>
    <w:rsid w:val="00176D23"/>
    <w:rsid w:val="00177421"/>
    <w:rsid w:val="00177444"/>
    <w:rsid w:val="001779F8"/>
    <w:rsid w:val="00177D84"/>
    <w:rsid w:val="00177E20"/>
    <w:rsid w:val="001804EB"/>
    <w:rsid w:val="00180FAD"/>
    <w:rsid w:val="001813FE"/>
    <w:rsid w:val="0018154D"/>
    <w:rsid w:val="001815F2"/>
    <w:rsid w:val="00181E9B"/>
    <w:rsid w:val="001821A3"/>
    <w:rsid w:val="0018226A"/>
    <w:rsid w:val="00182558"/>
    <w:rsid w:val="001825A7"/>
    <w:rsid w:val="001828C3"/>
    <w:rsid w:val="001828C9"/>
    <w:rsid w:val="0018299E"/>
    <w:rsid w:val="00182C16"/>
    <w:rsid w:val="001835CA"/>
    <w:rsid w:val="00183803"/>
    <w:rsid w:val="0018407A"/>
    <w:rsid w:val="0018435C"/>
    <w:rsid w:val="0018466C"/>
    <w:rsid w:val="001846C7"/>
    <w:rsid w:val="00184890"/>
    <w:rsid w:val="00184EB8"/>
    <w:rsid w:val="00184EF6"/>
    <w:rsid w:val="0018542E"/>
    <w:rsid w:val="00185BC5"/>
    <w:rsid w:val="001865AE"/>
    <w:rsid w:val="00186B34"/>
    <w:rsid w:val="00186C2F"/>
    <w:rsid w:val="001871B6"/>
    <w:rsid w:val="00187AC8"/>
    <w:rsid w:val="0019012E"/>
    <w:rsid w:val="0019033E"/>
    <w:rsid w:val="0019075A"/>
    <w:rsid w:val="001907A5"/>
    <w:rsid w:val="001909D5"/>
    <w:rsid w:val="00190E26"/>
    <w:rsid w:val="00190F58"/>
    <w:rsid w:val="00191150"/>
    <w:rsid w:val="001912CB"/>
    <w:rsid w:val="001919C9"/>
    <w:rsid w:val="00191A9F"/>
    <w:rsid w:val="00191CCB"/>
    <w:rsid w:val="00191D1B"/>
    <w:rsid w:val="00192163"/>
    <w:rsid w:val="00192B02"/>
    <w:rsid w:val="00192B0A"/>
    <w:rsid w:val="001930FF"/>
    <w:rsid w:val="001933B0"/>
    <w:rsid w:val="00193E52"/>
    <w:rsid w:val="00193F85"/>
    <w:rsid w:val="00194576"/>
    <w:rsid w:val="001947EB"/>
    <w:rsid w:val="00194CC7"/>
    <w:rsid w:val="00194CF3"/>
    <w:rsid w:val="00194EF5"/>
    <w:rsid w:val="0019551F"/>
    <w:rsid w:val="00195653"/>
    <w:rsid w:val="001958C5"/>
    <w:rsid w:val="00196331"/>
    <w:rsid w:val="001964B5"/>
    <w:rsid w:val="00196A89"/>
    <w:rsid w:val="00196B66"/>
    <w:rsid w:val="00196E26"/>
    <w:rsid w:val="001976C1"/>
    <w:rsid w:val="00197816"/>
    <w:rsid w:val="001A01E5"/>
    <w:rsid w:val="001A029B"/>
    <w:rsid w:val="001A093F"/>
    <w:rsid w:val="001A0C30"/>
    <w:rsid w:val="001A18E2"/>
    <w:rsid w:val="001A18E4"/>
    <w:rsid w:val="001A1E14"/>
    <w:rsid w:val="001A245A"/>
    <w:rsid w:val="001A24E6"/>
    <w:rsid w:val="001A25BC"/>
    <w:rsid w:val="001A29A9"/>
    <w:rsid w:val="001A30D2"/>
    <w:rsid w:val="001A3187"/>
    <w:rsid w:val="001A3234"/>
    <w:rsid w:val="001A33B2"/>
    <w:rsid w:val="001A3578"/>
    <w:rsid w:val="001A3BB5"/>
    <w:rsid w:val="001A43E3"/>
    <w:rsid w:val="001A46F9"/>
    <w:rsid w:val="001A4AE1"/>
    <w:rsid w:val="001A50C8"/>
    <w:rsid w:val="001A5413"/>
    <w:rsid w:val="001A542F"/>
    <w:rsid w:val="001A5596"/>
    <w:rsid w:val="001A5B8A"/>
    <w:rsid w:val="001A5EA6"/>
    <w:rsid w:val="001A6055"/>
    <w:rsid w:val="001A62A7"/>
    <w:rsid w:val="001A65A5"/>
    <w:rsid w:val="001A6CBD"/>
    <w:rsid w:val="001A6DC4"/>
    <w:rsid w:val="001A6F2E"/>
    <w:rsid w:val="001A7273"/>
    <w:rsid w:val="001A734D"/>
    <w:rsid w:val="001A78E0"/>
    <w:rsid w:val="001A7A33"/>
    <w:rsid w:val="001A7F82"/>
    <w:rsid w:val="001B0198"/>
    <w:rsid w:val="001B0654"/>
    <w:rsid w:val="001B0856"/>
    <w:rsid w:val="001B1667"/>
    <w:rsid w:val="001B2379"/>
    <w:rsid w:val="001B24E3"/>
    <w:rsid w:val="001B29F0"/>
    <w:rsid w:val="001B2F17"/>
    <w:rsid w:val="001B31A9"/>
    <w:rsid w:val="001B32D4"/>
    <w:rsid w:val="001B357C"/>
    <w:rsid w:val="001B40C0"/>
    <w:rsid w:val="001B4236"/>
    <w:rsid w:val="001B42E9"/>
    <w:rsid w:val="001B4831"/>
    <w:rsid w:val="001B541C"/>
    <w:rsid w:val="001B5C04"/>
    <w:rsid w:val="001B681F"/>
    <w:rsid w:val="001B6904"/>
    <w:rsid w:val="001B6B29"/>
    <w:rsid w:val="001B7069"/>
    <w:rsid w:val="001B77E0"/>
    <w:rsid w:val="001B78E0"/>
    <w:rsid w:val="001B7D6D"/>
    <w:rsid w:val="001B7EAF"/>
    <w:rsid w:val="001C00C8"/>
    <w:rsid w:val="001C01AF"/>
    <w:rsid w:val="001C058B"/>
    <w:rsid w:val="001C0663"/>
    <w:rsid w:val="001C0E47"/>
    <w:rsid w:val="001C104C"/>
    <w:rsid w:val="001C11E9"/>
    <w:rsid w:val="001C13CF"/>
    <w:rsid w:val="001C1C06"/>
    <w:rsid w:val="001C1C4C"/>
    <w:rsid w:val="001C1CCD"/>
    <w:rsid w:val="001C2217"/>
    <w:rsid w:val="001C24D8"/>
    <w:rsid w:val="001C2581"/>
    <w:rsid w:val="001C25EE"/>
    <w:rsid w:val="001C2757"/>
    <w:rsid w:val="001C2920"/>
    <w:rsid w:val="001C2A4F"/>
    <w:rsid w:val="001C367E"/>
    <w:rsid w:val="001C3FC0"/>
    <w:rsid w:val="001C4C67"/>
    <w:rsid w:val="001C5188"/>
    <w:rsid w:val="001C54F5"/>
    <w:rsid w:val="001C5636"/>
    <w:rsid w:val="001C5833"/>
    <w:rsid w:val="001C5C41"/>
    <w:rsid w:val="001C5D6F"/>
    <w:rsid w:val="001C5DE1"/>
    <w:rsid w:val="001C5E6A"/>
    <w:rsid w:val="001C628D"/>
    <w:rsid w:val="001C7076"/>
    <w:rsid w:val="001C7337"/>
    <w:rsid w:val="001C7A5F"/>
    <w:rsid w:val="001C7C5D"/>
    <w:rsid w:val="001C7DB6"/>
    <w:rsid w:val="001C7FED"/>
    <w:rsid w:val="001D007F"/>
    <w:rsid w:val="001D07DF"/>
    <w:rsid w:val="001D0BA0"/>
    <w:rsid w:val="001D0EFB"/>
    <w:rsid w:val="001D0F68"/>
    <w:rsid w:val="001D111E"/>
    <w:rsid w:val="001D1A33"/>
    <w:rsid w:val="001D1E68"/>
    <w:rsid w:val="001D20B0"/>
    <w:rsid w:val="001D211E"/>
    <w:rsid w:val="001D289A"/>
    <w:rsid w:val="001D2A67"/>
    <w:rsid w:val="001D2D24"/>
    <w:rsid w:val="001D2E1D"/>
    <w:rsid w:val="001D30FE"/>
    <w:rsid w:val="001D33ED"/>
    <w:rsid w:val="001D37D2"/>
    <w:rsid w:val="001D38D7"/>
    <w:rsid w:val="001D4311"/>
    <w:rsid w:val="001D5760"/>
    <w:rsid w:val="001D5935"/>
    <w:rsid w:val="001D5982"/>
    <w:rsid w:val="001D5CF1"/>
    <w:rsid w:val="001D5E07"/>
    <w:rsid w:val="001D6427"/>
    <w:rsid w:val="001D6934"/>
    <w:rsid w:val="001D71E4"/>
    <w:rsid w:val="001D7502"/>
    <w:rsid w:val="001D7780"/>
    <w:rsid w:val="001D792D"/>
    <w:rsid w:val="001D7D9D"/>
    <w:rsid w:val="001E02F1"/>
    <w:rsid w:val="001E05AD"/>
    <w:rsid w:val="001E08FB"/>
    <w:rsid w:val="001E0C7C"/>
    <w:rsid w:val="001E0F7F"/>
    <w:rsid w:val="001E10A4"/>
    <w:rsid w:val="001E11AF"/>
    <w:rsid w:val="001E1A36"/>
    <w:rsid w:val="001E1B00"/>
    <w:rsid w:val="001E1B25"/>
    <w:rsid w:val="001E1DBB"/>
    <w:rsid w:val="001E1F1A"/>
    <w:rsid w:val="001E23F9"/>
    <w:rsid w:val="001E2A49"/>
    <w:rsid w:val="001E2A87"/>
    <w:rsid w:val="001E2DF0"/>
    <w:rsid w:val="001E2E28"/>
    <w:rsid w:val="001E30BA"/>
    <w:rsid w:val="001E31D4"/>
    <w:rsid w:val="001E321C"/>
    <w:rsid w:val="001E3334"/>
    <w:rsid w:val="001E3622"/>
    <w:rsid w:val="001E3A5D"/>
    <w:rsid w:val="001E3A8A"/>
    <w:rsid w:val="001E3C40"/>
    <w:rsid w:val="001E3F00"/>
    <w:rsid w:val="001E3F65"/>
    <w:rsid w:val="001E4208"/>
    <w:rsid w:val="001E4601"/>
    <w:rsid w:val="001E4734"/>
    <w:rsid w:val="001E4E02"/>
    <w:rsid w:val="001E5726"/>
    <w:rsid w:val="001E5A58"/>
    <w:rsid w:val="001E5A84"/>
    <w:rsid w:val="001E5FAE"/>
    <w:rsid w:val="001E60D7"/>
    <w:rsid w:val="001E6614"/>
    <w:rsid w:val="001E6CA5"/>
    <w:rsid w:val="001E743A"/>
    <w:rsid w:val="001E745C"/>
    <w:rsid w:val="001E7D3F"/>
    <w:rsid w:val="001F0FEC"/>
    <w:rsid w:val="001F1736"/>
    <w:rsid w:val="001F1D1A"/>
    <w:rsid w:val="001F25F2"/>
    <w:rsid w:val="001F2B36"/>
    <w:rsid w:val="001F2CA2"/>
    <w:rsid w:val="001F3575"/>
    <w:rsid w:val="001F3AFF"/>
    <w:rsid w:val="001F405F"/>
    <w:rsid w:val="001F4061"/>
    <w:rsid w:val="001F4097"/>
    <w:rsid w:val="001F4108"/>
    <w:rsid w:val="001F4520"/>
    <w:rsid w:val="001F45B3"/>
    <w:rsid w:val="001F4B1D"/>
    <w:rsid w:val="001F5142"/>
    <w:rsid w:val="001F565E"/>
    <w:rsid w:val="001F57C0"/>
    <w:rsid w:val="001F5A7E"/>
    <w:rsid w:val="001F5DF7"/>
    <w:rsid w:val="001F60C6"/>
    <w:rsid w:val="001F62BA"/>
    <w:rsid w:val="001F62F7"/>
    <w:rsid w:val="001F65FB"/>
    <w:rsid w:val="001F66F1"/>
    <w:rsid w:val="001F67FE"/>
    <w:rsid w:val="001F70A3"/>
    <w:rsid w:val="001F717F"/>
    <w:rsid w:val="001F72BA"/>
    <w:rsid w:val="001F7672"/>
    <w:rsid w:val="001F7D3E"/>
    <w:rsid w:val="002002DD"/>
    <w:rsid w:val="00200627"/>
    <w:rsid w:val="002007E2"/>
    <w:rsid w:val="002009D9"/>
    <w:rsid w:val="00200CEB"/>
    <w:rsid w:val="00200EFA"/>
    <w:rsid w:val="002011E2"/>
    <w:rsid w:val="0020120F"/>
    <w:rsid w:val="002015B7"/>
    <w:rsid w:val="00201BFF"/>
    <w:rsid w:val="00201CAC"/>
    <w:rsid w:val="00201EFD"/>
    <w:rsid w:val="00202124"/>
    <w:rsid w:val="00202415"/>
    <w:rsid w:val="0020266E"/>
    <w:rsid w:val="0020293D"/>
    <w:rsid w:val="00202E82"/>
    <w:rsid w:val="00203655"/>
    <w:rsid w:val="00203A27"/>
    <w:rsid w:val="00203B6A"/>
    <w:rsid w:val="00203B96"/>
    <w:rsid w:val="002044EB"/>
    <w:rsid w:val="0020498F"/>
    <w:rsid w:val="00204991"/>
    <w:rsid w:val="00204A01"/>
    <w:rsid w:val="00204ACD"/>
    <w:rsid w:val="00204E39"/>
    <w:rsid w:val="002052AA"/>
    <w:rsid w:val="002053F2"/>
    <w:rsid w:val="00205591"/>
    <w:rsid w:val="002056A0"/>
    <w:rsid w:val="00205E13"/>
    <w:rsid w:val="00205FC2"/>
    <w:rsid w:val="002060AA"/>
    <w:rsid w:val="002060ED"/>
    <w:rsid w:val="00206300"/>
    <w:rsid w:val="00206340"/>
    <w:rsid w:val="002064B5"/>
    <w:rsid w:val="0020663B"/>
    <w:rsid w:val="00206970"/>
    <w:rsid w:val="00207377"/>
    <w:rsid w:val="002075C5"/>
    <w:rsid w:val="002103F1"/>
    <w:rsid w:val="002106CF"/>
    <w:rsid w:val="00210B7F"/>
    <w:rsid w:val="00210F38"/>
    <w:rsid w:val="00211579"/>
    <w:rsid w:val="002115D1"/>
    <w:rsid w:val="002118C1"/>
    <w:rsid w:val="00211CE7"/>
    <w:rsid w:val="00211DAB"/>
    <w:rsid w:val="00212A66"/>
    <w:rsid w:val="00212CFA"/>
    <w:rsid w:val="002130E9"/>
    <w:rsid w:val="00213314"/>
    <w:rsid w:val="00213411"/>
    <w:rsid w:val="00213420"/>
    <w:rsid w:val="00213532"/>
    <w:rsid w:val="00213FE6"/>
    <w:rsid w:val="00214274"/>
    <w:rsid w:val="002142B5"/>
    <w:rsid w:val="002142E2"/>
    <w:rsid w:val="00214300"/>
    <w:rsid w:val="0021439E"/>
    <w:rsid w:val="00214700"/>
    <w:rsid w:val="00214CCC"/>
    <w:rsid w:val="00214E30"/>
    <w:rsid w:val="00214EAA"/>
    <w:rsid w:val="00215296"/>
    <w:rsid w:val="00215306"/>
    <w:rsid w:val="00215822"/>
    <w:rsid w:val="00215A12"/>
    <w:rsid w:val="00215C48"/>
    <w:rsid w:val="00215C55"/>
    <w:rsid w:val="00215FB5"/>
    <w:rsid w:val="00216181"/>
    <w:rsid w:val="00216644"/>
    <w:rsid w:val="002169FC"/>
    <w:rsid w:val="002176C8"/>
    <w:rsid w:val="002176D7"/>
    <w:rsid w:val="00217DAD"/>
    <w:rsid w:val="00220164"/>
    <w:rsid w:val="00220B5C"/>
    <w:rsid w:val="00220C80"/>
    <w:rsid w:val="002212A6"/>
    <w:rsid w:val="00221B34"/>
    <w:rsid w:val="002224FA"/>
    <w:rsid w:val="002227EF"/>
    <w:rsid w:val="00222BCA"/>
    <w:rsid w:val="00223258"/>
    <w:rsid w:val="00223603"/>
    <w:rsid w:val="00223980"/>
    <w:rsid w:val="002245DB"/>
    <w:rsid w:val="00224803"/>
    <w:rsid w:val="00224CB1"/>
    <w:rsid w:val="00224CFB"/>
    <w:rsid w:val="002252E5"/>
    <w:rsid w:val="00225622"/>
    <w:rsid w:val="0022573F"/>
    <w:rsid w:val="002261C7"/>
    <w:rsid w:val="002263D9"/>
    <w:rsid w:val="00226410"/>
    <w:rsid w:val="00226B22"/>
    <w:rsid w:val="00226B45"/>
    <w:rsid w:val="002270BC"/>
    <w:rsid w:val="00227308"/>
    <w:rsid w:val="00227F33"/>
    <w:rsid w:val="002302F5"/>
    <w:rsid w:val="0023051C"/>
    <w:rsid w:val="0023097E"/>
    <w:rsid w:val="00230A43"/>
    <w:rsid w:val="002311B7"/>
    <w:rsid w:val="00231525"/>
    <w:rsid w:val="0023155A"/>
    <w:rsid w:val="0023157F"/>
    <w:rsid w:val="0023215C"/>
    <w:rsid w:val="0023242E"/>
    <w:rsid w:val="00232C31"/>
    <w:rsid w:val="00232F42"/>
    <w:rsid w:val="00232F77"/>
    <w:rsid w:val="00233486"/>
    <w:rsid w:val="00233753"/>
    <w:rsid w:val="002337F8"/>
    <w:rsid w:val="0023417B"/>
    <w:rsid w:val="00234229"/>
    <w:rsid w:val="0023435C"/>
    <w:rsid w:val="002346F1"/>
    <w:rsid w:val="00234C83"/>
    <w:rsid w:val="0023535B"/>
    <w:rsid w:val="0023572E"/>
    <w:rsid w:val="002358F3"/>
    <w:rsid w:val="002359F7"/>
    <w:rsid w:val="00235A7B"/>
    <w:rsid w:val="00235C63"/>
    <w:rsid w:val="00235CC0"/>
    <w:rsid w:val="00236BA8"/>
    <w:rsid w:val="00236C93"/>
    <w:rsid w:val="00237325"/>
    <w:rsid w:val="00237390"/>
    <w:rsid w:val="002378C5"/>
    <w:rsid w:val="0024043D"/>
    <w:rsid w:val="00240CD3"/>
    <w:rsid w:val="00241B92"/>
    <w:rsid w:val="00241EFB"/>
    <w:rsid w:val="002420E1"/>
    <w:rsid w:val="002421BF"/>
    <w:rsid w:val="0024275E"/>
    <w:rsid w:val="0024290A"/>
    <w:rsid w:val="00242A4C"/>
    <w:rsid w:val="002431EC"/>
    <w:rsid w:val="00243D2E"/>
    <w:rsid w:val="0024407A"/>
    <w:rsid w:val="0024421D"/>
    <w:rsid w:val="00244646"/>
    <w:rsid w:val="002456E6"/>
    <w:rsid w:val="00245B55"/>
    <w:rsid w:val="00246F0B"/>
    <w:rsid w:val="002475F4"/>
    <w:rsid w:val="00247E8A"/>
    <w:rsid w:val="0025000F"/>
    <w:rsid w:val="002504C0"/>
    <w:rsid w:val="0025058A"/>
    <w:rsid w:val="00250848"/>
    <w:rsid w:val="002508CC"/>
    <w:rsid w:val="002508D1"/>
    <w:rsid w:val="00250BDB"/>
    <w:rsid w:val="00250EC5"/>
    <w:rsid w:val="00251438"/>
    <w:rsid w:val="00251777"/>
    <w:rsid w:val="00251D69"/>
    <w:rsid w:val="0025213F"/>
    <w:rsid w:val="00252237"/>
    <w:rsid w:val="002524AB"/>
    <w:rsid w:val="0025272F"/>
    <w:rsid w:val="00252FAB"/>
    <w:rsid w:val="00253478"/>
    <w:rsid w:val="002536DE"/>
    <w:rsid w:val="0025394F"/>
    <w:rsid w:val="00253D93"/>
    <w:rsid w:val="00254374"/>
    <w:rsid w:val="00254446"/>
    <w:rsid w:val="002544AC"/>
    <w:rsid w:val="002548F3"/>
    <w:rsid w:val="00254FD5"/>
    <w:rsid w:val="002556E1"/>
    <w:rsid w:val="00255EA8"/>
    <w:rsid w:val="00255FCF"/>
    <w:rsid w:val="00256005"/>
    <w:rsid w:val="00256048"/>
    <w:rsid w:val="0025610E"/>
    <w:rsid w:val="002562D0"/>
    <w:rsid w:val="002566B2"/>
    <w:rsid w:val="0025747E"/>
    <w:rsid w:val="00257B83"/>
    <w:rsid w:val="00257E4C"/>
    <w:rsid w:val="00260687"/>
    <w:rsid w:val="00261B24"/>
    <w:rsid w:val="00261DD7"/>
    <w:rsid w:val="0026223A"/>
    <w:rsid w:val="0026249A"/>
    <w:rsid w:val="00262900"/>
    <w:rsid w:val="00262ADB"/>
    <w:rsid w:val="00262BED"/>
    <w:rsid w:val="00262DEF"/>
    <w:rsid w:val="00263375"/>
    <w:rsid w:val="00263A9C"/>
    <w:rsid w:val="00263BB3"/>
    <w:rsid w:val="00263E70"/>
    <w:rsid w:val="002641B9"/>
    <w:rsid w:val="0026444A"/>
    <w:rsid w:val="0026470F"/>
    <w:rsid w:val="00264989"/>
    <w:rsid w:val="00264E57"/>
    <w:rsid w:val="00264FD4"/>
    <w:rsid w:val="002651BD"/>
    <w:rsid w:val="002651D3"/>
    <w:rsid w:val="0026524F"/>
    <w:rsid w:val="00265A14"/>
    <w:rsid w:val="00266317"/>
    <w:rsid w:val="00266BD7"/>
    <w:rsid w:val="00266E24"/>
    <w:rsid w:val="00267201"/>
    <w:rsid w:val="00267361"/>
    <w:rsid w:val="002673A1"/>
    <w:rsid w:val="00267533"/>
    <w:rsid w:val="00267991"/>
    <w:rsid w:val="002679F0"/>
    <w:rsid w:val="00267A03"/>
    <w:rsid w:val="00270BE0"/>
    <w:rsid w:val="00270C30"/>
    <w:rsid w:val="002714EE"/>
    <w:rsid w:val="00271FE2"/>
    <w:rsid w:val="00272472"/>
    <w:rsid w:val="0027249B"/>
    <w:rsid w:val="00272A4D"/>
    <w:rsid w:val="0027320A"/>
    <w:rsid w:val="0027324B"/>
    <w:rsid w:val="002746C8"/>
    <w:rsid w:val="002748A0"/>
    <w:rsid w:val="00274A86"/>
    <w:rsid w:val="002754A2"/>
    <w:rsid w:val="0027586F"/>
    <w:rsid w:val="0027611C"/>
    <w:rsid w:val="00276125"/>
    <w:rsid w:val="002764A3"/>
    <w:rsid w:val="00276525"/>
    <w:rsid w:val="0027654A"/>
    <w:rsid w:val="00276787"/>
    <w:rsid w:val="00276811"/>
    <w:rsid w:val="002769F4"/>
    <w:rsid w:val="002772C6"/>
    <w:rsid w:val="00277859"/>
    <w:rsid w:val="00277D73"/>
    <w:rsid w:val="002800E5"/>
    <w:rsid w:val="002807B9"/>
    <w:rsid w:val="002807D8"/>
    <w:rsid w:val="002810AE"/>
    <w:rsid w:val="002810CE"/>
    <w:rsid w:val="002812B9"/>
    <w:rsid w:val="002812EE"/>
    <w:rsid w:val="00281316"/>
    <w:rsid w:val="002815F2"/>
    <w:rsid w:val="00281770"/>
    <w:rsid w:val="00281A2E"/>
    <w:rsid w:val="00281D30"/>
    <w:rsid w:val="00281D97"/>
    <w:rsid w:val="00281E55"/>
    <w:rsid w:val="00282301"/>
    <w:rsid w:val="00282352"/>
    <w:rsid w:val="00282464"/>
    <w:rsid w:val="00282491"/>
    <w:rsid w:val="00282655"/>
    <w:rsid w:val="0028281D"/>
    <w:rsid w:val="002830F1"/>
    <w:rsid w:val="002831C8"/>
    <w:rsid w:val="002831CC"/>
    <w:rsid w:val="002832C3"/>
    <w:rsid w:val="00284193"/>
    <w:rsid w:val="00284426"/>
    <w:rsid w:val="00284440"/>
    <w:rsid w:val="00284996"/>
    <w:rsid w:val="00284BA3"/>
    <w:rsid w:val="00284E87"/>
    <w:rsid w:val="00285157"/>
    <w:rsid w:val="00285394"/>
    <w:rsid w:val="00285E33"/>
    <w:rsid w:val="00286579"/>
    <w:rsid w:val="00286DE4"/>
    <w:rsid w:val="00287338"/>
    <w:rsid w:val="002873A7"/>
    <w:rsid w:val="002874DA"/>
    <w:rsid w:val="002874E3"/>
    <w:rsid w:val="002875EC"/>
    <w:rsid w:val="002877C2"/>
    <w:rsid w:val="00287A55"/>
    <w:rsid w:val="00290D97"/>
    <w:rsid w:val="0029320E"/>
    <w:rsid w:val="002935E1"/>
    <w:rsid w:val="0029380B"/>
    <w:rsid w:val="00293A8B"/>
    <w:rsid w:val="00293FE7"/>
    <w:rsid w:val="00294065"/>
    <w:rsid w:val="00294182"/>
    <w:rsid w:val="0029449B"/>
    <w:rsid w:val="002944FF"/>
    <w:rsid w:val="00294F9A"/>
    <w:rsid w:val="00295219"/>
    <w:rsid w:val="00295330"/>
    <w:rsid w:val="0029541E"/>
    <w:rsid w:val="0029566E"/>
    <w:rsid w:val="0029594B"/>
    <w:rsid w:val="00296019"/>
    <w:rsid w:val="0029621C"/>
    <w:rsid w:val="00296D86"/>
    <w:rsid w:val="002971D5"/>
    <w:rsid w:val="00297ADB"/>
    <w:rsid w:val="00297BF0"/>
    <w:rsid w:val="002A0120"/>
    <w:rsid w:val="002A0501"/>
    <w:rsid w:val="002A0A2B"/>
    <w:rsid w:val="002A0CF0"/>
    <w:rsid w:val="002A146E"/>
    <w:rsid w:val="002A1580"/>
    <w:rsid w:val="002A1738"/>
    <w:rsid w:val="002A174F"/>
    <w:rsid w:val="002A1895"/>
    <w:rsid w:val="002A1CDB"/>
    <w:rsid w:val="002A24CA"/>
    <w:rsid w:val="002A25B8"/>
    <w:rsid w:val="002A265D"/>
    <w:rsid w:val="002A340E"/>
    <w:rsid w:val="002A34BD"/>
    <w:rsid w:val="002A354E"/>
    <w:rsid w:val="002A3953"/>
    <w:rsid w:val="002A3B9D"/>
    <w:rsid w:val="002A3BD1"/>
    <w:rsid w:val="002A4E2F"/>
    <w:rsid w:val="002A4F8F"/>
    <w:rsid w:val="002A5702"/>
    <w:rsid w:val="002A5C1E"/>
    <w:rsid w:val="002A5D65"/>
    <w:rsid w:val="002A5DF0"/>
    <w:rsid w:val="002A63BD"/>
    <w:rsid w:val="002A640E"/>
    <w:rsid w:val="002A669B"/>
    <w:rsid w:val="002A6715"/>
    <w:rsid w:val="002A6BC7"/>
    <w:rsid w:val="002A71E2"/>
    <w:rsid w:val="002A739F"/>
    <w:rsid w:val="002A73DC"/>
    <w:rsid w:val="002A7614"/>
    <w:rsid w:val="002A784F"/>
    <w:rsid w:val="002A7AD0"/>
    <w:rsid w:val="002A7D19"/>
    <w:rsid w:val="002A7D91"/>
    <w:rsid w:val="002B0089"/>
    <w:rsid w:val="002B061F"/>
    <w:rsid w:val="002B068E"/>
    <w:rsid w:val="002B08E0"/>
    <w:rsid w:val="002B0CA8"/>
    <w:rsid w:val="002B11D2"/>
    <w:rsid w:val="002B1393"/>
    <w:rsid w:val="002B1767"/>
    <w:rsid w:val="002B2AC0"/>
    <w:rsid w:val="002B3389"/>
    <w:rsid w:val="002B34D2"/>
    <w:rsid w:val="002B365C"/>
    <w:rsid w:val="002B4176"/>
    <w:rsid w:val="002B42E9"/>
    <w:rsid w:val="002B4551"/>
    <w:rsid w:val="002B4760"/>
    <w:rsid w:val="002B476C"/>
    <w:rsid w:val="002B57E4"/>
    <w:rsid w:val="002B5870"/>
    <w:rsid w:val="002B5878"/>
    <w:rsid w:val="002B5B32"/>
    <w:rsid w:val="002B5D14"/>
    <w:rsid w:val="002B6586"/>
    <w:rsid w:val="002B673A"/>
    <w:rsid w:val="002B684E"/>
    <w:rsid w:val="002B6D09"/>
    <w:rsid w:val="002B6EBD"/>
    <w:rsid w:val="002B70B7"/>
    <w:rsid w:val="002B71FC"/>
    <w:rsid w:val="002B74FC"/>
    <w:rsid w:val="002B76E4"/>
    <w:rsid w:val="002B7877"/>
    <w:rsid w:val="002B7943"/>
    <w:rsid w:val="002C09AE"/>
    <w:rsid w:val="002C0B4D"/>
    <w:rsid w:val="002C0E1F"/>
    <w:rsid w:val="002C0E68"/>
    <w:rsid w:val="002C0ED0"/>
    <w:rsid w:val="002C1104"/>
    <w:rsid w:val="002C19D7"/>
    <w:rsid w:val="002C1D5A"/>
    <w:rsid w:val="002C2330"/>
    <w:rsid w:val="002C23D2"/>
    <w:rsid w:val="002C24BB"/>
    <w:rsid w:val="002C28E7"/>
    <w:rsid w:val="002C2BB5"/>
    <w:rsid w:val="002C2EC6"/>
    <w:rsid w:val="002C2ECE"/>
    <w:rsid w:val="002C316A"/>
    <w:rsid w:val="002C3192"/>
    <w:rsid w:val="002C333F"/>
    <w:rsid w:val="002C3D1E"/>
    <w:rsid w:val="002C3EA4"/>
    <w:rsid w:val="002C403F"/>
    <w:rsid w:val="002C413E"/>
    <w:rsid w:val="002C414E"/>
    <w:rsid w:val="002C45E7"/>
    <w:rsid w:val="002C46C8"/>
    <w:rsid w:val="002C50B0"/>
    <w:rsid w:val="002C5527"/>
    <w:rsid w:val="002C567F"/>
    <w:rsid w:val="002C59F2"/>
    <w:rsid w:val="002C5C20"/>
    <w:rsid w:val="002C5CEA"/>
    <w:rsid w:val="002C5E5B"/>
    <w:rsid w:val="002C5F8D"/>
    <w:rsid w:val="002C62BD"/>
    <w:rsid w:val="002C6A0A"/>
    <w:rsid w:val="002C6C6F"/>
    <w:rsid w:val="002C731B"/>
    <w:rsid w:val="002C7620"/>
    <w:rsid w:val="002C7694"/>
    <w:rsid w:val="002C78B6"/>
    <w:rsid w:val="002C78FE"/>
    <w:rsid w:val="002C79D9"/>
    <w:rsid w:val="002C7A8F"/>
    <w:rsid w:val="002C7BBF"/>
    <w:rsid w:val="002C7C46"/>
    <w:rsid w:val="002C7CB3"/>
    <w:rsid w:val="002D023F"/>
    <w:rsid w:val="002D06D0"/>
    <w:rsid w:val="002D0AF3"/>
    <w:rsid w:val="002D0E3E"/>
    <w:rsid w:val="002D0EF8"/>
    <w:rsid w:val="002D123B"/>
    <w:rsid w:val="002D19ED"/>
    <w:rsid w:val="002D22E2"/>
    <w:rsid w:val="002D2D5B"/>
    <w:rsid w:val="002D2F17"/>
    <w:rsid w:val="002D2F6E"/>
    <w:rsid w:val="002D2F9E"/>
    <w:rsid w:val="002D302B"/>
    <w:rsid w:val="002D3F1D"/>
    <w:rsid w:val="002D4025"/>
    <w:rsid w:val="002D40F3"/>
    <w:rsid w:val="002D4237"/>
    <w:rsid w:val="002D42FF"/>
    <w:rsid w:val="002D48D9"/>
    <w:rsid w:val="002D4AA6"/>
    <w:rsid w:val="002D4D66"/>
    <w:rsid w:val="002D4F6F"/>
    <w:rsid w:val="002D50C8"/>
    <w:rsid w:val="002D5811"/>
    <w:rsid w:val="002D5ED8"/>
    <w:rsid w:val="002D738B"/>
    <w:rsid w:val="002D7406"/>
    <w:rsid w:val="002D7408"/>
    <w:rsid w:val="002D748D"/>
    <w:rsid w:val="002D7726"/>
    <w:rsid w:val="002D7AAB"/>
    <w:rsid w:val="002D7F15"/>
    <w:rsid w:val="002D7FBB"/>
    <w:rsid w:val="002E02E5"/>
    <w:rsid w:val="002E0594"/>
    <w:rsid w:val="002E0910"/>
    <w:rsid w:val="002E0D36"/>
    <w:rsid w:val="002E1203"/>
    <w:rsid w:val="002E12BF"/>
    <w:rsid w:val="002E17AC"/>
    <w:rsid w:val="002E1A67"/>
    <w:rsid w:val="002E1C40"/>
    <w:rsid w:val="002E1D6A"/>
    <w:rsid w:val="002E1EA5"/>
    <w:rsid w:val="002E1F0C"/>
    <w:rsid w:val="002E31FD"/>
    <w:rsid w:val="002E34EE"/>
    <w:rsid w:val="002E3A52"/>
    <w:rsid w:val="002E3B1B"/>
    <w:rsid w:val="002E3B2C"/>
    <w:rsid w:val="002E3FCA"/>
    <w:rsid w:val="002E442A"/>
    <w:rsid w:val="002E459D"/>
    <w:rsid w:val="002E46F3"/>
    <w:rsid w:val="002E49EA"/>
    <w:rsid w:val="002E5950"/>
    <w:rsid w:val="002E5D82"/>
    <w:rsid w:val="002E5E7A"/>
    <w:rsid w:val="002E5F2E"/>
    <w:rsid w:val="002E6398"/>
    <w:rsid w:val="002E64EC"/>
    <w:rsid w:val="002E6B2B"/>
    <w:rsid w:val="002E7178"/>
    <w:rsid w:val="002E75C2"/>
    <w:rsid w:val="002E7CBB"/>
    <w:rsid w:val="002E7D02"/>
    <w:rsid w:val="002F0093"/>
    <w:rsid w:val="002F09BF"/>
    <w:rsid w:val="002F0E46"/>
    <w:rsid w:val="002F17F2"/>
    <w:rsid w:val="002F1B7C"/>
    <w:rsid w:val="002F2475"/>
    <w:rsid w:val="002F28C2"/>
    <w:rsid w:val="002F3289"/>
    <w:rsid w:val="002F32B4"/>
    <w:rsid w:val="002F32FB"/>
    <w:rsid w:val="002F3391"/>
    <w:rsid w:val="002F351A"/>
    <w:rsid w:val="002F3527"/>
    <w:rsid w:val="002F43DF"/>
    <w:rsid w:val="002F47A2"/>
    <w:rsid w:val="002F48ED"/>
    <w:rsid w:val="002F4AFB"/>
    <w:rsid w:val="002F4D81"/>
    <w:rsid w:val="002F4E56"/>
    <w:rsid w:val="002F51FA"/>
    <w:rsid w:val="002F5C23"/>
    <w:rsid w:val="002F69E0"/>
    <w:rsid w:val="002F79D6"/>
    <w:rsid w:val="002F7A29"/>
    <w:rsid w:val="002F7C8F"/>
    <w:rsid w:val="002F7DB7"/>
    <w:rsid w:val="00300274"/>
    <w:rsid w:val="00300534"/>
    <w:rsid w:val="00300B8D"/>
    <w:rsid w:val="00300E08"/>
    <w:rsid w:val="0030190E"/>
    <w:rsid w:val="00301DA0"/>
    <w:rsid w:val="00301F3E"/>
    <w:rsid w:val="00302211"/>
    <w:rsid w:val="00302576"/>
    <w:rsid w:val="00302767"/>
    <w:rsid w:val="003028BA"/>
    <w:rsid w:val="00302A9B"/>
    <w:rsid w:val="00302AAF"/>
    <w:rsid w:val="0030339F"/>
    <w:rsid w:val="003049B8"/>
    <w:rsid w:val="003057FA"/>
    <w:rsid w:val="00305835"/>
    <w:rsid w:val="003059E3"/>
    <w:rsid w:val="00305AB8"/>
    <w:rsid w:val="00305D47"/>
    <w:rsid w:val="00306276"/>
    <w:rsid w:val="00306588"/>
    <w:rsid w:val="0030663A"/>
    <w:rsid w:val="00306702"/>
    <w:rsid w:val="00306BAC"/>
    <w:rsid w:val="00306F73"/>
    <w:rsid w:val="003072B0"/>
    <w:rsid w:val="003076F8"/>
    <w:rsid w:val="00310C8C"/>
    <w:rsid w:val="003110DD"/>
    <w:rsid w:val="003117C9"/>
    <w:rsid w:val="00311977"/>
    <w:rsid w:val="00312312"/>
    <w:rsid w:val="00312684"/>
    <w:rsid w:val="00312CDC"/>
    <w:rsid w:val="00312DB8"/>
    <w:rsid w:val="00313068"/>
    <w:rsid w:val="00313104"/>
    <w:rsid w:val="0031315D"/>
    <w:rsid w:val="0031388E"/>
    <w:rsid w:val="0031398C"/>
    <w:rsid w:val="00313CF0"/>
    <w:rsid w:val="00313FF2"/>
    <w:rsid w:val="003140BD"/>
    <w:rsid w:val="0031417D"/>
    <w:rsid w:val="003143D6"/>
    <w:rsid w:val="003145F3"/>
    <w:rsid w:val="00314C16"/>
    <w:rsid w:val="00314D79"/>
    <w:rsid w:val="00314E39"/>
    <w:rsid w:val="00315148"/>
    <w:rsid w:val="00315186"/>
    <w:rsid w:val="003151BF"/>
    <w:rsid w:val="00315416"/>
    <w:rsid w:val="00315A83"/>
    <w:rsid w:val="0031604E"/>
    <w:rsid w:val="00316DA0"/>
    <w:rsid w:val="00316DDA"/>
    <w:rsid w:val="00316F67"/>
    <w:rsid w:val="003170D5"/>
    <w:rsid w:val="0031746D"/>
    <w:rsid w:val="00317B07"/>
    <w:rsid w:val="00317C32"/>
    <w:rsid w:val="00317C92"/>
    <w:rsid w:val="00317EF3"/>
    <w:rsid w:val="00317F97"/>
    <w:rsid w:val="0032023B"/>
    <w:rsid w:val="0032024A"/>
    <w:rsid w:val="00320326"/>
    <w:rsid w:val="003204B4"/>
    <w:rsid w:val="003205DA"/>
    <w:rsid w:val="00320867"/>
    <w:rsid w:val="00320A06"/>
    <w:rsid w:val="00320DAD"/>
    <w:rsid w:val="0032242E"/>
    <w:rsid w:val="0032279F"/>
    <w:rsid w:val="00322BC4"/>
    <w:rsid w:val="00322DC1"/>
    <w:rsid w:val="00323063"/>
    <w:rsid w:val="00323137"/>
    <w:rsid w:val="00323205"/>
    <w:rsid w:val="003241EB"/>
    <w:rsid w:val="00324800"/>
    <w:rsid w:val="00324C6A"/>
    <w:rsid w:val="00324ED0"/>
    <w:rsid w:val="00324F1F"/>
    <w:rsid w:val="00325181"/>
    <w:rsid w:val="00325587"/>
    <w:rsid w:val="003257E4"/>
    <w:rsid w:val="0032585C"/>
    <w:rsid w:val="00325E6D"/>
    <w:rsid w:val="00325F1D"/>
    <w:rsid w:val="00326952"/>
    <w:rsid w:val="00326D05"/>
    <w:rsid w:val="00326E5A"/>
    <w:rsid w:val="00326EA9"/>
    <w:rsid w:val="00327182"/>
    <w:rsid w:val="0032748A"/>
    <w:rsid w:val="00327556"/>
    <w:rsid w:val="00327CEE"/>
    <w:rsid w:val="00327DEF"/>
    <w:rsid w:val="00327F7B"/>
    <w:rsid w:val="00330027"/>
    <w:rsid w:val="00330995"/>
    <w:rsid w:val="003309E0"/>
    <w:rsid w:val="00330E42"/>
    <w:rsid w:val="00330F0E"/>
    <w:rsid w:val="00331278"/>
    <w:rsid w:val="00331340"/>
    <w:rsid w:val="003313E6"/>
    <w:rsid w:val="0033141D"/>
    <w:rsid w:val="00331971"/>
    <w:rsid w:val="00331CDC"/>
    <w:rsid w:val="00331FDA"/>
    <w:rsid w:val="00332199"/>
    <w:rsid w:val="00332545"/>
    <w:rsid w:val="00332695"/>
    <w:rsid w:val="003328F8"/>
    <w:rsid w:val="00332CBF"/>
    <w:rsid w:val="0033321F"/>
    <w:rsid w:val="003333EE"/>
    <w:rsid w:val="00333821"/>
    <w:rsid w:val="00333A90"/>
    <w:rsid w:val="00333E97"/>
    <w:rsid w:val="003343E3"/>
    <w:rsid w:val="003345A8"/>
    <w:rsid w:val="0033484A"/>
    <w:rsid w:val="0033502C"/>
    <w:rsid w:val="00335260"/>
    <w:rsid w:val="003352F5"/>
    <w:rsid w:val="003353CD"/>
    <w:rsid w:val="0033570A"/>
    <w:rsid w:val="00336115"/>
    <w:rsid w:val="00336134"/>
    <w:rsid w:val="00336334"/>
    <w:rsid w:val="0033653E"/>
    <w:rsid w:val="00336859"/>
    <w:rsid w:val="003369F9"/>
    <w:rsid w:val="00336EB1"/>
    <w:rsid w:val="0033751B"/>
    <w:rsid w:val="0033786E"/>
    <w:rsid w:val="0034123D"/>
    <w:rsid w:val="00341275"/>
    <w:rsid w:val="00341474"/>
    <w:rsid w:val="00341B68"/>
    <w:rsid w:val="00342001"/>
    <w:rsid w:val="0034264D"/>
    <w:rsid w:val="003427B2"/>
    <w:rsid w:val="00343111"/>
    <w:rsid w:val="0034341B"/>
    <w:rsid w:val="00343539"/>
    <w:rsid w:val="003435D4"/>
    <w:rsid w:val="00343A14"/>
    <w:rsid w:val="00343A6F"/>
    <w:rsid w:val="00343AA0"/>
    <w:rsid w:val="00344202"/>
    <w:rsid w:val="0034442C"/>
    <w:rsid w:val="0034463F"/>
    <w:rsid w:val="00344BBE"/>
    <w:rsid w:val="003453FE"/>
    <w:rsid w:val="003454D4"/>
    <w:rsid w:val="00345AEB"/>
    <w:rsid w:val="00345CA5"/>
    <w:rsid w:val="00346137"/>
    <w:rsid w:val="003464A9"/>
    <w:rsid w:val="003468B6"/>
    <w:rsid w:val="00346CA2"/>
    <w:rsid w:val="00347857"/>
    <w:rsid w:val="00347D9B"/>
    <w:rsid w:val="00347F50"/>
    <w:rsid w:val="00347F6C"/>
    <w:rsid w:val="00350689"/>
    <w:rsid w:val="00350C45"/>
    <w:rsid w:val="00350EA0"/>
    <w:rsid w:val="00352212"/>
    <w:rsid w:val="00352355"/>
    <w:rsid w:val="003524B7"/>
    <w:rsid w:val="00352AC1"/>
    <w:rsid w:val="0035306E"/>
    <w:rsid w:val="003530B2"/>
    <w:rsid w:val="0035317A"/>
    <w:rsid w:val="00353BDC"/>
    <w:rsid w:val="003540D2"/>
    <w:rsid w:val="00354329"/>
    <w:rsid w:val="00354357"/>
    <w:rsid w:val="0035436F"/>
    <w:rsid w:val="00354BDD"/>
    <w:rsid w:val="00354CB9"/>
    <w:rsid w:val="003552C9"/>
    <w:rsid w:val="00355CC0"/>
    <w:rsid w:val="00356BB9"/>
    <w:rsid w:val="003570F0"/>
    <w:rsid w:val="0035729E"/>
    <w:rsid w:val="0035755A"/>
    <w:rsid w:val="0035797F"/>
    <w:rsid w:val="00357CC1"/>
    <w:rsid w:val="00360015"/>
    <w:rsid w:val="00360114"/>
    <w:rsid w:val="00360406"/>
    <w:rsid w:val="0036137C"/>
    <w:rsid w:val="00361933"/>
    <w:rsid w:val="00361DAE"/>
    <w:rsid w:val="003627F4"/>
    <w:rsid w:val="00362BEE"/>
    <w:rsid w:val="0036306B"/>
    <w:rsid w:val="003630DB"/>
    <w:rsid w:val="003635D0"/>
    <w:rsid w:val="003636F6"/>
    <w:rsid w:val="00363A3A"/>
    <w:rsid w:val="003640B9"/>
    <w:rsid w:val="00364179"/>
    <w:rsid w:val="00364258"/>
    <w:rsid w:val="0036451C"/>
    <w:rsid w:val="003651EF"/>
    <w:rsid w:val="00365551"/>
    <w:rsid w:val="003659E3"/>
    <w:rsid w:val="00365B80"/>
    <w:rsid w:val="00365EF6"/>
    <w:rsid w:val="00366021"/>
    <w:rsid w:val="0036680A"/>
    <w:rsid w:val="00366BFE"/>
    <w:rsid w:val="003672AD"/>
    <w:rsid w:val="0036796D"/>
    <w:rsid w:val="00367A34"/>
    <w:rsid w:val="00367D14"/>
    <w:rsid w:val="00367DB7"/>
    <w:rsid w:val="0037017D"/>
    <w:rsid w:val="00370248"/>
    <w:rsid w:val="00370442"/>
    <w:rsid w:val="00370F40"/>
    <w:rsid w:val="00370FE0"/>
    <w:rsid w:val="00371080"/>
    <w:rsid w:val="0037122A"/>
    <w:rsid w:val="00371333"/>
    <w:rsid w:val="003717CE"/>
    <w:rsid w:val="00371A51"/>
    <w:rsid w:val="003720B6"/>
    <w:rsid w:val="00372B2D"/>
    <w:rsid w:val="00372B89"/>
    <w:rsid w:val="003734EB"/>
    <w:rsid w:val="003737CB"/>
    <w:rsid w:val="00373A39"/>
    <w:rsid w:val="00373E99"/>
    <w:rsid w:val="00373F6D"/>
    <w:rsid w:val="00374777"/>
    <w:rsid w:val="00374BA1"/>
    <w:rsid w:val="00374DC1"/>
    <w:rsid w:val="003751E8"/>
    <w:rsid w:val="003751EB"/>
    <w:rsid w:val="00375942"/>
    <w:rsid w:val="00375EEE"/>
    <w:rsid w:val="00375FA3"/>
    <w:rsid w:val="003762ED"/>
    <w:rsid w:val="00376502"/>
    <w:rsid w:val="003769BD"/>
    <w:rsid w:val="00376B03"/>
    <w:rsid w:val="00376B8C"/>
    <w:rsid w:val="00376FCE"/>
    <w:rsid w:val="00377408"/>
    <w:rsid w:val="003774E3"/>
    <w:rsid w:val="00377A96"/>
    <w:rsid w:val="00377E23"/>
    <w:rsid w:val="00377F24"/>
    <w:rsid w:val="003807B2"/>
    <w:rsid w:val="0038083A"/>
    <w:rsid w:val="00380D8D"/>
    <w:rsid w:val="0038196F"/>
    <w:rsid w:val="00382738"/>
    <w:rsid w:val="00382E67"/>
    <w:rsid w:val="003830F5"/>
    <w:rsid w:val="00383136"/>
    <w:rsid w:val="00383485"/>
    <w:rsid w:val="0038362E"/>
    <w:rsid w:val="003837D2"/>
    <w:rsid w:val="00383CC6"/>
    <w:rsid w:val="0038419C"/>
    <w:rsid w:val="00384323"/>
    <w:rsid w:val="00384935"/>
    <w:rsid w:val="00384C45"/>
    <w:rsid w:val="003850D9"/>
    <w:rsid w:val="00385C5D"/>
    <w:rsid w:val="00385E98"/>
    <w:rsid w:val="0038606D"/>
    <w:rsid w:val="00386192"/>
    <w:rsid w:val="00386BEE"/>
    <w:rsid w:val="00386F1B"/>
    <w:rsid w:val="00387617"/>
    <w:rsid w:val="00387BFD"/>
    <w:rsid w:val="00387D06"/>
    <w:rsid w:val="0039002D"/>
    <w:rsid w:val="00390072"/>
    <w:rsid w:val="00390190"/>
    <w:rsid w:val="00390587"/>
    <w:rsid w:val="003905E1"/>
    <w:rsid w:val="003906E2"/>
    <w:rsid w:val="003909C2"/>
    <w:rsid w:val="00390AA5"/>
    <w:rsid w:val="00390FB4"/>
    <w:rsid w:val="00391088"/>
    <w:rsid w:val="00391343"/>
    <w:rsid w:val="0039136A"/>
    <w:rsid w:val="003913C9"/>
    <w:rsid w:val="0039201A"/>
    <w:rsid w:val="0039208E"/>
    <w:rsid w:val="00392603"/>
    <w:rsid w:val="003929AB"/>
    <w:rsid w:val="00392BA5"/>
    <w:rsid w:val="0039301D"/>
    <w:rsid w:val="0039312C"/>
    <w:rsid w:val="00393722"/>
    <w:rsid w:val="00393C89"/>
    <w:rsid w:val="003941B0"/>
    <w:rsid w:val="003944C3"/>
    <w:rsid w:val="00394942"/>
    <w:rsid w:val="0039508C"/>
    <w:rsid w:val="00395828"/>
    <w:rsid w:val="00395AF5"/>
    <w:rsid w:val="00395AF8"/>
    <w:rsid w:val="003962B8"/>
    <w:rsid w:val="0039648B"/>
    <w:rsid w:val="00396513"/>
    <w:rsid w:val="00396A77"/>
    <w:rsid w:val="00396AE5"/>
    <w:rsid w:val="00396BF0"/>
    <w:rsid w:val="00397606"/>
    <w:rsid w:val="00397F8A"/>
    <w:rsid w:val="003A06B0"/>
    <w:rsid w:val="003A0A60"/>
    <w:rsid w:val="003A0C8A"/>
    <w:rsid w:val="003A0F4B"/>
    <w:rsid w:val="003A1582"/>
    <w:rsid w:val="003A1EEC"/>
    <w:rsid w:val="003A21E3"/>
    <w:rsid w:val="003A2232"/>
    <w:rsid w:val="003A2ABA"/>
    <w:rsid w:val="003A2BB5"/>
    <w:rsid w:val="003A3393"/>
    <w:rsid w:val="003A35E9"/>
    <w:rsid w:val="003A3E9D"/>
    <w:rsid w:val="003A3EE8"/>
    <w:rsid w:val="003A4232"/>
    <w:rsid w:val="003A4C40"/>
    <w:rsid w:val="003A4DAE"/>
    <w:rsid w:val="003A4E15"/>
    <w:rsid w:val="003A55C8"/>
    <w:rsid w:val="003A5695"/>
    <w:rsid w:val="003A5A69"/>
    <w:rsid w:val="003A6332"/>
    <w:rsid w:val="003A6496"/>
    <w:rsid w:val="003A678C"/>
    <w:rsid w:val="003A69E8"/>
    <w:rsid w:val="003A6BCF"/>
    <w:rsid w:val="003A6C67"/>
    <w:rsid w:val="003A7449"/>
    <w:rsid w:val="003A7647"/>
    <w:rsid w:val="003A76FD"/>
    <w:rsid w:val="003A793B"/>
    <w:rsid w:val="003A795D"/>
    <w:rsid w:val="003B029C"/>
    <w:rsid w:val="003B02CA"/>
    <w:rsid w:val="003B0572"/>
    <w:rsid w:val="003B0A6E"/>
    <w:rsid w:val="003B0CAB"/>
    <w:rsid w:val="003B0F0F"/>
    <w:rsid w:val="003B1122"/>
    <w:rsid w:val="003B11A5"/>
    <w:rsid w:val="003B11C5"/>
    <w:rsid w:val="003B12D8"/>
    <w:rsid w:val="003B13B1"/>
    <w:rsid w:val="003B15BC"/>
    <w:rsid w:val="003B1A1B"/>
    <w:rsid w:val="003B2264"/>
    <w:rsid w:val="003B2538"/>
    <w:rsid w:val="003B28F8"/>
    <w:rsid w:val="003B294E"/>
    <w:rsid w:val="003B31DA"/>
    <w:rsid w:val="003B3C92"/>
    <w:rsid w:val="003B3EEA"/>
    <w:rsid w:val="003B4044"/>
    <w:rsid w:val="003B438D"/>
    <w:rsid w:val="003B49CD"/>
    <w:rsid w:val="003B4E63"/>
    <w:rsid w:val="003B5290"/>
    <w:rsid w:val="003B52B0"/>
    <w:rsid w:val="003B5495"/>
    <w:rsid w:val="003B5DAC"/>
    <w:rsid w:val="003B60C5"/>
    <w:rsid w:val="003B6171"/>
    <w:rsid w:val="003B6182"/>
    <w:rsid w:val="003B64B1"/>
    <w:rsid w:val="003B6548"/>
    <w:rsid w:val="003B685D"/>
    <w:rsid w:val="003B69A5"/>
    <w:rsid w:val="003B6A15"/>
    <w:rsid w:val="003B6D66"/>
    <w:rsid w:val="003B6E3C"/>
    <w:rsid w:val="003B7F08"/>
    <w:rsid w:val="003C0391"/>
    <w:rsid w:val="003C04D3"/>
    <w:rsid w:val="003C0526"/>
    <w:rsid w:val="003C0A4F"/>
    <w:rsid w:val="003C0CE0"/>
    <w:rsid w:val="003C143D"/>
    <w:rsid w:val="003C16EE"/>
    <w:rsid w:val="003C1D3C"/>
    <w:rsid w:val="003C22D6"/>
    <w:rsid w:val="003C27EA"/>
    <w:rsid w:val="003C2E22"/>
    <w:rsid w:val="003C30B4"/>
    <w:rsid w:val="003C30EE"/>
    <w:rsid w:val="003C3710"/>
    <w:rsid w:val="003C3722"/>
    <w:rsid w:val="003C38B8"/>
    <w:rsid w:val="003C3AFE"/>
    <w:rsid w:val="003C3CA8"/>
    <w:rsid w:val="003C3F5A"/>
    <w:rsid w:val="003C3F6A"/>
    <w:rsid w:val="003C42D4"/>
    <w:rsid w:val="003C4860"/>
    <w:rsid w:val="003C4E81"/>
    <w:rsid w:val="003C52F5"/>
    <w:rsid w:val="003C585A"/>
    <w:rsid w:val="003C6223"/>
    <w:rsid w:val="003C7271"/>
    <w:rsid w:val="003C7468"/>
    <w:rsid w:val="003C7DF8"/>
    <w:rsid w:val="003D0306"/>
    <w:rsid w:val="003D0546"/>
    <w:rsid w:val="003D063D"/>
    <w:rsid w:val="003D09B6"/>
    <w:rsid w:val="003D0BD8"/>
    <w:rsid w:val="003D0DBA"/>
    <w:rsid w:val="003D18BA"/>
    <w:rsid w:val="003D1DBA"/>
    <w:rsid w:val="003D1DFD"/>
    <w:rsid w:val="003D2182"/>
    <w:rsid w:val="003D23CB"/>
    <w:rsid w:val="003D2A27"/>
    <w:rsid w:val="003D2CA4"/>
    <w:rsid w:val="003D357B"/>
    <w:rsid w:val="003D3592"/>
    <w:rsid w:val="003D372F"/>
    <w:rsid w:val="003D3A67"/>
    <w:rsid w:val="003D3B98"/>
    <w:rsid w:val="003D3C2B"/>
    <w:rsid w:val="003D42DB"/>
    <w:rsid w:val="003D4393"/>
    <w:rsid w:val="003D4743"/>
    <w:rsid w:val="003D4CF4"/>
    <w:rsid w:val="003D5AF9"/>
    <w:rsid w:val="003D689C"/>
    <w:rsid w:val="003D6D39"/>
    <w:rsid w:val="003D7B25"/>
    <w:rsid w:val="003D7C80"/>
    <w:rsid w:val="003E0001"/>
    <w:rsid w:val="003E01C2"/>
    <w:rsid w:val="003E036E"/>
    <w:rsid w:val="003E066B"/>
    <w:rsid w:val="003E06E0"/>
    <w:rsid w:val="003E0810"/>
    <w:rsid w:val="003E0ACC"/>
    <w:rsid w:val="003E0E08"/>
    <w:rsid w:val="003E109D"/>
    <w:rsid w:val="003E1807"/>
    <w:rsid w:val="003E1968"/>
    <w:rsid w:val="003E1DE9"/>
    <w:rsid w:val="003E230B"/>
    <w:rsid w:val="003E2520"/>
    <w:rsid w:val="003E3329"/>
    <w:rsid w:val="003E338E"/>
    <w:rsid w:val="003E35E5"/>
    <w:rsid w:val="003E365C"/>
    <w:rsid w:val="003E39C3"/>
    <w:rsid w:val="003E3B24"/>
    <w:rsid w:val="003E406D"/>
    <w:rsid w:val="003E432A"/>
    <w:rsid w:val="003E4349"/>
    <w:rsid w:val="003E47E3"/>
    <w:rsid w:val="003E4A83"/>
    <w:rsid w:val="003E4F0D"/>
    <w:rsid w:val="003E51A2"/>
    <w:rsid w:val="003E5357"/>
    <w:rsid w:val="003E5D64"/>
    <w:rsid w:val="003E5EE2"/>
    <w:rsid w:val="003E6119"/>
    <w:rsid w:val="003E6144"/>
    <w:rsid w:val="003E6382"/>
    <w:rsid w:val="003E674C"/>
    <w:rsid w:val="003E7657"/>
    <w:rsid w:val="003E7B35"/>
    <w:rsid w:val="003E7E0C"/>
    <w:rsid w:val="003F0094"/>
    <w:rsid w:val="003F05E9"/>
    <w:rsid w:val="003F06D1"/>
    <w:rsid w:val="003F06F1"/>
    <w:rsid w:val="003F09AC"/>
    <w:rsid w:val="003F0BFD"/>
    <w:rsid w:val="003F116F"/>
    <w:rsid w:val="003F1937"/>
    <w:rsid w:val="003F196A"/>
    <w:rsid w:val="003F19E1"/>
    <w:rsid w:val="003F1DA3"/>
    <w:rsid w:val="003F2205"/>
    <w:rsid w:val="003F233F"/>
    <w:rsid w:val="003F2ACC"/>
    <w:rsid w:val="003F2CCE"/>
    <w:rsid w:val="003F3233"/>
    <w:rsid w:val="003F325F"/>
    <w:rsid w:val="003F3423"/>
    <w:rsid w:val="003F39D7"/>
    <w:rsid w:val="003F3C42"/>
    <w:rsid w:val="003F4563"/>
    <w:rsid w:val="003F4910"/>
    <w:rsid w:val="003F4950"/>
    <w:rsid w:val="003F4A3B"/>
    <w:rsid w:val="003F4ADA"/>
    <w:rsid w:val="003F4C62"/>
    <w:rsid w:val="003F4ED8"/>
    <w:rsid w:val="003F5033"/>
    <w:rsid w:val="003F53F6"/>
    <w:rsid w:val="003F5894"/>
    <w:rsid w:val="003F6131"/>
    <w:rsid w:val="003F6368"/>
    <w:rsid w:val="003F63FD"/>
    <w:rsid w:val="003F6FBD"/>
    <w:rsid w:val="003F72B1"/>
    <w:rsid w:val="003F747D"/>
    <w:rsid w:val="003F7543"/>
    <w:rsid w:val="003F78D5"/>
    <w:rsid w:val="003F79F5"/>
    <w:rsid w:val="0040046D"/>
    <w:rsid w:val="0040055B"/>
    <w:rsid w:val="00400610"/>
    <w:rsid w:val="00400C05"/>
    <w:rsid w:val="00400C48"/>
    <w:rsid w:val="004012E6"/>
    <w:rsid w:val="00401976"/>
    <w:rsid w:val="00401D1B"/>
    <w:rsid w:val="00402117"/>
    <w:rsid w:val="0040265E"/>
    <w:rsid w:val="00402791"/>
    <w:rsid w:val="00403073"/>
    <w:rsid w:val="0040355F"/>
    <w:rsid w:val="0040382A"/>
    <w:rsid w:val="00403A9D"/>
    <w:rsid w:val="00403D85"/>
    <w:rsid w:val="00404AE4"/>
    <w:rsid w:val="00404F00"/>
    <w:rsid w:val="004058C0"/>
    <w:rsid w:val="004058D0"/>
    <w:rsid w:val="00405EC5"/>
    <w:rsid w:val="00406189"/>
    <w:rsid w:val="004062F2"/>
    <w:rsid w:val="0040775A"/>
    <w:rsid w:val="00407C57"/>
    <w:rsid w:val="00410A2D"/>
    <w:rsid w:val="00410D51"/>
    <w:rsid w:val="00410ED6"/>
    <w:rsid w:val="004111AD"/>
    <w:rsid w:val="004114CC"/>
    <w:rsid w:val="00411699"/>
    <w:rsid w:val="00411965"/>
    <w:rsid w:val="004127C5"/>
    <w:rsid w:val="00412C12"/>
    <w:rsid w:val="00412CC8"/>
    <w:rsid w:val="00412F53"/>
    <w:rsid w:val="00412F5C"/>
    <w:rsid w:val="00413C34"/>
    <w:rsid w:val="00413E62"/>
    <w:rsid w:val="00414457"/>
    <w:rsid w:val="00414824"/>
    <w:rsid w:val="00414F48"/>
    <w:rsid w:val="0041563D"/>
    <w:rsid w:val="0041573B"/>
    <w:rsid w:val="0041573E"/>
    <w:rsid w:val="0041588F"/>
    <w:rsid w:val="00415978"/>
    <w:rsid w:val="00415B7E"/>
    <w:rsid w:val="00416601"/>
    <w:rsid w:val="004166F7"/>
    <w:rsid w:val="00417062"/>
    <w:rsid w:val="004176F2"/>
    <w:rsid w:val="00417D13"/>
    <w:rsid w:val="00417E9E"/>
    <w:rsid w:val="00417F03"/>
    <w:rsid w:val="00420459"/>
    <w:rsid w:val="00420635"/>
    <w:rsid w:val="004209FB"/>
    <w:rsid w:val="00420AF3"/>
    <w:rsid w:val="004218CE"/>
    <w:rsid w:val="004227C1"/>
    <w:rsid w:val="004234DA"/>
    <w:rsid w:val="00424222"/>
    <w:rsid w:val="004242AC"/>
    <w:rsid w:val="004246CB"/>
    <w:rsid w:val="00424AE8"/>
    <w:rsid w:val="0042562D"/>
    <w:rsid w:val="0042568D"/>
    <w:rsid w:val="00425D09"/>
    <w:rsid w:val="00425D12"/>
    <w:rsid w:val="00425E2E"/>
    <w:rsid w:val="00425FE9"/>
    <w:rsid w:val="00426200"/>
    <w:rsid w:val="004264B9"/>
    <w:rsid w:val="00426B23"/>
    <w:rsid w:val="00427041"/>
    <w:rsid w:val="004275B5"/>
    <w:rsid w:val="004275F6"/>
    <w:rsid w:val="0042763C"/>
    <w:rsid w:val="004279F3"/>
    <w:rsid w:val="00427BA1"/>
    <w:rsid w:val="00427F96"/>
    <w:rsid w:val="00430645"/>
    <w:rsid w:val="00430669"/>
    <w:rsid w:val="004306DD"/>
    <w:rsid w:val="004309D7"/>
    <w:rsid w:val="00430CA5"/>
    <w:rsid w:val="00430F1A"/>
    <w:rsid w:val="00431774"/>
    <w:rsid w:val="00431AAD"/>
    <w:rsid w:val="00432704"/>
    <w:rsid w:val="00433156"/>
    <w:rsid w:val="00433317"/>
    <w:rsid w:val="00433FFF"/>
    <w:rsid w:val="0043464E"/>
    <w:rsid w:val="004351C7"/>
    <w:rsid w:val="00435645"/>
    <w:rsid w:val="004357B3"/>
    <w:rsid w:val="00435BE5"/>
    <w:rsid w:val="00435F79"/>
    <w:rsid w:val="00436DF1"/>
    <w:rsid w:val="00437447"/>
    <w:rsid w:val="00437824"/>
    <w:rsid w:val="004379A3"/>
    <w:rsid w:val="004400BC"/>
    <w:rsid w:val="0044018D"/>
    <w:rsid w:val="00440632"/>
    <w:rsid w:val="004417CC"/>
    <w:rsid w:val="00441F51"/>
    <w:rsid w:val="00442B16"/>
    <w:rsid w:val="00442B74"/>
    <w:rsid w:val="0044366E"/>
    <w:rsid w:val="00443BFE"/>
    <w:rsid w:val="00443FE6"/>
    <w:rsid w:val="004442D1"/>
    <w:rsid w:val="00444462"/>
    <w:rsid w:val="004445E1"/>
    <w:rsid w:val="004449F9"/>
    <w:rsid w:val="00444E8B"/>
    <w:rsid w:val="00444F5C"/>
    <w:rsid w:val="0044559E"/>
    <w:rsid w:val="004459E0"/>
    <w:rsid w:val="00445C8C"/>
    <w:rsid w:val="00445D67"/>
    <w:rsid w:val="00445EAC"/>
    <w:rsid w:val="00446307"/>
    <w:rsid w:val="00446354"/>
    <w:rsid w:val="0044651A"/>
    <w:rsid w:val="004466D1"/>
    <w:rsid w:val="004467AC"/>
    <w:rsid w:val="004473DE"/>
    <w:rsid w:val="00447B3B"/>
    <w:rsid w:val="004500E8"/>
    <w:rsid w:val="004501AC"/>
    <w:rsid w:val="004501F4"/>
    <w:rsid w:val="00450294"/>
    <w:rsid w:val="0045038A"/>
    <w:rsid w:val="00450438"/>
    <w:rsid w:val="004509EA"/>
    <w:rsid w:val="00450F0B"/>
    <w:rsid w:val="00451747"/>
    <w:rsid w:val="004519CF"/>
    <w:rsid w:val="00451D8B"/>
    <w:rsid w:val="00451F78"/>
    <w:rsid w:val="00452098"/>
    <w:rsid w:val="004520B3"/>
    <w:rsid w:val="004522C8"/>
    <w:rsid w:val="0045389E"/>
    <w:rsid w:val="004540F1"/>
    <w:rsid w:val="004548B9"/>
    <w:rsid w:val="004548D1"/>
    <w:rsid w:val="00454B75"/>
    <w:rsid w:val="00455034"/>
    <w:rsid w:val="00455108"/>
    <w:rsid w:val="00455C19"/>
    <w:rsid w:val="0045626F"/>
    <w:rsid w:val="00456ED8"/>
    <w:rsid w:val="0045708A"/>
    <w:rsid w:val="004575C2"/>
    <w:rsid w:val="00457BC5"/>
    <w:rsid w:val="00457BED"/>
    <w:rsid w:val="00460156"/>
    <w:rsid w:val="00460282"/>
    <w:rsid w:val="0046033B"/>
    <w:rsid w:val="004608F6"/>
    <w:rsid w:val="004609BF"/>
    <w:rsid w:val="004616EE"/>
    <w:rsid w:val="00461E42"/>
    <w:rsid w:val="00462383"/>
    <w:rsid w:val="004623D8"/>
    <w:rsid w:val="00462951"/>
    <w:rsid w:val="00462EF3"/>
    <w:rsid w:val="004631DD"/>
    <w:rsid w:val="004637FF"/>
    <w:rsid w:val="00463CC1"/>
    <w:rsid w:val="004644D9"/>
    <w:rsid w:val="004652D4"/>
    <w:rsid w:val="004656F1"/>
    <w:rsid w:val="00465842"/>
    <w:rsid w:val="004662F3"/>
    <w:rsid w:val="00466E47"/>
    <w:rsid w:val="00467225"/>
    <w:rsid w:val="0046744A"/>
    <w:rsid w:val="00467464"/>
    <w:rsid w:val="004674B5"/>
    <w:rsid w:val="004674CD"/>
    <w:rsid w:val="00467658"/>
    <w:rsid w:val="00467CED"/>
    <w:rsid w:val="00467D62"/>
    <w:rsid w:val="00470136"/>
    <w:rsid w:val="004705D2"/>
    <w:rsid w:val="00471098"/>
    <w:rsid w:val="00471A5A"/>
    <w:rsid w:val="00471AE8"/>
    <w:rsid w:val="00471BCE"/>
    <w:rsid w:val="00471D27"/>
    <w:rsid w:val="00472CD7"/>
    <w:rsid w:val="00472D31"/>
    <w:rsid w:val="004736A7"/>
    <w:rsid w:val="00473719"/>
    <w:rsid w:val="004738D1"/>
    <w:rsid w:val="00474A6E"/>
    <w:rsid w:val="00474CE7"/>
    <w:rsid w:val="00475052"/>
    <w:rsid w:val="00475260"/>
    <w:rsid w:val="0047549A"/>
    <w:rsid w:val="00475B5A"/>
    <w:rsid w:val="00475B80"/>
    <w:rsid w:val="00475F1A"/>
    <w:rsid w:val="0047651F"/>
    <w:rsid w:val="00476B0E"/>
    <w:rsid w:val="00476BB0"/>
    <w:rsid w:val="00476E5F"/>
    <w:rsid w:val="00476E6B"/>
    <w:rsid w:val="0047747C"/>
    <w:rsid w:val="00477FA3"/>
    <w:rsid w:val="00480514"/>
    <w:rsid w:val="00480A77"/>
    <w:rsid w:val="00480A95"/>
    <w:rsid w:val="00480FC3"/>
    <w:rsid w:val="004810F0"/>
    <w:rsid w:val="00481584"/>
    <w:rsid w:val="004820B1"/>
    <w:rsid w:val="0048214C"/>
    <w:rsid w:val="00482506"/>
    <w:rsid w:val="0048262C"/>
    <w:rsid w:val="00482698"/>
    <w:rsid w:val="004829B2"/>
    <w:rsid w:val="00482A20"/>
    <w:rsid w:val="00482BD1"/>
    <w:rsid w:val="00483135"/>
    <w:rsid w:val="004833FB"/>
    <w:rsid w:val="0048348A"/>
    <w:rsid w:val="00484324"/>
    <w:rsid w:val="00484651"/>
    <w:rsid w:val="004849D2"/>
    <w:rsid w:val="00485158"/>
    <w:rsid w:val="0048520D"/>
    <w:rsid w:val="00485636"/>
    <w:rsid w:val="00485978"/>
    <w:rsid w:val="004864E1"/>
    <w:rsid w:val="00486FAA"/>
    <w:rsid w:val="00487063"/>
    <w:rsid w:val="004872B1"/>
    <w:rsid w:val="00487369"/>
    <w:rsid w:val="0048766F"/>
    <w:rsid w:val="00487889"/>
    <w:rsid w:val="00487A70"/>
    <w:rsid w:val="0049025F"/>
    <w:rsid w:val="0049060F"/>
    <w:rsid w:val="00490668"/>
    <w:rsid w:val="0049073F"/>
    <w:rsid w:val="00491128"/>
    <w:rsid w:val="00491B6A"/>
    <w:rsid w:val="00491E8F"/>
    <w:rsid w:val="00491E98"/>
    <w:rsid w:val="0049228B"/>
    <w:rsid w:val="0049234D"/>
    <w:rsid w:val="0049282D"/>
    <w:rsid w:val="00492C8E"/>
    <w:rsid w:val="00492F7D"/>
    <w:rsid w:val="00493A8D"/>
    <w:rsid w:val="00493D20"/>
    <w:rsid w:val="00493EBC"/>
    <w:rsid w:val="00493F4D"/>
    <w:rsid w:val="004945F4"/>
    <w:rsid w:val="004947CC"/>
    <w:rsid w:val="00494B6D"/>
    <w:rsid w:val="00494BCF"/>
    <w:rsid w:val="00494C05"/>
    <w:rsid w:val="00494F68"/>
    <w:rsid w:val="004950A4"/>
    <w:rsid w:val="004955C4"/>
    <w:rsid w:val="004955E3"/>
    <w:rsid w:val="0049577D"/>
    <w:rsid w:val="00495A4A"/>
    <w:rsid w:val="004960CC"/>
    <w:rsid w:val="004965CF"/>
    <w:rsid w:val="00496D33"/>
    <w:rsid w:val="00496D72"/>
    <w:rsid w:val="00496FD3"/>
    <w:rsid w:val="004979F6"/>
    <w:rsid w:val="00497CE4"/>
    <w:rsid w:val="00497D80"/>
    <w:rsid w:val="004A03B9"/>
    <w:rsid w:val="004A06C9"/>
    <w:rsid w:val="004A094E"/>
    <w:rsid w:val="004A0D6F"/>
    <w:rsid w:val="004A0DA2"/>
    <w:rsid w:val="004A14C1"/>
    <w:rsid w:val="004A163D"/>
    <w:rsid w:val="004A1B25"/>
    <w:rsid w:val="004A2133"/>
    <w:rsid w:val="004A2230"/>
    <w:rsid w:val="004A2D08"/>
    <w:rsid w:val="004A2D4F"/>
    <w:rsid w:val="004A2F17"/>
    <w:rsid w:val="004A35C9"/>
    <w:rsid w:val="004A3E1A"/>
    <w:rsid w:val="004A4085"/>
    <w:rsid w:val="004A43E6"/>
    <w:rsid w:val="004A461C"/>
    <w:rsid w:val="004A4743"/>
    <w:rsid w:val="004A487F"/>
    <w:rsid w:val="004A521E"/>
    <w:rsid w:val="004A5A18"/>
    <w:rsid w:val="004A5E4E"/>
    <w:rsid w:val="004A5EFC"/>
    <w:rsid w:val="004A605F"/>
    <w:rsid w:val="004A6070"/>
    <w:rsid w:val="004A6532"/>
    <w:rsid w:val="004A66C4"/>
    <w:rsid w:val="004A69BF"/>
    <w:rsid w:val="004A6B06"/>
    <w:rsid w:val="004A72BC"/>
    <w:rsid w:val="004B1218"/>
    <w:rsid w:val="004B1462"/>
    <w:rsid w:val="004B28A6"/>
    <w:rsid w:val="004B2B31"/>
    <w:rsid w:val="004B2C72"/>
    <w:rsid w:val="004B2CB3"/>
    <w:rsid w:val="004B31EE"/>
    <w:rsid w:val="004B332D"/>
    <w:rsid w:val="004B3896"/>
    <w:rsid w:val="004B38F2"/>
    <w:rsid w:val="004B3A41"/>
    <w:rsid w:val="004B3D77"/>
    <w:rsid w:val="004B4014"/>
    <w:rsid w:val="004B4868"/>
    <w:rsid w:val="004B49EE"/>
    <w:rsid w:val="004B4CB3"/>
    <w:rsid w:val="004B5C8F"/>
    <w:rsid w:val="004B5D07"/>
    <w:rsid w:val="004B622C"/>
    <w:rsid w:val="004B62CE"/>
    <w:rsid w:val="004B66B3"/>
    <w:rsid w:val="004B672F"/>
    <w:rsid w:val="004B6982"/>
    <w:rsid w:val="004B6C4F"/>
    <w:rsid w:val="004B706D"/>
    <w:rsid w:val="004B7308"/>
    <w:rsid w:val="004B77E7"/>
    <w:rsid w:val="004B7C83"/>
    <w:rsid w:val="004B7CD9"/>
    <w:rsid w:val="004B7DEF"/>
    <w:rsid w:val="004C011D"/>
    <w:rsid w:val="004C039D"/>
    <w:rsid w:val="004C03B2"/>
    <w:rsid w:val="004C04EC"/>
    <w:rsid w:val="004C0A69"/>
    <w:rsid w:val="004C0CBA"/>
    <w:rsid w:val="004C0D75"/>
    <w:rsid w:val="004C1855"/>
    <w:rsid w:val="004C189B"/>
    <w:rsid w:val="004C2011"/>
    <w:rsid w:val="004C280C"/>
    <w:rsid w:val="004C2E05"/>
    <w:rsid w:val="004C3380"/>
    <w:rsid w:val="004C361C"/>
    <w:rsid w:val="004C4374"/>
    <w:rsid w:val="004C43CA"/>
    <w:rsid w:val="004C4415"/>
    <w:rsid w:val="004C48D9"/>
    <w:rsid w:val="004C4A17"/>
    <w:rsid w:val="004C4D80"/>
    <w:rsid w:val="004C5C10"/>
    <w:rsid w:val="004C5D50"/>
    <w:rsid w:val="004C6570"/>
    <w:rsid w:val="004C658C"/>
    <w:rsid w:val="004C6C15"/>
    <w:rsid w:val="004C6E02"/>
    <w:rsid w:val="004C6E29"/>
    <w:rsid w:val="004C7366"/>
    <w:rsid w:val="004C74B6"/>
    <w:rsid w:val="004C79C4"/>
    <w:rsid w:val="004D04D1"/>
    <w:rsid w:val="004D05F6"/>
    <w:rsid w:val="004D0B57"/>
    <w:rsid w:val="004D11B9"/>
    <w:rsid w:val="004D1201"/>
    <w:rsid w:val="004D1EEE"/>
    <w:rsid w:val="004D205E"/>
    <w:rsid w:val="004D20DF"/>
    <w:rsid w:val="004D2511"/>
    <w:rsid w:val="004D27EE"/>
    <w:rsid w:val="004D2964"/>
    <w:rsid w:val="004D2B4D"/>
    <w:rsid w:val="004D2BA6"/>
    <w:rsid w:val="004D3236"/>
    <w:rsid w:val="004D324F"/>
    <w:rsid w:val="004D36BB"/>
    <w:rsid w:val="004D398E"/>
    <w:rsid w:val="004D407C"/>
    <w:rsid w:val="004D4BB2"/>
    <w:rsid w:val="004D50DB"/>
    <w:rsid w:val="004D526B"/>
    <w:rsid w:val="004D5327"/>
    <w:rsid w:val="004D55C0"/>
    <w:rsid w:val="004D591E"/>
    <w:rsid w:val="004D5F44"/>
    <w:rsid w:val="004D605C"/>
    <w:rsid w:val="004D6188"/>
    <w:rsid w:val="004D6397"/>
    <w:rsid w:val="004D6629"/>
    <w:rsid w:val="004D6C17"/>
    <w:rsid w:val="004D6D78"/>
    <w:rsid w:val="004D7D3A"/>
    <w:rsid w:val="004D7D6B"/>
    <w:rsid w:val="004D7FA3"/>
    <w:rsid w:val="004D7FB7"/>
    <w:rsid w:val="004E07E0"/>
    <w:rsid w:val="004E1014"/>
    <w:rsid w:val="004E178D"/>
    <w:rsid w:val="004E2003"/>
    <w:rsid w:val="004E2132"/>
    <w:rsid w:val="004E2A8F"/>
    <w:rsid w:val="004E2E92"/>
    <w:rsid w:val="004E3469"/>
    <w:rsid w:val="004E3542"/>
    <w:rsid w:val="004E3EF2"/>
    <w:rsid w:val="004E432A"/>
    <w:rsid w:val="004E4615"/>
    <w:rsid w:val="004E4D48"/>
    <w:rsid w:val="004E5235"/>
    <w:rsid w:val="004E5523"/>
    <w:rsid w:val="004E59B1"/>
    <w:rsid w:val="004E5F47"/>
    <w:rsid w:val="004E6085"/>
    <w:rsid w:val="004E63C7"/>
    <w:rsid w:val="004E679F"/>
    <w:rsid w:val="004E67E1"/>
    <w:rsid w:val="004E6AE2"/>
    <w:rsid w:val="004E6DB0"/>
    <w:rsid w:val="004E74B3"/>
    <w:rsid w:val="004E77FF"/>
    <w:rsid w:val="004E7AAD"/>
    <w:rsid w:val="004E7F0A"/>
    <w:rsid w:val="004F00AC"/>
    <w:rsid w:val="004F012A"/>
    <w:rsid w:val="004F034D"/>
    <w:rsid w:val="004F0553"/>
    <w:rsid w:val="004F074B"/>
    <w:rsid w:val="004F08CA"/>
    <w:rsid w:val="004F0A15"/>
    <w:rsid w:val="004F1060"/>
    <w:rsid w:val="004F1662"/>
    <w:rsid w:val="004F1979"/>
    <w:rsid w:val="004F227E"/>
    <w:rsid w:val="004F28A5"/>
    <w:rsid w:val="004F2D67"/>
    <w:rsid w:val="004F307B"/>
    <w:rsid w:val="004F34A2"/>
    <w:rsid w:val="004F34E6"/>
    <w:rsid w:val="004F3516"/>
    <w:rsid w:val="004F35B3"/>
    <w:rsid w:val="004F37BD"/>
    <w:rsid w:val="004F3995"/>
    <w:rsid w:val="004F4132"/>
    <w:rsid w:val="004F458C"/>
    <w:rsid w:val="004F4CF0"/>
    <w:rsid w:val="004F5768"/>
    <w:rsid w:val="004F6465"/>
    <w:rsid w:val="004F6617"/>
    <w:rsid w:val="004F6C9C"/>
    <w:rsid w:val="004F6CAB"/>
    <w:rsid w:val="004F75A7"/>
    <w:rsid w:val="004F77E2"/>
    <w:rsid w:val="004F78F5"/>
    <w:rsid w:val="004F7A92"/>
    <w:rsid w:val="004F7D37"/>
    <w:rsid w:val="005005FB"/>
    <w:rsid w:val="00500767"/>
    <w:rsid w:val="005007BA"/>
    <w:rsid w:val="00500E22"/>
    <w:rsid w:val="0050111B"/>
    <w:rsid w:val="005018B5"/>
    <w:rsid w:val="0050199E"/>
    <w:rsid w:val="0050209F"/>
    <w:rsid w:val="00502113"/>
    <w:rsid w:val="00502623"/>
    <w:rsid w:val="005026C9"/>
    <w:rsid w:val="0050277A"/>
    <w:rsid w:val="00503189"/>
    <w:rsid w:val="0050371D"/>
    <w:rsid w:val="00503C94"/>
    <w:rsid w:val="005041A4"/>
    <w:rsid w:val="005042B9"/>
    <w:rsid w:val="00504B6C"/>
    <w:rsid w:val="00504B7D"/>
    <w:rsid w:val="00504E52"/>
    <w:rsid w:val="00504F0A"/>
    <w:rsid w:val="00506424"/>
    <w:rsid w:val="00506573"/>
    <w:rsid w:val="005067FD"/>
    <w:rsid w:val="0050692F"/>
    <w:rsid w:val="005069CF"/>
    <w:rsid w:val="0050773D"/>
    <w:rsid w:val="00507ED2"/>
    <w:rsid w:val="0051030F"/>
    <w:rsid w:val="00510794"/>
    <w:rsid w:val="00510960"/>
    <w:rsid w:val="0051213E"/>
    <w:rsid w:val="00512221"/>
    <w:rsid w:val="005122AE"/>
    <w:rsid w:val="005129ED"/>
    <w:rsid w:val="005133F1"/>
    <w:rsid w:val="00513F42"/>
    <w:rsid w:val="00514BE2"/>
    <w:rsid w:val="005150D9"/>
    <w:rsid w:val="00515604"/>
    <w:rsid w:val="005162DF"/>
    <w:rsid w:val="00516B21"/>
    <w:rsid w:val="00516CEF"/>
    <w:rsid w:val="00516DC2"/>
    <w:rsid w:val="00517025"/>
    <w:rsid w:val="00517787"/>
    <w:rsid w:val="0051797D"/>
    <w:rsid w:val="00517BCE"/>
    <w:rsid w:val="00517CD4"/>
    <w:rsid w:val="00517D84"/>
    <w:rsid w:val="005203A7"/>
    <w:rsid w:val="00520C8C"/>
    <w:rsid w:val="00520F27"/>
    <w:rsid w:val="00521AAC"/>
    <w:rsid w:val="00521DED"/>
    <w:rsid w:val="00521FC8"/>
    <w:rsid w:val="0052252E"/>
    <w:rsid w:val="00522847"/>
    <w:rsid w:val="00523552"/>
    <w:rsid w:val="0052386E"/>
    <w:rsid w:val="00523926"/>
    <w:rsid w:val="00523C8A"/>
    <w:rsid w:val="00523CFD"/>
    <w:rsid w:val="005241C4"/>
    <w:rsid w:val="005242F7"/>
    <w:rsid w:val="00524533"/>
    <w:rsid w:val="00524DDE"/>
    <w:rsid w:val="00525266"/>
    <w:rsid w:val="005257A2"/>
    <w:rsid w:val="00525BFE"/>
    <w:rsid w:val="00526675"/>
    <w:rsid w:val="005268A7"/>
    <w:rsid w:val="00526A40"/>
    <w:rsid w:val="00526BAC"/>
    <w:rsid w:val="00526F0B"/>
    <w:rsid w:val="00527364"/>
    <w:rsid w:val="00527864"/>
    <w:rsid w:val="00527BB3"/>
    <w:rsid w:val="00527D7C"/>
    <w:rsid w:val="00527DF5"/>
    <w:rsid w:val="00527F4D"/>
    <w:rsid w:val="00530142"/>
    <w:rsid w:val="005301F7"/>
    <w:rsid w:val="00531A8D"/>
    <w:rsid w:val="005320D6"/>
    <w:rsid w:val="0053291B"/>
    <w:rsid w:val="00532D3A"/>
    <w:rsid w:val="00532DD7"/>
    <w:rsid w:val="00532F42"/>
    <w:rsid w:val="005330BF"/>
    <w:rsid w:val="005330DE"/>
    <w:rsid w:val="0053315A"/>
    <w:rsid w:val="00533198"/>
    <w:rsid w:val="005331AD"/>
    <w:rsid w:val="005338A3"/>
    <w:rsid w:val="00533C43"/>
    <w:rsid w:val="005342B9"/>
    <w:rsid w:val="005347E7"/>
    <w:rsid w:val="00534E46"/>
    <w:rsid w:val="0053564E"/>
    <w:rsid w:val="005357EC"/>
    <w:rsid w:val="00535BB3"/>
    <w:rsid w:val="00535D98"/>
    <w:rsid w:val="00535DAE"/>
    <w:rsid w:val="00536412"/>
    <w:rsid w:val="005365F5"/>
    <w:rsid w:val="0053701F"/>
    <w:rsid w:val="005379A7"/>
    <w:rsid w:val="00537D60"/>
    <w:rsid w:val="00537E2F"/>
    <w:rsid w:val="00540BA0"/>
    <w:rsid w:val="005411B7"/>
    <w:rsid w:val="0054146A"/>
    <w:rsid w:val="00541E31"/>
    <w:rsid w:val="00542586"/>
    <w:rsid w:val="005426A9"/>
    <w:rsid w:val="00542951"/>
    <w:rsid w:val="00542D2C"/>
    <w:rsid w:val="00543169"/>
    <w:rsid w:val="005431BA"/>
    <w:rsid w:val="00543541"/>
    <w:rsid w:val="005435E4"/>
    <w:rsid w:val="005441B4"/>
    <w:rsid w:val="00544511"/>
    <w:rsid w:val="0054456B"/>
    <w:rsid w:val="00544761"/>
    <w:rsid w:val="00544832"/>
    <w:rsid w:val="00544951"/>
    <w:rsid w:val="00544A6B"/>
    <w:rsid w:val="00544FA1"/>
    <w:rsid w:val="00545509"/>
    <w:rsid w:val="0054569B"/>
    <w:rsid w:val="00545762"/>
    <w:rsid w:val="0054580B"/>
    <w:rsid w:val="00545C85"/>
    <w:rsid w:val="00545E18"/>
    <w:rsid w:val="005460A7"/>
    <w:rsid w:val="00546173"/>
    <w:rsid w:val="0054645D"/>
    <w:rsid w:val="005468D8"/>
    <w:rsid w:val="00546F24"/>
    <w:rsid w:val="0054711D"/>
    <w:rsid w:val="0054743A"/>
    <w:rsid w:val="0054793F"/>
    <w:rsid w:val="0054797E"/>
    <w:rsid w:val="00547DA8"/>
    <w:rsid w:val="0055010A"/>
    <w:rsid w:val="005505FC"/>
    <w:rsid w:val="00550605"/>
    <w:rsid w:val="005506B9"/>
    <w:rsid w:val="005507AA"/>
    <w:rsid w:val="005514DA"/>
    <w:rsid w:val="005518CC"/>
    <w:rsid w:val="0055195B"/>
    <w:rsid w:val="0055249F"/>
    <w:rsid w:val="00552C3C"/>
    <w:rsid w:val="00552D20"/>
    <w:rsid w:val="00552F25"/>
    <w:rsid w:val="00552F42"/>
    <w:rsid w:val="00553035"/>
    <w:rsid w:val="00553344"/>
    <w:rsid w:val="0055378C"/>
    <w:rsid w:val="00554573"/>
    <w:rsid w:val="0055485F"/>
    <w:rsid w:val="00554C63"/>
    <w:rsid w:val="00555100"/>
    <w:rsid w:val="005555FB"/>
    <w:rsid w:val="00556815"/>
    <w:rsid w:val="00556F37"/>
    <w:rsid w:val="00556F76"/>
    <w:rsid w:val="0055714E"/>
    <w:rsid w:val="005576CD"/>
    <w:rsid w:val="00557982"/>
    <w:rsid w:val="005579BA"/>
    <w:rsid w:val="00557AB3"/>
    <w:rsid w:val="00557E52"/>
    <w:rsid w:val="0056016B"/>
    <w:rsid w:val="005602AE"/>
    <w:rsid w:val="005604F5"/>
    <w:rsid w:val="005608BB"/>
    <w:rsid w:val="00560946"/>
    <w:rsid w:val="00560ACB"/>
    <w:rsid w:val="005616F9"/>
    <w:rsid w:val="00561F7F"/>
    <w:rsid w:val="00562518"/>
    <w:rsid w:val="005628AB"/>
    <w:rsid w:val="0056323D"/>
    <w:rsid w:val="0056351D"/>
    <w:rsid w:val="005635B3"/>
    <w:rsid w:val="0056396E"/>
    <w:rsid w:val="0056460E"/>
    <w:rsid w:val="00565210"/>
    <w:rsid w:val="005652FA"/>
    <w:rsid w:val="005658A4"/>
    <w:rsid w:val="00565BA7"/>
    <w:rsid w:val="005663AB"/>
    <w:rsid w:val="0056682F"/>
    <w:rsid w:val="00566A29"/>
    <w:rsid w:val="00566BA0"/>
    <w:rsid w:val="0056711E"/>
    <w:rsid w:val="0056731C"/>
    <w:rsid w:val="0056733A"/>
    <w:rsid w:val="005674E5"/>
    <w:rsid w:val="005675F7"/>
    <w:rsid w:val="00567AD5"/>
    <w:rsid w:val="00570BC4"/>
    <w:rsid w:val="00570D3B"/>
    <w:rsid w:val="00570FD0"/>
    <w:rsid w:val="00571044"/>
    <w:rsid w:val="005717B4"/>
    <w:rsid w:val="005719E4"/>
    <w:rsid w:val="00571B4B"/>
    <w:rsid w:val="00572064"/>
    <w:rsid w:val="00572350"/>
    <w:rsid w:val="00572A50"/>
    <w:rsid w:val="00572CE0"/>
    <w:rsid w:val="00573385"/>
    <w:rsid w:val="0057398B"/>
    <w:rsid w:val="00573BE2"/>
    <w:rsid w:val="00573CB3"/>
    <w:rsid w:val="00574056"/>
    <w:rsid w:val="00574132"/>
    <w:rsid w:val="005743A1"/>
    <w:rsid w:val="00574651"/>
    <w:rsid w:val="00574CD2"/>
    <w:rsid w:val="005751BB"/>
    <w:rsid w:val="005751D9"/>
    <w:rsid w:val="0057540E"/>
    <w:rsid w:val="005754C8"/>
    <w:rsid w:val="00575AAA"/>
    <w:rsid w:val="00575ED2"/>
    <w:rsid w:val="0057627F"/>
    <w:rsid w:val="00576500"/>
    <w:rsid w:val="00576C11"/>
    <w:rsid w:val="00576EA7"/>
    <w:rsid w:val="005773E5"/>
    <w:rsid w:val="00577CAA"/>
    <w:rsid w:val="00577CB2"/>
    <w:rsid w:val="00577E21"/>
    <w:rsid w:val="0058008C"/>
    <w:rsid w:val="005801AC"/>
    <w:rsid w:val="005803F9"/>
    <w:rsid w:val="00580AD2"/>
    <w:rsid w:val="00580BBF"/>
    <w:rsid w:val="00580C36"/>
    <w:rsid w:val="00580CF6"/>
    <w:rsid w:val="00580E5A"/>
    <w:rsid w:val="00581092"/>
    <w:rsid w:val="00581256"/>
    <w:rsid w:val="0058140B"/>
    <w:rsid w:val="005814E1"/>
    <w:rsid w:val="005814FF"/>
    <w:rsid w:val="00581CE2"/>
    <w:rsid w:val="00581E7B"/>
    <w:rsid w:val="00581E8F"/>
    <w:rsid w:val="00582213"/>
    <w:rsid w:val="00582275"/>
    <w:rsid w:val="00582743"/>
    <w:rsid w:val="00582BA0"/>
    <w:rsid w:val="00582DE2"/>
    <w:rsid w:val="00583309"/>
    <w:rsid w:val="00583641"/>
    <w:rsid w:val="0058397B"/>
    <w:rsid w:val="00583BC0"/>
    <w:rsid w:val="00583EA1"/>
    <w:rsid w:val="005843E2"/>
    <w:rsid w:val="005849D4"/>
    <w:rsid w:val="00584C2B"/>
    <w:rsid w:val="00584DB5"/>
    <w:rsid w:val="005850AF"/>
    <w:rsid w:val="0058542D"/>
    <w:rsid w:val="0058543A"/>
    <w:rsid w:val="00585DEE"/>
    <w:rsid w:val="00586110"/>
    <w:rsid w:val="00586253"/>
    <w:rsid w:val="005869F7"/>
    <w:rsid w:val="00586B64"/>
    <w:rsid w:val="00587580"/>
    <w:rsid w:val="00587A02"/>
    <w:rsid w:val="0059009B"/>
    <w:rsid w:val="00591330"/>
    <w:rsid w:val="0059199A"/>
    <w:rsid w:val="0059213B"/>
    <w:rsid w:val="00592575"/>
    <w:rsid w:val="00592B98"/>
    <w:rsid w:val="00592D39"/>
    <w:rsid w:val="00593483"/>
    <w:rsid w:val="005945B1"/>
    <w:rsid w:val="00594731"/>
    <w:rsid w:val="005949DD"/>
    <w:rsid w:val="00594EF5"/>
    <w:rsid w:val="005952D0"/>
    <w:rsid w:val="00595300"/>
    <w:rsid w:val="00595615"/>
    <w:rsid w:val="0059605B"/>
    <w:rsid w:val="005962AA"/>
    <w:rsid w:val="005965EF"/>
    <w:rsid w:val="00596854"/>
    <w:rsid w:val="00596C82"/>
    <w:rsid w:val="005970D4"/>
    <w:rsid w:val="00597E82"/>
    <w:rsid w:val="00597F2D"/>
    <w:rsid w:val="005A02D8"/>
    <w:rsid w:val="005A0447"/>
    <w:rsid w:val="005A0731"/>
    <w:rsid w:val="005A105B"/>
    <w:rsid w:val="005A11DB"/>
    <w:rsid w:val="005A1334"/>
    <w:rsid w:val="005A1A51"/>
    <w:rsid w:val="005A1EFB"/>
    <w:rsid w:val="005A2DEF"/>
    <w:rsid w:val="005A445B"/>
    <w:rsid w:val="005A45F7"/>
    <w:rsid w:val="005A476C"/>
    <w:rsid w:val="005A4849"/>
    <w:rsid w:val="005A4BA9"/>
    <w:rsid w:val="005A4F70"/>
    <w:rsid w:val="005A50E8"/>
    <w:rsid w:val="005A5A2D"/>
    <w:rsid w:val="005A5D8E"/>
    <w:rsid w:val="005A5EC5"/>
    <w:rsid w:val="005A6002"/>
    <w:rsid w:val="005A6286"/>
    <w:rsid w:val="005A6C31"/>
    <w:rsid w:val="005A711B"/>
    <w:rsid w:val="005B054F"/>
    <w:rsid w:val="005B0622"/>
    <w:rsid w:val="005B078F"/>
    <w:rsid w:val="005B07A5"/>
    <w:rsid w:val="005B0C37"/>
    <w:rsid w:val="005B114D"/>
    <w:rsid w:val="005B159E"/>
    <w:rsid w:val="005B241A"/>
    <w:rsid w:val="005B2551"/>
    <w:rsid w:val="005B2587"/>
    <w:rsid w:val="005B261B"/>
    <w:rsid w:val="005B29B6"/>
    <w:rsid w:val="005B2AFA"/>
    <w:rsid w:val="005B2D4C"/>
    <w:rsid w:val="005B2E05"/>
    <w:rsid w:val="005B2F8F"/>
    <w:rsid w:val="005B317B"/>
    <w:rsid w:val="005B3477"/>
    <w:rsid w:val="005B46D0"/>
    <w:rsid w:val="005B4C6D"/>
    <w:rsid w:val="005B5411"/>
    <w:rsid w:val="005B5FA4"/>
    <w:rsid w:val="005B61EE"/>
    <w:rsid w:val="005B6A48"/>
    <w:rsid w:val="005B6F61"/>
    <w:rsid w:val="005B716C"/>
    <w:rsid w:val="005B7A55"/>
    <w:rsid w:val="005B7DC3"/>
    <w:rsid w:val="005C0270"/>
    <w:rsid w:val="005C042A"/>
    <w:rsid w:val="005C05B3"/>
    <w:rsid w:val="005C0E2A"/>
    <w:rsid w:val="005C1443"/>
    <w:rsid w:val="005C165D"/>
    <w:rsid w:val="005C1D12"/>
    <w:rsid w:val="005C22B9"/>
    <w:rsid w:val="005C241F"/>
    <w:rsid w:val="005C2D4D"/>
    <w:rsid w:val="005C2F5F"/>
    <w:rsid w:val="005C2F73"/>
    <w:rsid w:val="005C3235"/>
    <w:rsid w:val="005C3D16"/>
    <w:rsid w:val="005C3FDD"/>
    <w:rsid w:val="005C4198"/>
    <w:rsid w:val="005C4295"/>
    <w:rsid w:val="005C42E3"/>
    <w:rsid w:val="005C5609"/>
    <w:rsid w:val="005C5CDF"/>
    <w:rsid w:val="005C5FF5"/>
    <w:rsid w:val="005C6853"/>
    <w:rsid w:val="005C726B"/>
    <w:rsid w:val="005C754A"/>
    <w:rsid w:val="005C765A"/>
    <w:rsid w:val="005C79F4"/>
    <w:rsid w:val="005C7B2F"/>
    <w:rsid w:val="005C7E40"/>
    <w:rsid w:val="005D017E"/>
    <w:rsid w:val="005D04DB"/>
    <w:rsid w:val="005D0765"/>
    <w:rsid w:val="005D099F"/>
    <w:rsid w:val="005D0A40"/>
    <w:rsid w:val="005D1189"/>
    <w:rsid w:val="005D1264"/>
    <w:rsid w:val="005D1FCB"/>
    <w:rsid w:val="005D2016"/>
    <w:rsid w:val="005D201D"/>
    <w:rsid w:val="005D281C"/>
    <w:rsid w:val="005D2CE2"/>
    <w:rsid w:val="005D2D7B"/>
    <w:rsid w:val="005D3060"/>
    <w:rsid w:val="005D3149"/>
    <w:rsid w:val="005D329E"/>
    <w:rsid w:val="005D3413"/>
    <w:rsid w:val="005D3426"/>
    <w:rsid w:val="005D348F"/>
    <w:rsid w:val="005D3E2D"/>
    <w:rsid w:val="005D41BE"/>
    <w:rsid w:val="005D42F3"/>
    <w:rsid w:val="005D4371"/>
    <w:rsid w:val="005D43C5"/>
    <w:rsid w:val="005D4402"/>
    <w:rsid w:val="005D46A2"/>
    <w:rsid w:val="005D48EF"/>
    <w:rsid w:val="005D4C61"/>
    <w:rsid w:val="005D4E2F"/>
    <w:rsid w:val="005D5472"/>
    <w:rsid w:val="005D5E4A"/>
    <w:rsid w:val="005D5EA9"/>
    <w:rsid w:val="005D6127"/>
    <w:rsid w:val="005D6464"/>
    <w:rsid w:val="005D64E4"/>
    <w:rsid w:val="005D68D7"/>
    <w:rsid w:val="005D6C88"/>
    <w:rsid w:val="005D6D0D"/>
    <w:rsid w:val="005D72C8"/>
    <w:rsid w:val="005D7AE6"/>
    <w:rsid w:val="005D7DA7"/>
    <w:rsid w:val="005E0320"/>
    <w:rsid w:val="005E0CCB"/>
    <w:rsid w:val="005E1420"/>
    <w:rsid w:val="005E1B63"/>
    <w:rsid w:val="005E1FAC"/>
    <w:rsid w:val="005E2070"/>
    <w:rsid w:val="005E26AC"/>
    <w:rsid w:val="005E2867"/>
    <w:rsid w:val="005E299E"/>
    <w:rsid w:val="005E2BFA"/>
    <w:rsid w:val="005E2D8B"/>
    <w:rsid w:val="005E37B3"/>
    <w:rsid w:val="005E3A7D"/>
    <w:rsid w:val="005E4213"/>
    <w:rsid w:val="005E440D"/>
    <w:rsid w:val="005E4602"/>
    <w:rsid w:val="005E490D"/>
    <w:rsid w:val="005E4E02"/>
    <w:rsid w:val="005E52E8"/>
    <w:rsid w:val="005E5A8E"/>
    <w:rsid w:val="005E5BDC"/>
    <w:rsid w:val="005E5E1E"/>
    <w:rsid w:val="005E6A57"/>
    <w:rsid w:val="005E704D"/>
    <w:rsid w:val="005E7857"/>
    <w:rsid w:val="005E7EF3"/>
    <w:rsid w:val="005F0712"/>
    <w:rsid w:val="005F0A1E"/>
    <w:rsid w:val="005F0B3D"/>
    <w:rsid w:val="005F0B7F"/>
    <w:rsid w:val="005F0EB9"/>
    <w:rsid w:val="005F12B0"/>
    <w:rsid w:val="005F1379"/>
    <w:rsid w:val="005F1C21"/>
    <w:rsid w:val="005F2520"/>
    <w:rsid w:val="005F27F6"/>
    <w:rsid w:val="005F2BE2"/>
    <w:rsid w:val="005F2CFD"/>
    <w:rsid w:val="005F2DAE"/>
    <w:rsid w:val="005F2E15"/>
    <w:rsid w:val="005F2E62"/>
    <w:rsid w:val="005F31D4"/>
    <w:rsid w:val="005F32A5"/>
    <w:rsid w:val="005F402E"/>
    <w:rsid w:val="005F45FC"/>
    <w:rsid w:val="005F4C96"/>
    <w:rsid w:val="005F4F24"/>
    <w:rsid w:val="005F50B0"/>
    <w:rsid w:val="005F5496"/>
    <w:rsid w:val="005F54AB"/>
    <w:rsid w:val="005F54AD"/>
    <w:rsid w:val="005F57B0"/>
    <w:rsid w:val="005F57CD"/>
    <w:rsid w:val="005F5AEC"/>
    <w:rsid w:val="005F5D86"/>
    <w:rsid w:val="005F5E7D"/>
    <w:rsid w:val="005F60F3"/>
    <w:rsid w:val="005F6547"/>
    <w:rsid w:val="005F6B5A"/>
    <w:rsid w:val="005F752E"/>
    <w:rsid w:val="005F7CBC"/>
    <w:rsid w:val="005F7F07"/>
    <w:rsid w:val="005F7FC0"/>
    <w:rsid w:val="00600569"/>
    <w:rsid w:val="00600688"/>
    <w:rsid w:val="0060071B"/>
    <w:rsid w:val="00600B82"/>
    <w:rsid w:val="00600BD5"/>
    <w:rsid w:val="00600CAC"/>
    <w:rsid w:val="00600F06"/>
    <w:rsid w:val="00601094"/>
    <w:rsid w:val="006012E8"/>
    <w:rsid w:val="00601F59"/>
    <w:rsid w:val="00602264"/>
    <w:rsid w:val="006027EE"/>
    <w:rsid w:val="00602934"/>
    <w:rsid w:val="00602A4D"/>
    <w:rsid w:val="0060325E"/>
    <w:rsid w:val="006032C2"/>
    <w:rsid w:val="0060337C"/>
    <w:rsid w:val="00603574"/>
    <w:rsid w:val="00603A61"/>
    <w:rsid w:val="0060419E"/>
    <w:rsid w:val="00604E9B"/>
    <w:rsid w:val="00605453"/>
    <w:rsid w:val="006054F4"/>
    <w:rsid w:val="006057F1"/>
    <w:rsid w:val="00605C1D"/>
    <w:rsid w:val="00605CAB"/>
    <w:rsid w:val="00605E84"/>
    <w:rsid w:val="006073B6"/>
    <w:rsid w:val="00607702"/>
    <w:rsid w:val="006079E2"/>
    <w:rsid w:val="00607F82"/>
    <w:rsid w:val="00610428"/>
    <w:rsid w:val="006108CF"/>
    <w:rsid w:val="006109B0"/>
    <w:rsid w:val="00610A85"/>
    <w:rsid w:val="00610F1A"/>
    <w:rsid w:val="006110A6"/>
    <w:rsid w:val="00611297"/>
    <w:rsid w:val="006116BC"/>
    <w:rsid w:val="0061186C"/>
    <w:rsid w:val="00611E07"/>
    <w:rsid w:val="0061212D"/>
    <w:rsid w:val="006121F0"/>
    <w:rsid w:val="0061248E"/>
    <w:rsid w:val="006125E8"/>
    <w:rsid w:val="006126FF"/>
    <w:rsid w:val="00612B77"/>
    <w:rsid w:val="006131FC"/>
    <w:rsid w:val="00613235"/>
    <w:rsid w:val="00613377"/>
    <w:rsid w:val="006133BC"/>
    <w:rsid w:val="0061374C"/>
    <w:rsid w:val="00613A42"/>
    <w:rsid w:val="00614088"/>
    <w:rsid w:val="00614257"/>
    <w:rsid w:val="00614614"/>
    <w:rsid w:val="006148CC"/>
    <w:rsid w:val="00614901"/>
    <w:rsid w:val="006149A4"/>
    <w:rsid w:val="006149CE"/>
    <w:rsid w:val="00614EA4"/>
    <w:rsid w:val="006159AB"/>
    <w:rsid w:val="006163C6"/>
    <w:rsid w:val="00616443"/>
    <w:rsid w:val="006165B2"/>
    <w:rsid w:val="00616EE0"/>
    <w:rsid w:val="00616FE6"/>
    <w:rsid w:val="006170FE"/>
    <w:rsid w:val="0061772D"/>
    <w:rsid w:val="00617A68"/>
    <w:rsid w:val="00617CBA"/>
    <w:rsid w:val="00617FBE"/>
    <w:rsid w:val="0062081A"/>
    <w:rsid w:val="00621091"/>
    <w:rsid w:val="006213AB"/>
    <w:rsid w:val="00621A46"/>
    <w:rsid w:val="00621E05"/>
    <w:rsid w:val="00621F0A"/>
    <w:rsid w:val="0062219C"/>
    <w:rsid w:val="00622549"/>
    <w:rsid w:val="00623372"/>
    <w:rsid w:val="006234F3"/>
    <w:rsid w:val="0062350E"/>
    <w:rsid w:val="00623BDB"/>
    <w:rsid w:val="00623C6B"/>
    <w:rsid w:val="0062442D"/>
    <w:rsid w:val="00624452"/>
    <w:rsid w:val="00624636"/>
    <w:rsid w:val="00625DA9"/>
    <w:rsid w:val="00625F04"/>
    <w:rsid w:val="00625F54"/>
    <w:rsid w:val="006266A1"/>
    <w:rsid w:val="00626800"/>
    <w:rsid w:val="00626CD4"/>
    <w:rsid w:val="00626D6B"/>
    <w:rsid w:val="00626E3E"/>
    <w:rsid w:val="00626FFD"/>
    <w:rsid w:val="006279F5"/>
    <w:rsid w:val="00627B8F"/>
    <w:rsid w:val="00627C4A"/>
    <w:rsid w:val="00627F2C"/>
    <w:rsid w:val="006302CF"/>
    <w:rsid w:val="006303DB"/>
    <w:rsid w:val="0063048A"/>
    <w:rsid w:val="00630883"/>
    <w:rsid w:val="00630B7A"/>
    <w:rsid w:val="00630CF3"/>
    <w:rsid w:val="006310E0"/>
    <w:rsid w:val="00631679"/>
    <w:rsid w:val="0063186F"/>
    <w:rsid w:val="006324D2"/>
    <w:rsid w:val="00632AA6"/>
    <w:rsid w:val="00632C5F"/>
    <w:rsid w:val="006331E7"/>
    <w:rsid w:val="006333C0"/>
    <w:rsid w:val="00633A10"/>
    <w:rsid w:val="00633D67"/>
    <w:rsid w:val="0063410A"/>
    <w:rsid w:val="00634390"/>
    <w:rsid w:val="00634B66"/>
    <w:rsid w:val="00634D34"/>
    <w:rsid w:val="0063520B"/>
    <w:rsid w:val="00635679"/>
    <w:rsid w:val="00635EA7"/>
    <w:rsid w:val="006360FA"/>
    <w:rsid w:val="00636181"/>
    <w:rsid w:val="00636741"/>
    <w:rsid w:val="00636898"/>
    <w:rsid w:val="00636DAE"/>
    <w:rsid w:val="00636EBF"/>
    <w:rsid w:val="00636FF3"/>
    <w:rsid w:val="00637677"/>
    <w:rsid w:val="00637721"/>
    <w:rsid w:val="006378D4"/>
    <w:rsid w:val="00637BB0"/>
    <w:rsid w:val="0064109B"/>
    <w:rsid w:val="006412EE"/>
    <w:rsid w:val="006414A8"/>
    <w:rsid w:val="00641AF6"/>
    <w:rsid w:val="00641EB9"/>
    <w:rsid w:val="0064202C"/>
    <w:rsid w:val="00642197"/>
    <w:rsid w:val="00642BA9"/>
    <w:rsid w:val="00642EEC"/>
    <w:rsid w:val="00643075"/>
    <w:rsid w:val="00643D97"/>
    <w:rsid w:val="00643E13"/>
    <w:rsid w:val="00645445"/>
    <w:rsid w:val="00645CF1"/>
    <w:rsid w:val="006466B2"/>
    <w:rsid w:val="00646AD3"/>
    <w:rsid w:val="00646EDA"/>
    <w:rsid w:val="00646F91"/>
    <w:rsid w:val="006478D4"/>
    <w:rsid w:val="00647C28"/>
    <w:rsid w:val="00647F1C"/>
    <w:rsid w:val="00650315"/>
    <w:rsid w:val="006509EA"/>
    <w:rsid w:val="00650B7D"/>
    <w:rsid w:val="006512AC"/>
    <w:rsid w:val="006512F2"/>
    <w:rsid w:val="00651415"/>
    <w:rsid w:val="00651805"/>
    <w:rsid w:val="00651CC0"/>
    <w:rsid w:val="00651CF8"/>
    <w:rsid w:val="00652079"/>
    <w:rsid w:val="00652221"/>
    <w:rsid w:val="0065247D"/>
    <w:rsid w:val="006525CD"/>
    <w:rsid w:val="006525E2"/>
    <w:rsid w:val="00653070"/>
    <w:rsid w:val="006533A5"/>
    <w:rsid w:val="00653C11"/>
    <w:rsid w:val="00653F67"/>
    <w:rsid w:val="0065462F"/>
    <w:rsid w:val="00654D2B"/>
    <w:rsid w:val="006550AA"/>
    <w:rsid w:val="006556EA"/>
    <w:rsid w:val="00655BAE"/>
    <w:rsid w:val="00656738"/>
    <w:rsid w:val="006567B7"/>
    <w:rsid w:val="00656A30"/>
    <w:rsid w:val="00656E2A"/>
    <w:rsid w:val="00657000"/>
    <w:rsid w:val="006570A9"/>
    <w:rsid w:val="006574E6"/>
    <w:rsid w:val="00657616"/>
    <w:rsid w:val="0065792E"/>
    <w:rsid w:val="006605BE"/>
    <w:rsid w:val="006605FC"/>
    <w:rsid w:val="00660EB0"/>
    <w:rsid w:val="00661337"/>
    <w:rsid w:val="00661393"/>
    <w:rsid w:val="00662794"/>
    <w:rsid w:val="00662AFA"/>
    <w:rsid w:val="00662C15"/>
    <w:rsid w:val="00663B0E"/>
    <w:rsid w:val="00663DCA"/>
    <w:rsid w:val="00664473"/>
    <w:rsid w:val="00665289"/>
    <w:rsid w:val="00665878"/>
    <w:rsid w:val="006658A1"/>
    <w:rsid w:val="0066638C"/>
    <w:rsid w:val="0066691C"/>
    <w:rsid w:val="006669A3"/>
    <w:rsid w:val="00666C1B"/>
    <w:rsid w:val="00666CC8"/>
    <w:rsid w:val="00667460"/>
    <w:rsid w:val="0066788A"/>
    <w:rsid w:val="00667B56"/>
    <w:rsid w:val="00667B76"/>
    <w:rsid w:val="0067008A"/>
    <w:rsid w:val="00670361"/>
    <w:rsid w:val="006704FD"/>
    <w:rsid w:val="00670B6D"/>
    <w:rsid w:val="006711E2"/>
    <w:rsid w:val="006711FB"/>
    <w:rsid w:val="0067121A"/>
    <w:rsid w:val="00671A82"/>
    <w:rsid w:val="00671EA6"/>
    <w:rsid w:val="0067248A"/>
    <w:rsid w:val="006725DB"/>
    <w:rsid w:val="0067268D"/>
    <w:rsid w:val="00672976"/>
    <w:rsid w:val="00672AFD"/>
    <w:rsid w:val="00672D42"/>
    <w:rsid w:val="00673339"/>
    <w:rsid w:val="00673482"/>
    <w:rsid w:val="006735EF"/>
    <w:rsid w:val="00673723"/>
    <w:rsid w:val="00673897"/>
    <w:rsid w:val="00673F22"/>
    <w:rsid w:val="006744EB"/>
    <w:rsid w:val="0067492A"/>
    <w:rsid w:val="0067497D"/>
    <w:rsid w:val="00675185"/>
    <w:rsid w:val="006757F5"/>
    <w:rsid w:val="006760BF"/>
    <w:rsid w:val="0067618F"/>
    <w:rsid w:val="0067639B"/>
    <w:rsid w:val="006764AB"/>
    <w:rsid w:val="006765C9"/>
    <w:rsid w:val="006768F1"/>
    <w:rsid w:val="00676AAA"/>
    <w:rsid w:val="00676BBA"/>
    <w:rsid w:val="00676D88"/>
    <w:rsid w:val="00676F94"/>
    <w:rsid w:val="00677607"/>
    <w:rsid w:val="006776E6"/>
    <w:rsid w:val="006777E3"/>
    <w:rsid w:val="0067796E"/>
    <w:rsid w:val="0068014A"/>
    <w:rsid w:val="00680611"/>
    <w:rsid w:val="006807A0"/>
    <w:rsid w:val="006811B1"/>
    <w:rsid w:val="006811E5"/>
    <w:rsid w:val="006813B5"/>
    <w:rsid w:val="006814A0"/>
    <w:rsid w:val="0068153D"/>
    <w:rsid w:val="0068172C"/>
    <w:rsid w:val="00681FFB"/>
    <w:rsid w:val="006820EF"/>
    <w:rsid w:val="006824C2"/>
    <w:rsid w:val="0068253A"/>
    <w:rsid w:val="00682E7A"/>
    <w:rsid w:val="00683621"/>
    <w:rsid w:val="00683DE9"/>
    <w:rsid w:val="00683DED"/>
    <w:rsid w:val="00683E1E"/>
    <w:rsid w:val="006842FB"/>
    <w:rsid w:val="0068455E"/>
    <w:rsid w:val="0068483B"/>
    <w:rsid w:val="0068505B"/>
    <w:rsid w:val="00685380"/>
    <w:rsid w:val="00685421"/>
    <w:rsid w:val="00685548"/>
    <w:rsid w:val="006859D3"/>
    <w:rsid w:val="006863E5"/>
    <w:rsid w:val="006868D7"/>
    <w:rsid w:val="006869F7"/>
    <w:rsid w:val="00687149"/>
    <w:rsid w:val="006876FB"/>
    <w:rsid w:val="00687D15"/>
    <w:rsid w:val="00687D60"/>
    <w:rsid w:val="00690317"/>
    <w:rsid w:val="006905DC"/>
    <w:rsid w:val="00690789"/>
    <w:rsid w:val="00690859"/>
    <w:rsid w:val="00691C8E"/>
    <w:rsid w:val="00691D3E"/>
    <w:rsid w:val="00692009"/>
    <w:rsid w:val="00692077"/>
    <w:rsid w:val="0069258E"/>
    <w:rsid w:val="0069261A"/>
    <w:rsid w:val="006930A4"/>
    <w:rsid w:val="0069337C"/>
    <w:rsid w:val="006937A7"/>
    <w:rsid w:val="006938C6"/>
    <w:rsid w:val="006938DD"/>
    <w:rsid w:val="006938F0"/>
    <w:rsid w:val="00693EFD"/>
    <w:rsid w:val="00693F83"/>
    <w:rsid w:val="0069459C"/>
    <w:rsid w:val="0069464D"/>
    <w:rsid w:val="00694E21"/>
    <w:rsid w:val="00694E75"/>
    <w:rsid w:val="00694F95"/>
    <w:rsid w:val="00695B85"/>
    <w:rsid w:val="00695BC1"/>
    <w:rsid w:val="00696168"/>
    <w:rsid w:val="00696758"/>
    <w:rsid w:val="00696999"/>
    <w:rsid w:val="006969D8"/>
    <w:rsid w:val="00696A8D"/>
    <w:rsid w:val="00697D5B"/>
    <w:rsid w:val="00697E5A"/>
    <w:rsid w:val="00697EFA"/>
    <w:rsid w:val="006A0020"/>
    <w:rsid w:val="006A01CB"/>
    <w:rsid w:val="006A049F"/>
    <w:rsid w:val="006A05E4"/>
    <w:rsid w:val="006A0AE4"/>
    <w:rsid w:val="006A0D8E"/>
    <w:rsid w:val="006A108C"/>
    <w:rsid w:val="006A123C"/>
    <w:rsid w:val="006A172B"/>
    <w:rsid w:val="006A17EE"/>
    <w:rsid w:val="006A1868"/>
    <w:rsid w:val="006A1C70"/>
    <w:rsid w:val="006A1F1C"/>
    <w:rsid w:val="006A2174"/>
    <w:rsid w:val="006A225F"/>
    <w:rsid w:val="006A2306"/>
    <w:rsid w:val="006A2DFE"/>
    <w:rsid w:val="006A32E9"/>
    <w:rsid w:val="006A36F2"/>
    <w:rsid w:val="006A3937"/>
    <w:rsid w:val="006A4017"/>
    <w:rsid w:val="006A4808"/>
    <w:rsid w:val="006A4B54"/>
    <w:rsid w:val="006A4BC9"/>
    <w:rsid w:val="006A4D23"/>
    <w:rsid w:val="006A5295"/>
    <w:rsid w:val="006A554F"/>
    <w:rsid w:val="006A5A17"/>
    <w:rsid w:val="006A63B5"/>
    <w:rsid w:val="006A6744"/>
    <w:rsid w:val="006A67E6"/>
    <w:rsid w:val="006A6B34"/>
    <w:rsid w:val="006A6C72"/>
    <w:rsid w:val="006A6F15"/>
    <w:rsid w:val="006A6F58"/>
    <w:rsid w:val="006A6FBB"/>
    <w:rsid w:val="006A735D"/>
    <w:rsid w:val="006A743E"/>
    <w:rsid w:val="006A7761"/>
    <w:rsid w:val="006A7E5D"/>
    <w:rsid w:val="006B057B"/>
    <w:rsid w:val="006B1096"/>
    <w:rsid w:val="006B1389"/>
    <w:rsid w:val="006B155E"/>
    <w:rsid w:val="006B175B"/>
    <w:rsid w:val="006B1862"/>
    <w:rsid w:val="006B1A09"/>
    <w:rsid w:val="006B2000"/>
    <w:rsid w:val="006B21BC"/>
    <w:rsid w:val="006B296D"/>
    <w:rsid w:val="006B2CD1"/>
    <w:rsid w:val="006B32B8"/>
    <w:rsid w:val="006B3AAA"/>
    <w:rsid w:val="006B3F83"/>
    <w:rsid w:val="006B3FA1"/>
    <w:rsid w:val="006B409A"/>
    <w:rsid w:val="006B4F88"/>
    <w:rsid w:val="006B595D"/>
    <w:rsid w:val="006B5C52"/>
    <w:rsid w:val="006B62CB"/>
    <w:rsid w:val="006B644A"/>
    <w:rsid w:val="006B68EC"/>
    <w:rsid w:val="006B697C"/>
    <w:rsid w:val="006B6D8C"/>
    <w:rsid w:val="006B6E07"/>
    <w:rsid w:val="006B75DB"/>
    <w:rsid w:val="006B7CB5"/>
    <w:rsid w:val="006B7D8B"/>
    <w:rsid w:val="006C01F5"/>
    <w:rsid w:val="006C0716"/>
    <w:rsid w:val="006C081D"/>
    <w:rsid w:val="006C0E9C"/>
    <w:rsid w:val="006C1BFE"/>
    <w:rsid w:val="006C1C0B"/>
    <w:rsid w:val="006C1C0C"/>
    <w:rsid w:val="006C1CDC"/>
    <w:rsid w:val="006C224B"/>
    <w:rsid w:val="006C24F8"/>
    <w:rsid w:val="006C30E7"/>
    <w:rsid w:val="006C3488"/>
    <w:rsid w:val="006C39BF"/>
    <w:rsid w:val="006C4361"/>
    <w:rsid w:val="006C48A3"/>
    <w:rsid w:val="006C4AE1"/>
    <w:rsid w:val="006C5452"/>
    <w:rsid w:val="006C5DE4"/>
    <w:rsid w:val="006C5F31"/>
    <w:rsid w:val="006C6056"/>
    <w:rsid w:val="006C6720"/>
    <w:rsid w:val="006C6E72"/>
    <w:rsid w:val="006C6EFF"/>
    <w:rsid w:val="006C70A9"/>
    <w:rsid w:val="006C7422"/>
    <w:rsid w:val="006C7A17"/>
    <w:rsid w:val="006C7B98"/>
    <w:rsid w:val="006D0B30"/>
    <w:rsid w:val="006D0C0A"/>
    <w:rsid w:val="006D10D6"/>
    <w:rsid w:val="006D115F"/>
    <w:rsid w:val="006D11E7"/>
    <w:rsid w:val="006D146D"/>
    <w:rsid w:val="006D14E1"/>
    <w:rsid w:val="006D1DC6"/>
    <w:rsid w:val="006D1F3D"/>
    <w:rsid w:val="006D258E"/>
    <w:rsid w:val="006D26D2"/>
    <w:rsid w:val="006D2A69"/>
    <w:rsid w:val="006D2B37"/>
    <w:rsid w:val="006D2CC3"/>
    <w:rsid w:val="006D3294"/>
    <w:rsid w:val="006D3392"/>
    <w:rsid w:val="006D36F0"/>
    <w:rsid w:val="006D39F7"/>
    <w:rsid w:val="006D43B0"/>
    <w:rsid w:val="006D4B8D"/>
    <w:rsid w:val="006D4BE5"/>
    <w:rsid w:val="006D51ED"/>
    <w:rsid w:val="006D525A"/>
    <w:rsid w:val="006D5330"/>
    <w:rsid w:val="006D564F"/>
    <w:rsid w:val="006D56DD"/>
    <w:rsid w:val="006D5893"/>
    <w:rsid w:val="006D5A7E"/>
    <w:rsid w:val="006D60FF"/>
    <w:rsid w:val="006D6128"/>
    <w:rsid w:val="006D618A"/>
    <w:rsid w:val="006D66BA"/>
    <w:rsid w:val="006D6F78"/>
    <w:rsid w:val="006D70B8"/>
    <w:rsid w:val="006D788F"/>
    <w:rsid w:val="006D79B5"/>
    <w:rsid w:val="006D7D80"/>
    <w:rsid w:val="006E010E"/>
    <w:rsid w:val="006E0979"/>
    <w:rsid w:val="006E0AED"/>
    <w:rsid w:val="006E0C13"/>
    <w:rsid w:val="006E1419"/>
    <w:rsid w:val="006E1429"/>
    <w:rsid w:val="006E14C0"/>
    <w:rsid w:val="006E1FCE"/>
    <w:rsid w:val="006E207A"/>
    <w:rsid w:val="006E2241"/>
    <w:rsid w:val="006E2D65"/>
    <w:rsid w:val="006E3081"/>
    <w:rsid w:val="006E3192"/>
    <w:rsid w:val="006E34B8"/>
    <w:rsid w:val="006E3D1B"/>
    <w:rsid w:val="006E3D32"/>
    <w:rsid w:val="006E458D"/>
    <w:rsid w:val="006E4734"/>
    <w:rsid w:val="006E4A81"/>
    <w:rsid w:val="006E59FF"/>
    <w:rsid w:val="006E62C7"/>
    <w:rsid w:val="006E6438"/>
    <w:rsid w:val="006E6598"/>
    <w:rsid w:val="006E6AB1"/>
    <w:rsid w:val="006E6AFA"/>
    <w:rsid w:val="006E6D93"/>
    <w:rsid w:val="006E6DDA"/>
    <w:rsid w:val="006E6EAD"/>
    <w:rsid w:val="006E71AA"/>
    <w:rsid w:val="006E7402"/>
    <w:rsid w:val="006E75DB"/>
    <w:rsid w:val="006E7852"/>
    <w:rsid w:val="006E7A30"/>
    <w:rsid w:val="006E7E4D"/>
    <w:rsid w:val="006F00A7"/>
    <w:rsid w:val="006F0322"/>
    <w:rsid w:val="006F08E5"/>
    <w:rsid w:val="006F0C58"/>
    <w:rsid w:val="006F0D26"/>
    <w:rsid w:val="006F16FB"/>
    <w:rsid w:val="006F1C85"/>
    <w:rsid w:val="006F1CE5"/>
    <w:rsid w:val="006F1F88"/>
    <w:rsid w:val="006F2463"/>
    <w:rsid w:val="006F25FD"/>
    <w:rsid w:val="006F29F1"/>
    <w:rsid w:val="006F2CDA"/>
    <w:rsid w:val="006F2E1F"/>
    <w:rsid w:val="006F3262"/>
    <w:rsid w:val="006F3553"/>
    <w:rsid w:val="006F3665"/>
    <w:rsid w:val="006F36F7"/>
    <w:rsid w:val="006F3C12"/>
    <w:rsid w:val="006F3C8B"/>
    <w:rsid w:val="006F3D0D"/>
    <w:rsid w:val="006F3D3F"/>
    <w:rsid w:val="006F3EEE"/>
    <w:rsid w:val="006F3FD2"/>
    <w:rsid w:val="006F4D14"/>
    <w:rsid w:val="006F4FA8"/>
    <w:rsid w:val="006F516B"/>
    <w:rsid w:val="006F535C"/>
    <w:rsid w:val="006F5403"/>
    <w:rsid w:val="006F5452"/>
    <w:rsid w:val="006F5871"/>
    <w:rsid w:val="006F59DE"/>
    <w:rsid w:val="006F5BAD"/>
    <w:rsid w:val="006F5D04"/>
    <w:rsid w:val="006F5FE2"/>
    <w:rsid w:val="006F654A"/>
    <w:rsid w:val="006F6A68"/>
    <w:rsid w:val="006F6CDB"/>
    <w:rsid w:val="006F7032"/>
    <w:rsid w:val="006F75F8"/>
    <w:rsid w:val="006F7A67"/>
    <w:rsid w:val="006F7FB8"/>
    <w:rsid w:val="0070018A"/>
    <w:rsid w:val="00700198"/>
    <w:rsid w:val="007005D0"/>
    <w:rsid w:val="00700D71"/>
    <w:rsid w:val="00700E80"/>
    <w:rsid w:val="00701272"/>
    <w:rsid w:val="00701980"/>
    <w:rsid w:val="00701983"/>
    <w:rsid w:val="00701ABF"/>
    <w:rsid w:val="00701D7D"/>
    <w:rsid w:val="00701EF4"/>
    <w:rsid w:val="0070251D"/>
    <w:rsid w:val="00703561"/>
    <w:rsid w:val="00703EEB"/>
    <w:rsid w:val="00704A51"/>
    <w:rsid w:val="00704C13"/>
    <w:rsid w:val="00704CBD"/>
    <w:rsid w:val="00705051"/>
    <w:rsid w:val="007058BE"/>
    <w:rsid w:val="00705AFD"/>
    <w:rsid w:val="00705B32"/>
    <w:rsid w:val="00705EB4"/>
    <w:rsid w:val="0070677F"/>
    <w:rsid w:val="00706A04"/>
    <w:rsid w:val="00706A3C"/>
    <w:rsid w:val="00706CB8"/>
    <w:rsid w:val="00707163"/>
    <w:rsid w:val="0070787F"/>
    <w:rsid w:val="00707D94"/>
    <w:rsid w:val="00707DA2"/>
    <w:rsid w:val="0071003D"/>
    <w:rsid w:val="00710574"/>
    <w:rsid w:val="007105FE"/>
    <w:rsid w:val="00710772"/>
    <w:rsid w:val="00710924"/>
    <w:rsid w:val="00710B67"/>
    <w:rsid w:val="00710C3D"/>
    <w:rsid w:val="007113B8"/>
    <w:rsid w:val="007114E1"/>
    <w:rsid w:val="00712464"/>
    <w:rsid w:val="0071299F"/>
    <w:rsid w:val="00712E52"/>
    <w:rsid w:val="00712E6B"/>
    <w:rsid w:val="00712F48"/>
    <w:rsid w:val="00713348"/>
    <w:rsid w:val="00713547"/>
    <w:rsid w:val="007136C6"/>
    <w:rsid w:val="00713C0F"/>
    <w:rsid w:val="00713DD9"/>
    <w:rsid w:val="00713F27"/>
    <w:rsid w:val="007143AF"/>
    <w:rsid w:val="0071444A"/>
    <w:rsid w:val="00714CF3"/>
    <w:rsid w:val="00715040"/>
    <w:rsid w:val="00715741"/>
    <w:rsid w:val="00715B9C"/>
    <w:rsid w:val="00715E38"/>
    <w:rsid w:val="007164FF"/>
    <w:rsid w:val="007167B7"/>
    <w:rsid w:val="00716A32"/>
    <w:rsid w:val="0071762F"/>
    <w:rsid w:val="0071787C"/>
    <w:rsid w:val="0072050A"/>
    <w:rsid w:val="00720599"/>
    <w:rsid w:val="00720CA0"/>
    <w:rsid w:val="00720CE4"/>
    <w:rsid w:val="007210F1"/>
    <w:rsid w:val="0072122B"/>
    <w:rsid w:val="007217E1"/>
    <w:rsid w:val="00721D50"/>
    <w:rsid w:val="0072225F"/>
    <w:rsid w:val="007225C3"/>
    <w:rsid w:val="00722633"/>
    <w:rsid w:val="007227D4"/>
    <w:rsid w:val="00722A7F"/>
    <w:rsid w:val="00722F8A"/>
    <w:rsid w:val="00723152"/>
    <w:rsid w:val="007236CB"/>
    <w:rsid w:val="00723985"/>
    <w:rsid w:val="00723CB5"/>
    <w:rsid w:val="00723EAE"/>
    <w:rsid w:val="007241A6"/>
    <w:rsid w:val="00724408"/>
    <w:rsid w:val="00724F18"/>
    <w:rsid w:val="00724FE1"/>
    <w:rsid w:val="007250B0"/>
    <w:rsid w:val="007262EE"/>
    <w:rsid w:val="007270B9"/>
    <w:rsid w:val="00727326"/>
    <w:rsid w:val="007274EE"/>
    <w:rsid w:val="0072760C"/>
    <w:rsid w:val="00727B5E"/>
    <w:rsid w:val="0073006F"/>
    <w:rsid w:val="007300D8"/>
    <w:rsid w:val="0073034B"/>
    <w:rsid w:val="00730788"/>
    <w:rsid w:val="00730BD3"/>
    <w:rsid w:val="00730C57"/>
    <w:rsid w:val="00730F41"/>
    <w:rsid w:val="007318BA"/>
    <w:rsid w:val="00731FFC"/>
    <w:rsid w:val="00732058"/>
    <w:rsid w:val="007323AC"/>
    <w:rsid w:val="00732699"/>
    <w:rsid w:val="00732BFB"/>
    <w:rsid w:val="00732C1D"/>
    <w:rsid w:val="00732C32"/>
    <w:rsid w:val="00733738"/>
    <w:rsid w:val="0073383C"/>
    <w:rsid w:val="00733968"/>
    <w:rsid w:val="0073456D"/>
    <w:rsid w:val="007347D3"/>
    <w:rsid w:val="00734808"/>
    <w:rsid w:val="00734FB3"/>
    <w:rsid w:val="00735344"/>
    <w:rsid w:val="00735422"/>
    <w:rsid w:val="0073552F"/>
    <w:rsid w:val="00735874"/>
    <w:rsid w:val="0073596E"/>
    <w:rsid w:val="007359BC"/>
    <w:rsid w:val="00735CF7"/>
    <w:rsid w:val="00736060"/>
    <w:rsid w:val="007364CE"/>
    <w:rsid w:val="0073736A"/>
    <w:rsid w:val="00737542"/>
    <w:rsid w:val="007378F4"/>
    <w:rsid w:val="007401D2"/>
    <w:rsid w:val="0074095C"/>
    <w:rsid w:val="007409BD"/>
    <w:rsid w:val="00740C1D"/>
    <w:rsid w:val="0074125E"/>
    <w:rsid w:val="00741328"/>
    <w:rsid w:val="00742569"/>
    <w:rsid w:val="007426ED"/>
    <w:rsid w:val="007427BA"/>
    <w:rsid w:val="00742CCA"/>
    <w:rsid w:val="00742DB7"/>
    <w:rsid w:val="00743011"/>
    <w:rsid w:val="007432B3"/>
    <w:rsid w:val="007432F9"/>
    <w:rsid w:val="00743B42"/>
    <w:rsid w:val="00743DE3"/>
    <w:rsid w:val="00744715"/>
    <w:rsid w:val="0074476C"/>
    <w:rsid w:val="0074484E"/>
    <w:rsid w:val="00745084"/>
    <w:rsid w:val="007451AA"/>
    <w:rsid w:val="007453E5"/>
    <w:rsid w:val="00745426"/>
    <w:rsid w:val="00745D53"/>
    <w:rsid w:val="0074602C"/>
    <w:rsid w:val="0074619B"/>
    <w:rsid w:val="0074627C"/>
    <w:rsid w:val="00746868"/>
    <w:rsid w:val="00746EE7"/>
    <w:rsid w:val="0074752A"/>
    <w:rsid w:val="0074756D"/>
    <w:rsid w:val="00747728"/>
    <w:rsid w:val="00747AF0"/>
    <w:rsid w:val="00747CCA"/>
    <w:rsid w:val="00747D77"/>
    <w:rsid w:val="00750AC6"/>
    <w:rsid w:val="007516A2"/>
    <w:rsid w:val="00751DBA"/>
    <w:rsid w:val="00752101"/>
    <w:rsid w:val="007522EA"/>
    <w:rsid w:val="00752450"/>
    <w:rsid w:val="00752747"/>
    <w:rsid w:val="00752D56"/>
    <w:rsid w:val="00753341"/>
    <w:rsid w:val="00753349"/>
    <w:rsid w:val="007538E4"/>
    <w:rsid w:val="00753F3C"/>
    <w:rsid w:val="0075408A"/>
    <w:rsid w:val="00754143"/>
    <w:rsid w:val="00754174"/>
    <w:rsid w:val="007549EE"/>
    <w:rsid w:val="0075538F"/>
    <w:rsid w:val="00755726"/>
    <w:rsid w:val="00755AC2"/>
    <w:rsid w:val="00755CAA"/>
    <w:rsid w:val="00755E96"/>
    <w:rsid w:val="00755EED"/>
    <w:rsid w:val="007565FC"/>
    <w:rsid w:val="00756817"/>
    <w:rsid w:val="00756BEC"/>
    <w:rsid w:val="00756FDA"/>
    <w:rsid w:val="00757316"/>
    <w:rsid w:val="00757454"/>
    <w:rsid w:val="00760386"/>
    <w:rsid w:val="00760E60"/>
    <w:rsid w:val="00761311"/>
    <w:rsid w:val="00761363"/>
    <w:rsid w:val="0076161F"/>
    <w:rsid w:val="007617F9"/>
    <w:rsid w:val="00761D9D"/>
    <w:rsid w:val="00762355"/>
    <w:rsid w:val="00762404"/>
    <w:rsid w:val="007628FD"/>
    <w:rsid w:val="00762DD4"/>
    <w:rsid w:val="00762FC4"/>
    <w:rsid w:val="007630DB"/>
    <w:rsid w:val="007633C2"/>
    <w:rsid w:val="007638CD"/>
    <w:rsid w:val="00763B80"/>
    <w:rsid w:val="00763B92"/>
    <w:rsid w:val="00763EB4"/>
    <w:rsid w:val="00763F69"/>
    <w:rsid w:val="007645CD"/>
    <w:rsid w:val="00764B47"/>
    <w:rsid w:val="00764E7A"/>
    <w:rsid w:val="00764F5A"/>
    <w:rsid w:val="00765219"/>
    <w:rsid w:val="007652AB"/>
    <w:rsid w:val="0076545B"/>
    <w:rsid w:val="007659F7"/>
    <w:rsid w:val="00765DE5"/>
    <w:rsid w:val="00765E13"/>
    <w:rsid w:val="00765E43"/>
    <w:rsid w:val="00766081"/>
    <w:rsid w:val="00766125"/>
    <w:rsid w:val="0076637E"/>
    <w:rsid w:val="007665C3"/>
    <w:rsid w:val="00766A24"/>
    <w:rsid w:val="00766ADB"/>
    <w:rsid w:val="00766E04"/>
    <w:rsid w:val="00767DD1"/>
    <w:rsid w:val="007700A3"/>
    <w:rsid w:val="00770EA9"/>
    <w:rsid w:val="00771016"/>
    <w:rsid w:val="00771740"/>
    <w:rsid w:val="00771D05"/>
    <w:rsid w:val="00771F1A"/>
    <w:rsid w:val="007726D1"/>
    <w:rsid w:val="00772A81"/>
    <w:rsid w:val="00772D5C"/>
    <w:rsid w:val="00772EDF"/>
    <w:rsid w:val="00773AF1"/>
    <w:rsid w:val="00774000"/>
    <w:rsid w:val="007743FB"/>
    <w:rsid w:val="007750C8"/>
    <w:rsid w:val="007752A8"/>
    <w:rsid w:val="00775657"/>
    <w:rsid w:val="007757F0"/>
    <w:rsid w:val="007759F1"/>
    <w:rsid w:val="00775E85"/>
    <w:rsid w:val="00775E86"/>
    <w:rsid w:val="0077626F"/>
    <w:rsid w:val="00776444"/>
    <w:rsid w:val="00776B47"/>
    <w:rsid w:val="00776D7C"/>
    <w:rsid w:val="00777E25"/>
    <w:rsid w:val="00777E53"/>
    <w:rsid w:val="00777F33"/>
    <w:rsid w:val="00777FAD"/>
    <w:rsid w:val="0078005C"/>
    <w:rsid w:val="00780153"/>
    <w:rsid w:val="00780335"/>
    <w:rsid w:val="0078040E"/>
    <w:rsid w:val="00780C34"/>
    <w:rsid w:val="007811F0"/>
    <w:rsid w:val="00781544"/>
    <w:rsid w:val="007818BC"/>
    <w:rsid w:val="007818D8"/>
    <w:rsid w:val="007819E0"/>
    <w:rsid w:val="0078221C"/>
    <w:rsid w:val="00782A46"/>
    <w:rsid w:val="007833EE"/>
    <w:rsid w:val="0078359D"/>
    <w:rsid w:val="00783B3A"/>
    <w:rsid w:val="00783D9F"/>
    <w:rsid w:val="00783E4C"/>
    <w:rsid w:val="007845B4"/>
    <w:rsid w:val="0078468E"/>
    <w:rsid w:val="007851F2"/>
    <w:rsid w:val="007863F3"/>
    <w:rsid w:val="0078653C"/>
    <w:rsid w:val="00786A08"/>
    <w:rsid w:val="00787061"/>
    <w:rsid w:val="007878CC"/>
    <w:rsid w:val="00787916"/>
    <w:rsid w:val="007879D6"/>
    <w:rsid w:val="00787E8B"/>
    <w:rsid w:val="007904E6"/>
    <w:rsid w:val="007905B0"/>
    <w:rsid w:val="00790C2E"/>
    <w:rsid w:val="00790CA3"/>
    <w:rsid w:val="00790CBB"/>
    <w:rsid w:val="00790E84"/>
    <w:rsid w:val="00790ED3"/>
    <w:rsid w:val="0079166C"/>
    <w:rsid w:val="00791D5E"/>
    <w:rsid w:val="00792041"/>
    <w:rsid w:val="0079224E"/>
    <w:rsid w:val="007922AF"/>
    <w:rsid w:val="00792323"/>
    <w:rsid w:val="00792A65"/>
    <w:rsid w:val="00792C3E"/>
    <w:rsid w:val="0079416F"/>
    <w:rsid w:val="00794217"/>
    <w:rsid w:val="00794A04"/>
    <w:rsid w:val="007952CB"/>
    <w:rsid w:val="00795300"/>
    <w:rsid w:val="00795422"/>
    <w:rsid w:val="00795B49"/>
    <w:rsid w:val="00795B7A"/>
    <w:rsid w:val="00795F31"/>
    <w:rsid w:val="00795FBA"/>
    <w:rsid w:val="007966F6"/>
    <w:rsid w:val="00796A34"/>
    <w:rsid w:val="00796C82"/>
    <w:rsid w:val="0079750E"/>
    <w:rsid w:val="00797C98"/>
    <w:rsid w:val="007A0067"/>
    <w:rsid w:val="007A02A1"/>
    <w:rsid w:val="007A03AE"/>
    <w:rsid w:val="007A1A13"/>
    <w:rsid w:val="007A1A6C"/>
    <w:rsid w:val="007A1E55"/>
    <w:rsid w:val="007A1E60"/>
    <w:rsid w:val="007A1EAC"/>
    <w:rsid w:val="007A219F"/>
    <w:rsid w:val="007A331C"/>
    <w:rsid w:val="007A333D"/>
    <w:rsid w:val="007A369C"/>
    <w:rsid w:val="007A3C83"/>
    <w:rsid w:val="007A42D0"/>
    <w:rsid w:val="007A519A"/>
    <w:rsid w:val="007A5212"/>
    <w:rsid w:val="007A5365"/>
    <w:rsid w:val="007A5F96"/>
    <w:rsid w:val="007A664C"/>
    <w:rsid w:val="007A66BC"/>
    <w:rsid w:val="007A679B"/>
    <w:rsid w:val="007A6D24"/>
    <w:rsid w:val="007A7974"/>
    <w:rsid w:val="007B042F"/>
    <w:rsid w:val="007B0910"/>
    <w:rsid w:val="007B0995"/>
    <w:rsid w:val="007B0B3E"/>
    <w:rsid w:val="007B0F4E"/>
    <w:rsid w:val="007B1229"/>
    <w:rsid w:val="007B1352"/>
    <w:rsid w:val="007B1782"/>
    <w:rsid w:val="007B1857"/>
    <w:rsid w:val="007B191C"/>
    <w:rsid w:val="007B1CFA"/>
    <w:rsid w:val="007B1E26"/>
    <w:rsid w:val="007B2A46"/>
    <w:rsid w:val="007B2CE5"/>
    <w:rsid w:val="007B2DAC"/>
    <w:rsid w:val="007B321D"/>
    <w:rsid w:val="007B3468"/>
    <w:rsid w:val="007B34FA"/>
    <w:rsid w:val="007B358A"/>
    <w:rsid w:val="007B3B8C"/>
    <w:rsid w:val="007B3DCB"/>
    <w:rsid w:val="007B3ECA"/>
    <w:rsid w:val="007B45DB"/>
    <w:rsid w:val="007B4858"/>
    <w:rsid w:val="007B4B62"/>
    <w:rsid w:val="007B521D"/>
    <w:rsid w:val="007B5457"/>
    <w:rsid w:val="007B5647"/>
    <w:rsid w:val="007B5826"/>
    <w:rsid w:val="007B61B5"/>
    <w:rsid w:val="007B72A0"/>
    <w:rsid w:val="007C0669"/>
    <w:rsid w:val="007C0E70"/>
    <w:rsid w:val="007C180E"/>
    <w:rsid w:val="007C1861"/>
    <w:rsid w:val="007C1A69"/>
    <w:rsid w:val="007C1C5A"/>
    <w:rsid w:val="007C2177"/>
    <w:rsid w:val="007C26BF"/>
    <w:rsid w:val="007C27F5"/>
    <w:rsid w:val="007C2CFE"/>
    <w:rsid w:val="007C2EF1"/>
    <w:rsid w:val="007C32B6"/>
    <w:rsid w:val="007C3DA6"/>
    <w:rsid w:val="007C412D"/>
    <w:rsid w:val="007C4737"/>
    <w:rsid w:val="007C5B0C"/>
    <w:rsid w:val="007C6248"/>
    <w:rsid w:val="007C6D19"/>
    <w:rsid w:val="007C7020"/>
    <w:rsid w:val="007C792F"/>
    <w:rsid w:val="007C7DC4"/>
    <w:rsid w:val="007C7E4A"/>
    <w:rsid w:val="007D003F"/>
    <w:rsid w:val="007D0745"/>
    <w:rsid w:val="007D14AF"/>
    <w:rsid w:val="007D17CF"/>
    <w:rsid w:val="007D1BAC"/>
    <w:rsid w:val="007D1C4D"/>
    <w:rsid w:val="007D1D53"/>
    <w:rsid w:val="007D2056"/>
    <w:rsid w:val="007D238C"/>
    <w:rsid w:val="007D23DC"/>
    <w:rsid w:val="007D2775"/>
    <w:rsid w:val="007D291A"/>
    <w:rsid w:val="007D2954"/>
    <w:rsid w:val="007D2C2F"/>
    <w:rsid w:val="007D31F7"/>
    <w:rsid w:val="007D38FC"/>
    <w:rsid w:val="007D43B4"/>
    <w:rsid w:val="007D46B4"/>
    <w:rsid w:val="007D4956"/>
    <w:rsid w:val="007D4F36"/>
    <w:rsid w:val="007D5009"/>
    <w:rsid w:val="007D542B"/>
    <w:rsid w:val="007D565A"/>
    <w:rsid w:val="007D5696"/>
    <w:rsid w:val="007D579A"/>
    <w:rsid w:val="007D585A"/>
    <w:rsid w:val="007D6704"/>
    <w:rsid w:val="007D6739"/>
    <w:rsid w:val="007D6E14"/>
    <w:rsid w:val="007D73D9"/>
    <w:rsid w:val="007D7671"/>
    <w:rsid w:val="007D7763"/>
    <w:rsid w:val="007D7A3B"/>
    <w:rsid w:val="007D7D68"/>
    <w:rsid w:val="007D7F35"/>
    <w:rsid w:val="007E0331"/>
    <w:rsid w:val="007E13FC"/>
    <w:rsid w:val="007E14E3"/>
    <w:rsid w:val="007E1B0B"/>
    <w:rsid w:val="007E1BB0"/>
    <w:rsid w:val="007E243C"/>
    <w:rsid w:val="007E2A6A"/>
    <w:rsid w:val="007E2B34"/>
    <w:rsid w:val="007E2E37"/>
    <w:rsid w:val="007E31EE"/>
    <w:rsid w:val="007E3735"/>
    <w:rsid w:val="007E38FB"/>
    <w:rsid w:val="007E427E"/>
    <w:rsid w:val="007E42EA"/>
    <w:rsid w:val="007E43E1"/>
    <w:rsid w:val="007E4717"/>
    <w:rsid w:val="007E4781"/>
    <w:rsid w:val="007E49FA"/>
    <w:rsid w:val="007E4D23"/>
    <w:rsid w:val="007E50CF"/>
    <w:rsid w:val="007E50FB"/>
    <w:rsid w:val="007E55E9"/>
    <w:rsid w:val="007E6005"/>
    <w:rsid w:val="007E61B0"/>
    <w:rsid w:val="007E62D0"/>
    <w:rsid w:val="007E637D"/>
    <w:rsid w:val="007E6FFB"/>
    <w:rsid w:val="007E7005"/>
    <w:rsid w:val="007E7202"/>
    <w:rsid w:val="007E79B7"/>
    <w:rsid w:val="007E7A80"/>
    <w:rsid w:val="007E7B01"/>
    <w:rsid w:val="007E7C9E"/>
    <w:rsid w:val="007E7F25"/>
    <w:rsid w:val="007F021F"/>
    <w:rsid w:val="007F0657"/>
    <w:rsid w:val="007F0BB9"/>
    <w:rsid w:val="007F0D18"/>
    <w:rsid w:val="007F0EB8"/>
    <w:rsid w:val="007F1000"/>
    <w:rsid w:val="007F17B3"/>
    <w:rsid w:val="007F1DE4"/>
    <w:rsid w:val="007F1EBC"/>
    <w:rsid w:val="007F1F2F"/>
    <w:rsid w:val="007F1F40"/>
    <w:rsid w:val="007F21FA"/>
    <w:rsid w:val="007F2256"/>
    <w:rsid w:val="007F3133"/>
    <w:rsid w:val="007F3240"/>
    <w:rsid w:val="007F3364"/>
    <w:rsid w:val="007F3475"/>
    <w:rsid w:val="007F35C2"/>
    <w:rsid w:val="007F3CEF"/>
    <w:rsid w:val="007F3D60"/>
    <w:rsid w:val="007F3D84"/>
    <w:rsid w:val="007F4073"/>
    <w:rsid w:val="007F461A"/>
    <w:rsid w:val="007F4796"/>
    <w:rsid w:val="007F505F"/>
    <w:rsid w:val="007F50FA"/>
    <w:rsid w:val="007F517E"/>
    <w:rsid w:val="007F5659"/>
    <w:rsid w:val="007F602D"/>
    <w:rsid w:val="007F63E7"/>
    <w:rsid w:val="007F65A1"/>
    <w:rsid w:val="007F6ACC"/>
    <w:rsid w:val="007F72AD"/>
    <w:rsid w:val="007F7325"/>
    <w:rsid w:val="007F7C5D"/>
    <w:rsid w:val="0080004F"/>
    <w:rsid w:val="0080011C"/>
    <w:rsid w:val="00800167"/>
    <w:rsid w:val="008005A0"/>
    <w:rsid w:val="00800793"/>
    <w:rsid w:val="008007B9"/>
    <w:rsid w:val="00800A0A"/>
    <w:rsid w:val="00800B09"/>
    <w:rsid w:val="008012C9"/>
    <w:rsid w:val="00802299"/>
    <w:rsid w:val="00802583"/>
    <w:rsid w:val="0080262A"/>
    <w:rsid w:val="008026D4"/>
    <w:rsid w:val="00802803"/>
    <w:rsid w:val="008028D2"/>
    <w:rsid w:val="00802900"/>
    <w:rsid w:val="00802F8D"/>
    <w:rsid w:val="008039FE"/>
    <w:rsid w:val="00803A52"/>
    <w:rsid w:val="00803B15"/>
    <w:rsid w:val="00803C96"/>
    <w:rsid w:val="00803D97"/>
    <w:rsid w:val="00804A29"/>
    <w:rsid w:val="0080522B"/>
    <w:rsid w:val="008055E8"/>
    <w:rsid w:val="008058FC"/>
    <w:rsid w:val="00805D53"/>
    <w:rsid w:val="00806747"/>
    <w:rsid w:val="008071AE"/>
    <w:rsid w:val="00807309"/>
    <w:rsid w:val="008073F3"/>
    <w:rsid w:val="008075FC"/>
    <w:rsid w:val="00807F2F"/>
    <w:rsid w:val="00807F88"/>
    <w:rsid w:val="008102D3"/>
    <w:rsid w:val="00810306"/>
    <w:rsid w:val="00810495"/>
    <w:rsid w:val="008106C3"/>
    <w:rsid w:val="0081085B"/>
    <w:rsid w:val="00810C86"/>
    <w:rsid w:val="00810CE9"/>
    <w:rsid w:val="00810EEC"/>
    <w:rsid w:val="0081120C"/>
    <w:rsid w:val="0081128E"/>
    <w:rsid w:val="0081137D"/>
    <w:rsid w:val="0081146E"/>
    <w:rsid w:val="0081150B"/>
    <w:rsid w:val="00811767"/>
    <w:rsid w:val="00811A13"/>
    <w:rsid w:val="00811B89"/>
    <w:rsid w:val="00811D79"/>
    <w:rsid w:val="00812003"/>
    <w:rsid w:val="0081267B"/>
    <w:rsid w:val="00812AD3"/>
    <w:rsid w:val="0081312B"/>
    <w:rsid w:val="00813149"/>
    <w:rsid w:val="00813376"/>
    <w:rsid w:val="00813444"/>
    <w:rsid w:val="008134D5"/>
    <w:rsid w:val="00813D57"/>
    <w:rsid w:val="00813DB5"/>
    <w:rsid w:val="00813F7B"/>
    <w:rsid w:val="00814072"/>
    <w:rsid w:val="00814C78"/>
    <w:rsid w:val="00815396"/>
    <w:rsid w:val="00815B9A"/>
    <w:rsid w:val="00815BC8"/>
    <w:rsid w:val="00815C22"/>
    <w:rsid w:val="00815F0D"/>
    <w:rsid w:val="00815F48"/>
    <w:rsid w:val="00816096"/>
    <w:rsid w:val="00816220"/>
    <w:rsid w:val="008162EF"/>
    <w:rsid w:val="0081683D"/>
    <w:rsid w:val="00816BA5"/>
    <w:rsid w:val="00816C08"/>
    <w:rsid w:val="00816F65"/>
    <w:rsid w:val="0081705F"/>
    <w:rsid w:val="008201E1"/>
    <w:rsid w:val="00820A3B"/>
    <w:rsid w:val="00820C21"/>
    <w:rsid w:val="00820F85"/>
    <w:rsid w:val="00820F90"/>
    <w:rsid w:val="008210D3"/>
    <w:rsid w:val="0082110D"/>
    <w:rsid w:val="008215A1"/>
    <w:rsid w:val="0082196E"/>
    <w:rsid w:val="00821ACF"/>
    <w:rsid w:val="00822410"/>
    <w:rsid w:val="00822984"/>
    <w:rsid w:val="00822BEA"/>
    <w:rsid w:val="008232AB"/>
    <w:rsid w:val="0082382B"/>
    <w:rsid w:val="00823859"/>
    <w:rsid w:val="00824047"/>
    <w:rsid w:val="008245D0"/>
    <w:rsid w:val="00824628"/>
    <w:rsid w:val="00824D71"/>
    <w:rsid w:val="00825442"/>
    <w:rsid w:val="0082651E"/>
    <w:rsid w:val="008269E4"/>
    <w:rsid w:val="00826CA1"/>
    <w:rsid w:val="0082703C"/>
    <w:rsid w:val="00827123"/>
    <w:rsid w:val="008271EC"/>
    <w:rsid w:val="008279E5"/>
    <w:rsid w:val="00827B82"/>
    <w:rsid w:val="00827D33"/>
    <w:rsid w:val="008302B0"/>
    <w:rsid w:val="00830687"/>
    <w:rsid w:val="00830703"/>
    <w:rsid w:val="00830BE9"/>
    <w:rsid w:val="00831810"/>
    <w:rsid w:val="008318E7"/>
    <w:rsid w:val="00832037"/>
    <w:rsid w:val="008323C1"/>
    <w:rsid w:val="008324E5"/>
    <w:rsid w:val="008325F3"/>
    <w:rsid w:val="0083289F"/>
    <w:rsid w:val="00832C99"/>
    <w:rsid w:val="00833518"/>
    <w:rsid w:val="00833648"/>
    <w:rsid w:val="00833951"/>
    <w:rsid w:val="00833D80"/>
    <w:rsid w:val="00834105"/>
    <w:rsid w:val="0083461B"/>
    <w:rsid w:val="0083462A"/>
    <w:rsid w:val="008348E2"/>
    <w:rsid w:val="00834DD3"/>
    <w:rsid w:val="00835007"/>
    <w:rsid w:val="0083503B"/>
    <w:rsid w:val="00835DF6"/>
    <w:rsid w:val="008361B5"/>
    <w:rsid w:val="00836432"/>
    <w:rsid w:val="008364FB"/>
    <w:rsid w:val="00836B4E"/>
    <w:rsid w:val="00836C33"/>
    <w:rsid w:val="00837200"/>
    <w:rsid w:val="0083751E"/>
    <w:rsid w:val="00837B41"/>
    <w:rsid w:val="00837C61"/>
    <w:rsid w:val="0084073D"/>
    <w:rsid w:val="008409E4"/>
    <w:rsid w:val="0084176B"/>
    <w:rsid w:val="00841A79"/>
    <w:rsid w:val="0084226F"/>
    <w:rsid w:val="0084252E"/>
    <w:rsid w:val="00842712"/>
    <w:rsid w:val="008429CF"/>
    <w:rsid w:val="00842C59"/>
    <w:rsid w:val="00842D7A"/>
    <w:rsid w:val="0084316C"/>
    <w:rsid w:val="008437A7"/>
    <w:rsid w:val="00843CAD"/>
    <w:rsid w:val="0084414D"/>
    <w:rsid w:val="00844479"/>
    <w:rsid w:val="00844789"/>
    <w:rsid w:val="0084568E"/>
    <w:rsid w:val="00845996"/>
    <w:rsid w:val="00845B19"/>
    <w:rsid w:val="00845EDB"/>
    <w:rsid w:val="008464F3"/>
    <w:rsid w:val="00846F3E"/>
    <w:rsid w:val="00847070"/>
    <w:rsid w:val="0084786F"/>
    <w:rsid w:val="00847C1B"/>
    <w:rsid w:val="00847CDB"/>
    <w:rsid w:val="00850255"/>
    <w:rsid w:val="008503A5"/>
    <w:rsid w:val="0085045E"/>
    <w:rsid w:val="00850ABB"/>
    <w:rsid w:val="00850CCA"/>
    <w:rsid w:val="00851B7B"/>
    <w:rsid w:val="00851E47"/>
    <w:rsid w:val="00852261"/>
    <w:rsid w:val="008527DE"/>
    <w:rsid w:val="00852833"/>
    <w:rsid w:val="0085299D"/>
    <w:rsid w:val="008530B4"/>
    <w:rsid w:val="0085322C"/>
    <w:rsid w:val="00853467"/>
    <w:rsid w:val="0085348D"/>
    <w:rsid w:val="00853653"/>
    <w:rsid w:val="008537C8"/>
    <w:rsid w:val="00853A59"/>
    <w:rsid w:val="00853DB9"/>
    <w:rsid w:val="00853E23"/>
    <w:rsid w:val="00854094"/>
    <w:rsid w:val="00854470"/>
    <w:rsid w:val="008544C2"/>
    <w:rsid w:val="008549D0"/>
    <w:rsid w:val="00855033"/>
    <w:rsid w:val="00855309"/>
    <w:rsid w:val="0085536C"/>
    <w:rsid w:val="008554DF"/>
    <w:rsid w:val="00855926"/>
    <w:rsid w:val="00855D7F"/>
    <w:rsid w:val="0085636B"/>
    <w:rsid w:val="00856E69"/>
    <w:rsid w:val="008571C5"/>
    <w:rsid w:val="0085723B"/>
    <w:rsid w:val="00857372"/>
    <w:rsid w:val="00857394"/>
    <w:rsid w:val="00857758"/>
    <w:rsid w:val="0085782F"/>
    <w:rsid w:val="00857B0C"/>
    <w:rsid w:val="00857E1A"/>
    <w:rsid w:val="00857F5A"/>
    <w:rsid w:val="00860038"/>
    <w:rsid w:val="0086034F"/>
    <w:rsid w:val="00860459"/>
    <w:rsid w:val="00860747"/>
    <w:rsid w:val="00860757"/>
    <w:rsid w:val="00860AEE"/>
    <w:rsid w:val="00860B6B"/>
    <w:rsid w:val="00861114"/>
    <w:rsid w:val="0086161F"/>
    <w:rsid w:val="00862A0F"/>
    <w:rsid w:val="00862B85"/>
    <w:rsid w:val="00862CB1"/>
    <w:rsid w:val="00862E1C"/>
    <w:rsid w:val="00862F1B"/>
    <w:rsid w:val="00863569"/>
    <w:rsid w:val="00863983"/>
    <w:rsid w:val="008639FC"/>
    <w:rsid w:val="00863A2F"/>
    <w:rsid w:val="00863A6C"/>
    <w:rsid w:val="00863A77"/>
    <w:rsid w:val="00863ECD"/>
    <w:rsid w:val="008643C1"/>
    <w:rsid w:val="00864834"/>
    <w:rsid w:val="00864903"/>
    <w:rsid w:val="008649ED"/>
    <w:rsid w:val="008652FB"/>
    <w:rsid w:val="0086579D"/>
    <w:rsid w:val="008659FF"/>
    <w:rsid w:val="008662AE"/>
    <w:rsid w:val="0086646F"/>
    <w:rsid w:val="00866669"/>
    <w:rsid w:val="00867678"/>
    <w:rsid w:val="00867B3C"/>
    <w:rsid w:val="00867C9D"/>
    <w:rsid w:val="00867F2A"/>
    <w:rsid w:val="008700AC"/>
    <w:rsid w:val="008707BA"/>
    <w:rsid w:val="00871068"/>
    <w:rsid w:val="00871243"/>
    <w:rsid w:val="0087148A"/>
    <w:rsid w:val="008715AF"/>
    <w:rsid w:val="00871802"/>
    <w:rsid w:val="00871A29"/>
    <w:rsid w:val="008721E3"/>
    <w:rsid w:val="008722B7"/>
    <w:rsid w:val="008726C9"/>
    <w:rsid w:val="00872857"/>
    <w:rsid w:val="008728C0"/>
    <w:rsid w:val="00872A16"/>
    <w:rsid w:val="00872F29"/>
    <w:rsid w:val="00872F4C"/>
    <w:rsid w:val="008732F3"/>
    <w:rsid w:val="00873DDA"/>
    <w:rsid w:val="00873F13"/>
    <w:rsid w:val="008744B8"/>
    <w:rsid w:val="00874548"/>
    <w:rsid w:val="00874734"/>
    <w:rsid w:val="0087483B"/>
    <w:rsid w:val="00874CD1"/>
    <w:rsid w:val="00875228"/>
    <w:rsid w:val="0087527E"/>
    <w:rsid w:val="0087584B"/>
    <w:rsid w:val="00875BA6"/>
    <w:rsid w:val="00875D0B"/>
    <w:rsid w:val="00875D48"/>
    <w:rsid w:val="00875F04"/>
    <w:rsid w:val="008765E8"/>
    <w:rsid w:val="00876DDD"/>
    <w:rsid w:val="0087718C"/>
    <w:rsid w:val="00877381"/>
    <w:rsid w:val="008774DF"/>
    <w:rsid w:val="00880033"/>
    <w:rsid w:val="0088021F"/>
    <w:rsid w:val="008803F7"/>
    <w:rsid w:val="00880A60"/>
    <w:rsid w:val="00880AF3"/>
    <w:rsid w:val="008821BE"/>
    <w:rsid w:val="00882463"/>
    <w:rsid w:val="00882588"/>
    <w:rsid w:val="00883348"/>
    <w:rsid w:val="008834E4"/>
    <w:rsid w:val="008835DE"/>
    <w:rsid w:val="0088374B"/>
    <w:rsid w:val="008837A5"/>
    <w:rsid w:val="00883CF3"/>
    <w:rsid w:val="00883E99"/>
    <w:rsid w:val="00884072"/>
    <w:rsid w:val="00884135"/>
    <w:rsid w:val="0088424D"/>
    <w:rsid w:val="0088440D"/>
    <w:rsid w:val="008844D0"/>
    <w:rsid w:val="008846F6"/>
    <w:rsid w:val="00884717"/>
    <w:rsid w:val="00884EBA"/>
    <w:rsid w:val="008850EC"/>
    <w:rsid w:val="008851CC"/>
    <w:rsid w:val="00885591"/>
    <w:rsid w:val="00885FC8"/>
    <w:rsid w:val="00886032"/>
    <w:rsid w:val="0088608B"/>
    <w:rsid w:val="008860F2"/>
    <w:rsid w:val="00886174"/>
    <w:rsid w:val="00886451"/>
    <w:rsid w:val="00886574"/>
    <w:rsid w:val="008869C1"/>
    <w:rsid w:val="00886BF3"/>
    <w:rsid w:val="00886F4C"/>
    <w:rsid w:val="00887888"/>
    <w:rsid w:val="00887B21"/>
    <w:rsid w:val="0089136E"/>
    <w:rsid w:val="00891393"/>
    <w:rsid w:val="0089144B"/>
    <w:rsid w:val="0089184D"/>
    <w:rsid w:val="00891CA5"/>
    <w:rsid w:val="00891D74"/>
    <w:rsid w:val="00891EFD"/>
    <w:rsid w:val="008920BD"/>
    <w:rsid w:val="00892182"/>
    <w:rsid w:val="008923CC"/>
    <w:rsid w:val="00892423"/>
    <w:rsid w:val="00892643"/>
    <w:rsid w:val="00892D3F"/>
    <w:rsid w:val="00892DB6"/>
    <w:rsid w:val="0089312E"/>
    <w:rsid w:val="00893167"/>
    <w:rsid w:val="008932C7"/>
    <w:rsid w:val="00893360"/>
    <w:rsid w:val="00893582"/>
    <w:rsid w:val="00893A4B"/>
    <w:rsid w:val="00894C57"/>
    <w:rsid w:val="0089529E"/>
    <w:rsid w:val="0089530B"/>
    <w:rsid w:val="008954EC"/>
    <w:rsid w:val="00895665"/>
    <w:rsid w:val="00895EA5"/>
    <w:rsid w:val="00896208"/>
    <w:rsid w:val="0089635D"/>
    <w:rsid w:val="00896531"/>
    <w:rsid w:val="00896578"/>
    <w:rsid w:val="00896645"/>
    <w:rsid w:val="00896785"/>
    <w:rsid w:val="00896AF7"/>
    <w:rsid w:val="00896C86"/>
    <w:rsid w:val="00896CB9"/>
    <w:rsid w:val="00896F65"/>
    <w:rsid w:val="00896FA4"/>
    <w:rsid w:val="00897173"/>
    <w:rsid w:val="008975AD"/>
    <w:rsid w:val="008976CE"/>
    <w:rsid w:val="0089788F"/>
    <w:rsid w:val="00897E2A"/>
    <w:rsid w:val="008A0064"/>
    <w:rsid w:val="008A02B5"/>
    <w:rsid w:val="008A0BAB"/>
    <w:rsid w:val="008A0CA4"/>
    <w:rsid w:val="008A0D11"/>
    <w:rsid w:val="008A0FDF"/>
    <w:rsid w:val="008A10A1"/>
    <w:rsid w:val="008A1419"/>
    <w:rsid w:val="008A1A5E"/>
    <w:rsid w:val="008A1E5D"/>
    <w:rsid w:val="008A25A1"/>
    <w:rsid w:val="008A322D"/>
    <w:rsid w:val="008A3D43"/>
    <w:rsid w:val="008A3DF7"/>
    <w:rsid w:val="008A4704"/>
    <w:rsid w:val="008A495D"/>
    <w:rsid w:val="008A4C12"/>
    <w:rsid w:val="008A545B"/>
    <w:rsid w:val="008A5580"/>
    <w:rsid w:val="008A5CCA"/>
    <w:rsid w:val="008A5D8D"/>
    <w:rsid w:val="008A601F"/>
    <w:rsid w:val="008A6405"/>
    <w:rsid w:val="008A6549"/>
    <w:rsid w:val="008A66FC"/>
    <w:rsid w:val="008A6836"/>
    <w:rsid w:val="008A6BA0"/>
    <w:rsid w:val="008A6CA1"/>
    <w:rsid w:val="008A6D63"/>
    <w:rsid w:val="008A6FEC"/>
    <w:rsid w:val="008A7F39"/>
    <w:rsid w:val="008B0003"/>
    <w:rsid w:val="008B143E"/>
    <w:rsid w:val="008B1C5A"/>
    <w:rsid w:val="008B1E47"/>
    <w:rsid w:val="008B21A6"/>
    <w:rsid w:val="008B29D7"/>
    <w:rsid w:val="008B2C78"/>
    <w:rsid w:val="008B3770"/>
    <w:rsid w:val="008B387F"/>
    <w:rsid w:val="008B3E1B"/>
    <w:rsid w:val="008B3FD4"/>
    <w:rsid w:val="008B48A7"/>
    <w:rsid w:val="008B4FAB"/>
    <w:rsid w:val="008B51D9"/>
    <w:rsid w:val="008B5849"/>
    <w:rsid w:val="008B63EE"/>
    <w:rsid w:val="008B6C3C"/>
    <w:rsid w:val="008B6C85"/>
    <w:rsid w:val="008B7525"/>
    <w:rsid w:val="008B766D"/>
    <w:rsid w:val="008B7682"/>
    <w:rsid w:val="008B7BE3"/>
    <w:rsid w:val="008B7C32"/>
    <w:rsid w:val="008B7CC2"/>
    <w:rsid w:val="008B7E38"/>
    <w:rsid w:val="008C02D9"/>
    <w:rsid w:val="008C0662"/>
    <w:rsid w:val="008C0806"/>
    <w:rsid w:val="008C09B7"/>
    <w:rsid w:val="008C0C9B"/>
    <w:rsid w:val="008C0D75"/>
    <w:rsid w:val="008C11D0"/>
    <w:rsid w:val="008C1B0A"/>
    <w:rsid w:val="008C212E"/>
    <w:rsid w:val="008C227C"/>
    <w:rsid w:val="008C243A"/>
    <w:rsid w:val="008C24C6"/>
    <w:rsid w:val="008C286D"/>
    <w:rsid w:val="008C2AA6"/>
    <w:rsid w:val="008C2AB7"/>
    <w:rsid w:val="008C2AFB"/>
    <w:rsid w:val="008C32B0"/>
    <w:rsid w:val="008C32CC"/>
    <w:rsid w:val="008C4863"/>
    <w:rsid w:val="008C48EB"/>
    <w:rsid w:val="008C4B59"/>
    <w:rsid w:val="008C5037"/>
    <w:rsid w:val="008C596A"/>
    <w:rsid w:val="008C597E"/>
    <w:rsid w:val="008C5D05"/>
    <w:rsid w:val="008C5DAD"/>
    <w:rsid w:val="008C5E9A"/>
    <w:rsid w:val="008C634B"/>
    <w:rsid w:val="008C64E9"/>
    <w:rsid w:val="008C6791"/>
    <w:rsid w:val="008C7341"/>
    <w:rsid w:val="008C7952"/>
    <w:rsid w:val="008C7C91"/>
    <w:rsid w:val="008D00C7"/>
    <w:rsid w:val="008D06B5"/>
    <w:rsid w:val="008D0CD5"/>
    <w:rsid w:val="008D0DAC"/>
    <w:rsid w:val="008D1352"/>
    <w:rsid w:val="008D1615"/>
    <w:rsid w:val="008D273A"/>
    <w:rsid w:val="008D2CF4"/>
    <w:rsid w:val="008D30C6"/>
    <w:rsid w:val="008D35AE"/>
    <w:rsid w:val="008D35CB"/>
    <w:rsid w:val="008D36F6"/>
    <w:rsid w:val="008D38D5"/>
    <w:rsid w:val="008D3A54"/>
    <w:rsid w:val="008D4656"/>
    <w:rsid w:val="008D4A9F"/>
    <w:rsid w:val="008D4C2E"/>
    <w:rsid w:val="008D4E8C"/>
    <w:rsid w:val="008D5110"/>
    <w:rsid w:val="008D51B3"/>
    <w:rsid w:val="008D53E9"/>
    <w:rsid w:val="008D54CD"/>
    <w:rsid w:val="008D5761"/>
    <w:rsid w:val="008D577E"/>
    <w:rsid w:val="008D5E5E"/>
    <w:rsid w:val="008D62DF"/>
    <w:rsid w:val="008D65B2"/>
    <w:rsid w:val="008D6BCE"/>
    <w:rsid w:val="008D6C9B"/>
    <w:rsid w:val="008D6E7D"/>
    <w:rsid w:val="008D6F12"/>
    <w:rsid w:val="008D74F1"/>
    <w:rsid w:val="008D7645"/>
    <w:rsid w:val="008D7EBE"/>
    <w:rsid w:val="008E083C"/>
    <w:rsid w:val="008E09A6"/>
    <w:rsid w:val="008E0FE6"/>
    <w:rsid w:val="008E101F"/>
    <w:rsid w:val="008E1446"/>
    <w:rsid w:val="008E19B3"/>
    <w:rsid w:val="008E1B36"/>
    <w:rsid w:val="008E20A4"/>
    <w:rsid w:val="008E255F"/>
    <w:rsid w:val="008E2982"/>
    <w:rsid w:val="008E2D3F"/>
    <w:rsid w:val="008E3571"/>
    <w:rsid w:val="008E38CE"/>
    <w:rsid w:val="008E3E75"/>
    <w:rsid w:val="008E410A"/>
    <w:rsid w:val="008E4632"/>
    <w:rsid w:val="008E4CDB"/>
    <w:rsid w:val="008E577E"/>
    <w:rsid w:val="008E5D27"/>
    <w:rsid w:val="008E6120"/>
    <w:rsid w:val="008E620A"/>
    <w:rsid w:val="008E6674"/>
    <w:rsid w:val="008E70FC"/>
    <w:rsid w:val="008E76A6"/>
    <w:rsid w:val="008F04EE"/>
    <w:rsid w:val="008F0605"/>
    <w:rsid w:val="008F0820"/>
    <w:rsid w:val="008F0DCC"/>
    <w:rsid w:val="008F0F86"/>
    <w:rsid w:val="008F1118"/>
    <w:rsid w:val="008F1142"/>
    <w:rsid w:val="008F140B"/>
    <w:rsid w:val="008F14ED"/>
    <w:rsid w:val="008F189A"/>
    <w:rsid w:val="008F1DA0"/>
    <w:rsid w:val="008F23A3"/>
    <w:rsid w:val="008F27E5"/>
    <w:rsid w:val="008F2926"/>
    <w:rsid w:val="008F2EF3"/>
    <w:rsid w:val="008F3108"/>
    <w:rsid w:val="008F3585"/>
    <w:rsid w:val="008F369B"/>
    <w:rsid w:val="008F45AC"/>
    <w:rsid w:val="008F492C"/>
    <w:rsid w:val="008F4936"/>
    <w:rsid w:val="008F5089"/>
    <w:rsid w:val="008F51EF"/>
    <w:rsid w:val="008F5283"/>
    <w:rsid w:val="008F55E0"/>
    <w:rsid w:val="008F55E7"/>
    <w:rsid w:val="008F5ECC"/>
    <w:rsid w:val="008F5ECD"/>
    <w:rsid w:val="008F676D"/>
    <w:rsid w:val="008F7F62"/>
    <w:rsid w:val="00900575"/>
    <w:rsid w:val="009006A6"/>
    <w:rsid w:val="0090073D"/>
    <w:rsid w:val="00900B73"/>
    <w:rsid w:val="00900DAB"/>
    <w:rsid w:val="00900EED"/>
    <w:rsid w:val="00901100"/>
    <w:rsid w:val="00901B89"/>
    <w:rsid w:val="00901DC4"/>
    <w:rsid w:val="00902901"/>
    <w:rsid w:val="00903320"/>
    <w:rsid w:val="0090349F"/>
    <w:rsid w:val="0090467D"/>
    <w:rsid w:val="00904C6B"/>
    <w:rsid w:val="00904D38"/>
    <w:rsid w:val="00905689"/>
    <w:rsid w:val="00906485"/>
    <w:rsid w:val="00906746"/>
    <w:rsid w:val="0090695B"/>
    <w:rsid w:val="00906D88"/>
    <w:rsid w:val="00906E11"/>
    <w:rsid w:val="00906E36"/>
    <w:rsid w:val="00906E49"/>
    <w:rsid w:val="00906FEE"/>
    <w:rsid w:val="0090730E"/>
    <w:rsid w:val="009076F4"/>
    <w:rsid w:val="00907729"/>
    <w:rsid w:val="0091082A"/>
    <w:rsid w:val="009109CA"/>
    <w:rsid w:val="00910F1E"/>
    <w:rsid w:val="00910FEC"/>
    <w:rsid w:val="009110DB"/>
    <w:rsid w:val="009113CD"/>
    <w:rsid w:val="00911F18"/>
    <w:rsid w:val="009120F6"/>
    <w:rsid w:val="00912F99"/>
    <w:rsid w:val="00913014"/>
    <w:rsid w:val="00913207"/>
    <w:rsid w:val="009136F7"/>
    <w:rsid w:val="00913BBE"/>
    <w:rsid w:val="00913D12"/>
    <w:rsid w:val="00913E2E"/>
    <w:rsid w:val="00914780"/>
    <w:rsid w:val="0091478B"/>
    <w:rsid w:val="00914B62"/>
    <w:rsid w:val="00914EA8"/>
    <w:rsid w:val="00915970"/>
    <w:rsid w:val="00915AB7"/>
    <w:rsid w:val="0091664E"/>
    <w:rsid w:val="009168C4"/>
    <w:rsid w:val="00916A7A"/>
    <w:rsid w:val="00916CB9"/>
    <w:rsid w:val="009172C4"/>
    <w:rsid w:val="00917753"/>
    <w:rsid w:val="009178B4"/>
    <w:rsid w:val="00917D55"/>
    <w:rsid w:val="00917F35"/>
    <w:rsid w:val="009200D9"/>
    <w:rsid w:val="0092080E"/>
    <w:rsid w:val="00920B91"/>
    <w:rsid w:val="00920C75"/>
    <w:rsid w:val="0092112F"/>
    <w:rsid w:val="00921454"/>
    <w:rsid w:val="0092148E"/>
    <w:rsid w:val="009215FB"/>
    <w:rsid w:val="00921C7E"/>
    <w:rsid w:val="00921CCE"/>
    <w:rsid w:val="00921E06"/>
    <w:rsid w:val="00921EA7"/>
    <w:rsid w:val="0092206E"/>
    <w:rsid w:val="009220EC"/>
    <w:rsid w:val="0092215A"/>
    <w:rsid w:val="0092233B"/>
    <w:rsid w:val="009226E4"/>
    <w:rsid w:val="00922CE6"/>
    <w:rsid w:val="0092357F"/>
    <w:rsid w:val="0092376F"/>
    <w:rsid w:val="00923939"/>
    <w:rsid w:val="00923AE9"/>
    <w:rsid w:val="00923E06"/>
    <w:rsid w:val="009246B5"/>
    <w:rsid w:val="0092478D"/>
    <w:rsid w:val="009253A2"/>
    <w:rsid w:val="0092542D"/>
    <w:rsid w:val="009257AE"/>
    <w:rsid w:val="00925A29"/>
    <w:rsid w:val="0092607C"/>
    <w:rsid w:val="009266A6"/>
    <w:rsid w:val="0092680C"/>
    <w:rsid w:val="00926D1D"/>
    <w:rsid w:val="00926F28"/>
    <w:rsid w:val="009272AA"/>
    <w:rsid w:val="00927490"/>
    <w:rsid w:val="009277AC"/>
    <w:rsid w:val="009278B8"/>
    <w:rsid w:val="00927C35"/>
    <w:rsid w:val="00931185"/>
    <w:rsid w:val="00931C6E"/>
    <w:rsid w:val="00932082"/>
    <w:rsid w:val="009323EB"/>
    <w:rsid w:val="00932664"/>
    <w:rsid w:val="0093272A"/>
    <w:rsid w:val="00932A06"/>
    <w:rsid w:val="00932AFB"/>
    <w:rsid w:val="00932B71"/>
    <w:rsid w:val="009332B1"/>
    <w:rsid w:val="00933598"/>
    <w:rsid w:val="00933659"/>
    <w:rsid w:val="0093376C"/>
    <w:rsid w:val="009341C7"/>
    <w:rsid w:val="00934213"/>
    <w:rsid w:val="009346DE"/>
    <w:rsid w:val="00934912"/>
    <w:rsid w:val="00934FD5"/>
    <w:rsid w:val="00935A4D"/>
    <w:rsid w:val="00935A68"/>
    <w:rsid w:val="00935A84"/>
    <w:rsid w:val="00935D55"/>
    <w:rsid w:val="0093627C"/>
    <w:rsid w:val="0093677C"/>
    <w:rsid w:val="00936A33"/>
    <w:rsid w:val="00936AE0"/>
    <w:rsid w:val="00936F4F"/>
    <w:rsid w:val="00937664"/>
    <w:rsid w:val="0093767F"/>
    <w:rsid w:val="00937797"/>
    <w:rsid w:val="00937845"/>
    <w:rsid w:val="00937CCF"/>
    <w:rsid w:val="009408C6"/>
    <w:rsid w:val="00940922"/>
    <w:rsid w:val="00940F6B"/>
    <w:rsid w:val="00941823"/>
    <w:rsid w:val="00941853"/>
    <w:rsid w:val="00941909"/>
    <w:rsid w:val="00941C95"/>
    <w:rsid w:val="00941F19"/>
    <w:rsid w:val="009420AB"/>
    <w:rsid w:val="009422C9"/>
    <w:rsid w:val="0094248A"/>
    <w:rsid w:val="00942797"/>
    <w:rsid w:val="00942BB6"/>
    <w:rsid w:val="00942D5D"/>
    <w:rsid w:val="009446D7"/>
    <w:rsid w:val="00944A3A"/>
    <w:rsid w:val="00944CF6"/>
    <w:rsid w:val="00944EBB"/>
    <w:rsid w:val="00945669"/>
    <w:rsid w:val="009464D4"/>
    <w:rsid w:val="009465DF"/>
    <w:rsid w:val="0094688D"/>
    <w:rsid w:val="00946937"/>
    <w:rsid w:val="00946D51"/>
    <w:rsid w:val="0094717B"/>
    <w:rsid w:val="0094742C"/>
    <w:rsid w:val="0094775F"/>
    <w:rsid w:val="00950406"/>
    <w:rsid w:val="0095059B"/>
    <w:rsid w:val="00950CDA"/>
    <w:rsid w:val="00950EAB"/>
    <w:rsid w:val="009512B3"/>
    <w:rsid w:val="009519BC"/>
    <w:rsid w:val="00951ACF"/>
    <w:rsid w:val="0095211A"/>
    <w:rsid w:val="00952529"/>
    <w:rsid w:val="00952A6F"/>
    <w:rsid w:val="00952B73"/>
    <w:rsid w:val="00953698"/>
    <w:rsid w:val="00953BAA"/>
    <w:rsid w:val="00953CF3"/>
    <w:rsid w:val="00953D4F"/>
    <w:rsid w:val="0095427B"/>
    <w:rsid w:val="00954933"/>
    <w:rsid w:val="00954B60"/>
    <w:rsid w:val="009558EB"/>
    <w:rsid w:val="009559D4"/>
    <w:rsid w:val="00955A9A"/>
    <w:rsid w:val="00955EB1"/>
    <w:rsid w:val="009560BD"/>
    <w:rsid w:val="009562BC"/>
    <w:rsid w:val="009564B6"/>
    <w:rsid w:val="009566D5"/>
    <w:rsid w:val="00956907"/>
    <w:rsid w:val="009569F6"/>
    <w:rsid w:val="00956AEB"/>
    <w:rsid w:val="00957DF9"/>
    <w:rsid w:val="0096070F"/>
    <w:rsid w:val="0096073F"/>
    <w:rsid w:val="00960C4A"/>
    <w:rsid w:val="0096231E"/>
    <w:rsid w:val="00962B47"/>
    <w:rsid w:val="00962CC5"/>
    <w:rsid w:val="00963274"/>
    <w:rsid w:val="0096393F"/>
    <w:rsid w:val="00964079"/>
    <w:rsid w:val="009648A6"/>
    <w:rsid w:val="00964CC0"/>
    <w:rsid w:val="0096507F"/>
    <w:rsid w:val="009655D0"/>
    <w:rsid w:val="0096571B"/>
    <w:rsid w:val="00965AF0"/>
    <w:rsid w:val="00966160"/>
    <w:rsid w:val="009663BA"/>
    <w:rsid w:val="009663E8"/>
    <w:rsid w:val="009664A8"/>
    <w:rsid w:val="009666FD"/>
    <w:rsid w:val="00966854"/>
    <w:rsid w:val="00966C81"/>
    <w:rsid w:val="009675B0"/>
    <w:rsid w:val="00967619"/>
    <w:rsid w:val="009707BF"/>
    <w:rsid w:val="0097131A"/>
    <w:rsid w:val="009720AA"/>
    <w:rsid w:val="009721AB"/>
    <w:rsid w:val="00972268"/>
    <w:rsid w:val="0097250B"/>
    <w:rsid w:val="009726B2"/>
    <w:rsid w:val="00972A63"/>
    <w:rsid w:val="00972AA6"/>
    <w:rsid w:val="00974208"/>
    <w:rsid w:val="009743C9"/>
    <w:rsid w:val="009744F7"/>
    <w:rsid w:val="00974821"/>
    <w:rsid w:val="00974BF6"/>
    <w:rsid w:val="009758C4"/>
    <w:rsid w:val="00975921"/>
    <w:rsid w:val="009759CA"/>
    <w:rsid w:val="00975C92"/>
    <w:rsid w:val="00976035"/>
    <w:rsid w:val="009760E3"/>
    <w:rsid w:val="009764E8"/>
    <w:rsid w:val="00976789"/>
    <w:rsid w:val="00976A9A"/>
    <w:rsid w:val="00976DFF"/>
    <w:rsid w:val="0097708F"/>
    <w:rsid w:val="0097758F"/>
    <w:rsid w:val="00977667"/>
    <w:rsid w:val="009779EF"/>
    <w:rsid w:val="00977A65"/>
    <w:rsid w:val="00977A9E"/>
    <w:rsid w:val="00977D6B"/>
    <w:rsid w:val="00980152"/>
    <w:rsid w:val="00980369"/>
    <w:rsid w:val="0098086E"/>
    <w:rsid w:val="00980E8E"/>
    <w:rsid w:val="00980FA4"/>
    <w:rsid w:val="009815D0"/>
    <w:rsid w:val="00982007"/>
    <w:rsid w:val="0098322F"/>
    <w:rsid w:val="0098346D"/>
    <w:rsid w:val="00983645"/>
    <w:rsid w:val="00983ADB"/>
    <w:rsid w:val="00983EFF"/>
    <w:rsid w:val="0098423F"/>
    <w:rsid w:val="00984300"/>
    <w:rsid w:val="009843A4"/>
    <w:rsid w:val="00984BCE"/>
    <w:rsid w:val="00984DCF"/>
    <w:rsid w:val="00985032"/>
    <w:rsid w:val="0098516B"/>
    <w:rsid w:val="009852F1"/>
    <w:rsid w:val="009861C0"/>
    <w:rsid w:val="009864A8"/>
    <w:rsid w:val="00986725"/>
    <w:rsid w:val="00986815"/>
    <w:rsid w:val="00986A89"/>
    <w:rsid w:val="00986C3E"/>
    <w:rsid w:val="00987131"/>
    <w:rsid w:val="009877CF"/>
    <w:rsid w:val="00987996"/>
    <w:rsid w:val="009879A5"/>
    <w:rsid w:val="00987A80"/>
    <w:rsid w:val="00987AD0"/>
    <w:rsid w:val="00987C2C"/>
    <w:rsid w:val="009905F5"/>
    <w:rsid w:val="00990862"/>
    <w:rsid w:val="00990882"/>
    <w:rsid w:val="009909D0"/>
    <w:rsid w:val="00990CCE"/>
    <w:rsid w:val="00990DD7"/>
    <w:rsid w:val="00990DDB"/>
    <w:rsid w:val="00991CF8"/>
    <w:rsid w:val="00992FA1"/>
    <w:rsid w:val="00993467"/>
    <w:rsid w:val="00993559"/>
    <w:rsid w:val="00994B1B"/>
    <w:rsid w:val="00994D0C"/>
    <w:rsid w:val="00995131"/>
    <w:rsid w:val="00995184"/>
    <w:rsid w:val="0099530A"/>
    <w:rsid w:val="009961A9"/>
    <w:rsid w:val="00996752"/>
    <w:rsid w:val="0099699B"/>
    <w:rsid w:val="009969EB"/>
    <w:rsid w:val="00997610"/>
    <w:rsid w:val="00997976"/>
    <w:rsid w:val="00997A3A"/>
    <w:rsid w:val="009A043D"/>
    <w:rsid w:val="009A04EA"/>
    <w:rsid w:val="009A13EA"/>
    <w:rsid w:val="009A1B61"/>
    <w:rsid w:val="009A1C7D"/>
    <w:rsid w:val="009A2069"/>
    <w:rsid w:val="009A2687"/>
    <w:rsid w:val="009A2CD5"/>
    <w:rsid w:val="009A307B"/>
    <w:rsid w:val="009A3418"/>
    <w:rsid w:val="009A43A6"/>
    <w:rsid w:val="009A44AF"/>
    <w:rsid w:val="009A4B02"/>
    <w:rsid w:val="009A5386"/>
    <w:rsid w:val="009A56C6"/>
    <w:rsid w:val="009A5E32"/>
    <w:rsid w:val="009A606E"/>
    <w:rsid w:val="009A608E"/>
    <w:rsid w:val="009A61FC"/>
    <w:rsid w:val="009A6227"/>
    <w:rsid w:val="009A71AC"/>
    <w:rsid w:val="009A75BA"/>
    <w:rsid w:val="009A773C"/>
    <w:rsid w:val="009A7795"/>
    <w:rsid w:val="009B07BF"/>
    <w:rsid w:val="009B15ED"/>
    <w:rsid w:val="009B16DC"/>
    <w:rsid w:val="009B3520"/>
    <w:rsid w:val="009B3531"/>
    <w:rsid w:val="009B40DC"/>
    <w:rsid w:val="009B4660"/>
    <w:rsid w:val="009B494E"/>
    <w:rsid w:val="009B49C3"/>
    <w:rsid w:val="009B4D21"/>
    <w:rsid w:val="009B4DB5"/>
    <w:rsid w:val="009B4FC6"/>
    <w:rsid w:val="009B55F3"/>
    <w:rsid w:val="009B59BF"/>
    <w:rsid w:val="009B5A32"/>
    <w:rsid w:val="009B5F0C"/>
    <w:rsid w:val="009B60E2"/>
    <w:rsid w:val="009B63CA"/>
    <w:rsid w:val="009B6A15"/>
    <w:rsid w:val="009B6E8B"/>
    <w:rsid w:val="009B6EAA"/>
    <w:rsid w:val="009B7011"/>
    <w:rsid w:val="009B7A1C"/>
    <w:rsid w:val="009B7B8C"/>
    <w:rsid w:val="009B7DE5"/>
    <w:rsid w:val="009C0D57"/>
    <w:rsid w:val="009C0D8E"/>
    <w:rsid w:val="009C0F54"/>
    <w:rsid w:val="009C1AF3"/>
    <w:rsid w:val="009C235E"/>
    <w:rsid w:val="009C242C"/>
    <w:rsid w:val="009C2DEC"/>
    <w:rsid w:val="009C34CA"/>
    <w:rsid w:val="009C3DF1"/>
    <w:rsid w:val="009C51E8"/>
    <w:rsid w:val="009C5379"/>
    <w:rsid w:val="009C5578"/>
    <w:rsid w:val="009C5919"/>
    <w:rsid w:val="009C5AFB"/>
    <w:rsid w:val="009C5EB4"/>
    <w:rsid w:val="009C5FAB"/>
    <w:rsid w:val="009C63DB"/>
    <w:rsid w:val="009C65BE"/>
    <w:rsid w:val="009C664E"/>
    <w:rsid w:val="009C6A3B"/>
    <w:rsid w:val="009C6BAF"/>
    <w:rsid w:val="009C6E13"/>
    <w:rsid w:val="009C723A"/>
    <w:rsid w:val="009C7C11"/>
    <w:rsid w:val="009C7F26"/>
    <w:rsid w:val="009D0BCB"/>
    <w:rsid w:val="009D0BCC"/>
    <w:rsid w:val="009D1FDA"/>
    <w:rsid w:val="009D282B"/>
    <w:rsid w:val="009D3354"/>
    <w:rsid w:val="009D3B71"/>
    <w:rsid w:val="009D3DDA"/>
    <w:rsid w:val="009D4326"/>
    <w:rsid w:val="009D542A"/>
    <w:rsid w:val="009D545D"/>
    <w:rsid w:val="009D54F8"/>
    <w:rsid w:val="009D55C8"/>
    <w:rsid w:val="009D5935"/>
    <w:rsid w:val="009D5BAD"/>
    <w:rsid w:val="009D5BD3"/>
    <w:rsid w:val="009D6063"/>
    <w:rsid w:val="009D6308"/>
    <w:rsid w:val="009D68C5"/>
    <w:rsid w:val="009D6C74"/>
    <w:rsid w:val="009D6D57"/>
    <w:rsid w:val="009D6DAF"/>
    <w:rsid w:val="009D7060"/>
    <w:rsid w:val="009D73C2"/>
    <w:rsid w:val="009D7DEF"/>
    <w:rsid w:val="009D7E58"/>
    <w:rsid w:val="009D7F7F"/>
    <w:rsid w:val="009E0182"/>
    <w:rsid w:val="009E0297"/>
    <w:rsid w:val="009E03D5"/>
    <w:rsid w:val="009E0D2F"/>
    <w:rsid w:val="009E0D5E"/>
    <w:rsid w:val="009E0D73"/>
    <w:rsid w:val="009E1025"/>
    <w:rsid w:val="009E11F9"/>
    <w:rsid w:val="009E14DD"/>
    <w:rsid w:val="009E1524"/>
    <w:rsid w:val="009E1789"/>
    <w:rsid w:val="009E1F33"/>
    <w:rsid w:val="009E20C3"/>
    <w:rsid w:val="009E2496"/>
    <w:rsid w:val="009E2777"/>
    <w:rsid w:val="009E3012"/>
    <w:rsid w:val="009E36D2"/>
    <w:rsid w:val="009E36F0"/>
    <w:rsid w:val="009E4E19"/>
    <w:rsid w:val="009E4F9F"/>
    <w:rsid w:val="009E4FA9"/>
    <w:rsid w:val="009E50AA"/>
    <w:rsid w:val="009E54D0"/>
    <w:rsid w:val="009E5544"/>
    <w:rsid w:val="009E55C4"/>
    <w:rsid w:val="009E5A7C"/>
    <w:rsid w:val="009E60EF"/>
    <w:rsid w:val="009E60F2"/>
    <w:rsid w:val="009E6344"/>
    <w:rsid w:val="009E6474"/>
    <w:rsid w:val="009E6935"/>
    <w:rsid w:val="009E726B"/>
    <w:rsid w:val="009E73FF"/>
    <w:rsid w:val="009E758D"/>
    <w:rsid w:val="009E7EBE"/>
    <w:rsid w:val="009E7FA8"/>
    <w:rsid w:val="009F0028"/>
    <w:rsid w:val="009F0139"/>
    <w:rsid w:val="009F0363"/>
    <w:rsid w:val="009F03EE"/>
    <w:rsid w:val="009F0414"/>
    <w:rsid w:val="009F0C86"/>
    <w:rsid w:val="009F0CE1"/>
    <w:rsid w:val="009F0DB3"/>
    <w:rsid w:val="009F0EC8"/>
    <w:rsid w:val="009F1082"/>
    <w:rsid w:val="009F10BC"/>
    <w:rsid w:val="009F11F1"/>
    <w:rsid w:val="009F12D1"/>
    <w:rsid w:val="009F155D"/>
    <w:rsid w:val="009F1C11"/>
    <w:rsid w:val="009F1C37"/>
    <w:rsid w:val="009F2736"/>
    <w:rsid w:val="009F290C"/>
    <w:rsid w:val="009F34BC"/>
    <w:rsid w:val="009F3A28"/>
    <w:rsid w:val="009F3D7D"/>
    <w:rsid w:val="009F3F12"/>
    <w:rsid w:val="009F4133"/>
    <w:rsid w:val="009F42D4"/>
    <w:rsid w:val="009F43C6"/>
    <w:rsid w:val="009F4460"/>
    <w:rsid w:val="009F46FD"/>
    <w:rsid w:val="009F4729"/>
    <w:rsid w:val="009F4C50"/>
    <w:rsid w:val="009F5313"/>
    <w:rsid w:val="009F55AD"/>
    <w:rsid w:val="009F5678"/>
    <w:rsid w:val="009F5C7C"/>
    <w:rsid w:val="009F6EED"/>
    <w:rsid w:val="009F72AA"/>
    <w:rsid w:val="009F742C"/>
    <w:rsid w:val="009F7560"/>
    <w:rsid w:val="009F77CB"/>
    <w:rsid w:val="009F7932"/>
    <w:rsid w:val="00A008A7"/>
    <w:rsid w:val="00A00B99"/>
    <w:rsid w:val="00A00C07"/>
    <w:rsid w:val="00A0102C"/>
    <w:rsid w:val="00A015F5"/>
    <w:rsid w:val="00A01613"/>
    <w:rsid w:val="00A018EF"/>
    <w:rsid w:val="00A01A46"/>
    <w:rsid w:val="00A01CCB"/>
    <w:rsid w:val="00A02EF9"/>
    <w:rsid w:val="00A02F1F"/>
    <w:rsid w:val="00A030FC"/>
    <w:rsid w:val="00A034EF"/>
    <w:rsid w:val="00A03793"/>
    <w:rsid w:val="00A03BF1"/>
    <w:rsid w:val="00A03D76"/>
    <w:rsid w:val="00A04212"/>
    <w:rsid w:val="00A04A72"/>
    <w:rsid w:val="00A04CB3"/>
    <w:rsid w:val="00A055D1"/>
    <w:rsid w:val="00A0589A"/>
    <w:rsid w:val="00A05A6B"/>
    <w:rsid w:val="00A05AC2"/>
    <w:rsid w:val="00A05BA8"/>
    <w:rsid w:val="00A060AC"/>
    <w:rsid w:val="00A0610F"/>
    <w:rsid w:val="00A06B1D"/>
    <w:rsid w:val="00A07273"/>
    <w:rsid w:val="00A07779"/>
    <w:rsid w:val="00A10209"/>
    <w:rsid w:val="00A1122D"/>
    <w:rsid w:val="00A1163D"/>
    <w:rsid w:val="00A117B7"/>
    <w:rsid w:val="00A11961"/>
    <w:rsid w:val="00A119CA"/>
    <w:rsid w:val="00A11CFA"/>
    <w:rsid w:val="00A11D61"/>
    <w:rsid w:val="00A121F5"/>
    <w:rsid w:val="00A124A5"/>
    <w:rsid w:val="00A125ED"/>
    <w:rsid w:val="00A12C87"/>
    <w:rsid w:val="00A12CA1"/>
    <w:rsid w:val="00A12ECF"/>
    <w:rsid w:val="00A12F8C"/>
    <w:rsid w:val="00A1344F"/>
    <w:rsid w:val="00A13941"/>
    <w:rsid w:val="00A13B72"/>
    <w:rsid w:val="00A13BB0"/>
    <w:rsid w:val="00A13DD0"/>
    <w:rsid w:val="00A14388"/>
    <w:rsid w:val="00A143C8"/>
    <w:rsid w:val="00A144DD"/>
    <w:rsid w:val="00A1484D"/>
    <w:rsid w:val="00A15E18"/>
    <w:rsid w:val="00A16370"/>
    <w:rsid w:val="00A16477"/>
    <w:rsid w:val="00A164F8"/>
    <w:rsid w:val="00A1695B"/>
    <w:rsid w:val="00A16C38"/>
    <w:rsid w:val="00A16C94"/>
    <w:rsid w:val="00A16E29"/>
    <w:rsid w:val="00A16FF1"/>
    <w:rsid w:val="00A17904"/>
    <w:rsid w:val="00A17EEF"/>
    <w:rsid w:val="00A20441"/>
    <w:rsid w:val="00A20EEC"/>
    <w:rsid w:val="00A2108E"/>
    <w:rsid w:val="00A211D9"/>
    <w:rsid w:val="00A21A9B"/>
    <w:rsid w:val="00A21BDF"/>
    <w:rsid w:val="00A221FA"/>
    <w:rsid w:val="00A22589"/>
    <w:rsid w:val="00A226BC"/>
    <w:rsid w:val="00A2295B"/>
    <w:rsid w:val="00A22FE2"/>
    <w:rsid w:val="00A23299"/>
    <w:rsid w:val="00A23831"/>
    <w:rsid w:val="00A244C3"/>
    <w:rsid w:val="00A253FF"/>
    <w:rsid w:val="00A259E2"/>
    <w:rsid w:val="00A25D6F"/>
    <w:rsid w:val="00A26042"/>
    <w:rsid w:val="00A26257"/>
    <w:rsid w:val="00A2667C"/>
    <w:rsid w:val="00A26780"/>
    <w:rsid w:val="00A26C81"/>
    <w:rsid w:val="00A26DA8"/>
    <w:rsid w:val="00A278DD"/>
    <w:rsid w:val="00A30299"/>
    <w:rsid w:val="00A30704"/>
    <w:rsid w:val="00A30C0F"/>
    <w:rsid w:val="00A31499"/>
    <w:rsid w:val="00A31729"/>
    <w:rsid w:val="00A31B61"/>
    <w:rsid w:val="00A31E35"/>
    <w:rsid w:val="00A325F9"/>
    <w:rsid w:val="00A32A99"/>
    <w:rsid w:val="00A33831"/>
    <w:rsid w:val="00A33917"/>
    <w:rsid w:val="00A33A45"/>
    <w:rsid w:val="00A33CC2"/>
    <w:rsid w:val="00A340B6"/>
    <w:rsid w:val="00A3442B"/>
    <w:rsid w:val="00A34BB1"/>
    <w:rsid w:val="00A355E2"/>
    <w:rsid w:val="00A35985"/>
    <w:rsid w:val="00A36419"/>
    <w:rsid w:val="00A367A7"/>
    <w:rsid w:val="00A36B8E"/>
    <w:rsid w:val="00A36B9B"/>
    <w:rsid w:val="00A3744F"/>
    <w:rsid w:val="00A375BC"/>
    <w:rsid w:val="00A375BD"/>
    <w:rsid w:val="00A37BF6"/>
    <w:rsid w:val="00A403D8"/>
    <w:rsid w:val="00A408CA"/>
    <w:rsid w:val="00A40B90"/>
    <w:rsid w:val="00A416EF"/>
    <w:rsid w:val="00A417DC"/>
    <w:rsid w:val="00A41EA8"/>
    <w:rsid w:val="00A42385"/>
    <w:rsid w:val="00A42548"/>
    <w:rsid w:val="00A4264A"/>
    <w:rsid w:val="00A426CA"/>
    <w:rsid w:val="00A42818"/>
    <w:rsid w:val="00A42DB5"/>
    <w:rsid w:val="00A43005"/>
    <w:rsid w:val="00A4331C"/>
    <w:rsid w:val="00A43689"/>
    <w:rsid w:val="00A43D4B"/>
    <w:rsid w:val="00A442E2"/>
    <w:rsid w:val="00A4448F"/>
    <w:rsid w:val="00A44697"/>
    <w:rsid w:val="00A44E27"/>
    <w:rsid w:val="00A45008"/>
    <w:rsid w:val="00A45483"/>
    <w:rsid w:val="00A4583B"/>
    <w:rsid w:val="00A45ADE"/>
    <w:rsid w:val="00A45C71"/>
    <w:rsid w:val="00A46031"/>
    <w:rsid w:val="00A4627A"/>
    <w:rsid w:val="00A4695C"/>
    <w:rsid w:val="00A46A3E"/>
    <w:rsid w:val="00A473E4"/>
    <w:rsid w:val="00A47480"/>
    <w:rsid w:val="00A477CA"/>
    <w:rsid w:val="00A47F95"/>
    <w:rsid w:val="00A50078"/>
    <w:rsid w:val="00A5021A"/>
    <w:rsid w:val="00A50307"/>
    <w:rsid w:val="00A50459"/>
    <w:rsid w:val="00A504BF"/>
    <w:rsid w:val="00A50529"/>
    <w:rsid w:val="00A50A76"/>
    <w:rsid w:val="00A511C0"/>
    <w:rsid w:val="00A5157E"/>
    <w:rsid w:val="00A51725"/>
    <w:rsid w:val="00A51A09"/>
    <w:rsid w:val="00A52228"/>
    <w:rsid w:val="00A52C40"/>
    <w:rsid w:val="00A530AE"/>
    <w:rsid w:val="00A53165"/>
    <w:rsid w:val="00A5356C"/>
    <w:rsid w:val="00A537CF"/>
    <w:rsid w:val="00A53C7E"/>
    <w:rsid w:val="00A53D2A"/>
    <w:rsid w:val="00A5472F"/>
    <w:rsid w:val="00A54785"/>
    <w:rsid w:val="00A54D98"/>
    <w:rsid w:val="00A552B1"/>
    <w:rsid w:val="00A552B2"/>
    <w:rsid w:val="00A55599"/>
    <w:rsid w:val="00A555CE"/>
    <w:rsid w:val="00A5587C"/>
    <w:rsid w:val="00A559DB"/>
    <w:rsid w:val="00A55ECB"/>
    <w:rsid w:val="00A55FE0"/>
    <w:rsid w:val="00A5635B"/>
    <w:rsid w:val="00A56A34"/>
    <w:rsid w:val="00A57114"/>
    <w:rsid w:val="00A57312"/>
    <w:rsid w:val="00A57334"/>
    <w:rsid w:val="00A5772C"/>
    <w:rsid w:val="00A57BBC"/>
    <w:rsid w:val="00A57DF9"/>
    <w:rsid w:val="00A60519"/>
    <w:rsid w:val="00A6138B"/>
    <w:rsid w:val="00A613E2"/>
    <w:rsid w:val="00A615A4"/>
    <w:rsid w:val="00A61EC7"/>
    <w:rsid w:val="00A626D3"/>
    <w:rsid w:val="00A629E8"/>
    <w:rsid w:val="00A62D07"/>
    <w:rsid w:val="00A62E04"/>
    <w:rsid w:val="00A635B6"/>
    <w:rsid w:val="00A63A0C"/>
    <w:rsid w:val="00A63B62"/>
    <w:rsid w:val="00A64232"/>
    <w:rsid w:val="00A64367"/>
    <w:rsid w:val="00A644FB"/>
    <w:rsid w:val="00A65CE1"/>
    <w:rsid w:val="00A6619A"/>
    <w:rsid w:val="00A66207"/>
    <w:rsid w:val="00A66980"/>
    <w:rsid w:val="00A66B32"/>
    <w:rsid w:val="00A66E03"/>
    <w:rsid w:val="00A6752D"/>
    <w:rsid w:val="00A67594"/>
    <w:rsid w:val="00A67A1D"/>
    <w:rsid w:val="00A67A55"/>
    <w:rsid w:val="00A70177"/>
    <w:rsid w:val="00A7017C"/>
    <w:rsid w:val="00A70349"/>
    <w:rsid w:val="00A70657"/>
    <w:rsid w:val="00A711A3"/>
    <w:rsid w:val="00A7137B"/>
    <w:rsid w:val="00A714B8"/>
    <w:rsid w:val="00A71790"/>
    <w:rsid w:val="00A71C28"/>
    <w:rsid w:val="00A71C3B"/>
    <w:rsid w:val="00A71EE7"/>
    <w:rsid w:val="00A71FD9"/>
    <w:rsid w:val="00A7218D"/>
    <w:rsid w:val="00A72291"/>
    <w:rsid w:val="00A722BC"/>
    <w:rsid w:val="00A72499"/>
    <w:rsid w:val="00A72675"/>
    <w:rsid w:val="00A72E53"/>
    <w:rsid w:val="00A73165"/>
    <w:rsid w:val="00A7369D"/>
    <w:rsid w:val="00A738F1"/>
    <w:rsid w:val="00A73A67"/>
    <w:rsid w:val="00A73BFE"/>
    <w:rsid w:val="00A73CC6"/>
    <w:rsid w:val="00A73D4F"/>
    <w:rsid w:val="00A73FD9"/>
    <w:rsid w:val="00A746F4"/>
    <w:rsid w:val="00A75350"/>
    <w:rsid w:val="00A7535B"/>
    <w:rsid w:val="00A754D2"/>
    <w:rsid w:val="00A756A6"/>
    <w:rsid w:val="00A757B1"/>
    <w:rsid w:val="00A75C51"/>
    <w:rsid w:val="00A76331"/>
    <w:rsid w:val="00A7689E"/>
    <w:rsid w:val="00A76E1E"/>
    <w:rsid w:val="00A772DA"/>
    <w:rsid w:val="00A779B9"/>
    <w:rsid w:val="00A8015C"/>
    <w:rsid w:val="00A80163"/>
    <w:rsid w:val="00A801FF"/>
    <w:rsid w:val="00A803BB"/>
    <w:rsid w:val="00A80474"/>
    <w:rsid w:val="00A80674"/>
    <w:rsid w:val="00A80D8B"/>
    <w:rsid w:val="00A813F4"/>
    <w:rsid w:val="00A8155F"/>
    <w:rsid w:val="00A8170A"/>
    <w:rsid w:val="00A8217A"/>
    <w:rsid w:val="00A82293"/>
    <w:rsid w:val="00A82447"/>
    <w:rsid w:val="00A82C29"/>
    <w:rsid w:val="00A82C4B"/>
    <w:rsid w:val="00A82E0B"/>
    <w:rsid w:val="00A83240"/>
    <w:rsid w:val="00A848CA"/>
    <w:rsid w:val="00A84B82"/>
    <w:rsid w:val="00A84E25"/>
    <w:rsid w:val="00A85015"/>
    <w:rsid w:val="00A8528E"/>
    <w:rsid w:val="00A8557C"/>
    <w:rsid w:val="00A8585E"/>
    <w:rsid w:val="00A858DA"/>
    <w:rsid w:val="00A85C4F"/>
    <w:rsid w:val="00A86022"/>
    <w:rsid w:val="00A860D2"/>
    <w:rsid w:val="00A8655C"/>
    <w:rsid w:val="00A8709C"/>
    <w:rsid w:val="00A87463"/>
    <w:rsid w:val="00A87AC0"/>
    <w:rsid w:val="00A87F9D"/>
    <w:rsid w:val="00A87FCA"/>
    <w:rsid w:val="00A904FB"/>
    <w:rsid w:val="00A905FE"/>
    <w:rsid w:val="00A90798"/>
    <w:rsid w:val="00A91166"/>
    <w:rsid w:val="00A911B1"/>
    <w:rsid w:val="00A914E5"/>
    <w:rsid w:val="00A91706"/>
    <w:rsid w:val="00A9170B"/>
    <w:rsid w:val="00A91A01"/>
    <w:rsid w:val="00A91BD1"/>
    <w:rsid w:val="00A91CEA"/>
    <w:rsid w:val="00A91E7F"/>
    <w:rsid w:val="00A91FD1"/>
    <w:rsid w:val="00A92265"/>
    <w:rsid w:val="00A92463"/>
    <w:rsid w:val="00A92546"/>
    <w:rsid w:val="00A926A8"/>
    <w:rsid w:val="00A930B0"/>
    <w:rsid w:val="00A930BB"/>
    <w:rsid w:val="00A931B4"/>
    <w:rsid w:val="00A931F4"/>
    <w:rsid w:val="00A93322"/>
    <w:rsid w:val="00A93386"/>
    <w:rsid w:val="00A93672"/>
    <w:rsid w:val="00A9413F"/>
    <w:rsid w:val="00A9496E"/>
    <w:rsid w:val="00A94A5D"/>
    <w:rsid w:val="00A94B5F"/>
    <w:rsid w:val="00A94DAC"/>
    <w:rsid w:val="00A94F1F"/>
    <w:rsid w:val="00A95600"/>
    <w:rsid w:val="00A9575A"/>
    <w:rsid w:val="00A95DA9"/>
    <w:rsid w:val="00A96285"/>
    <w:rsid w:val="00A96484"/>
    <w:rsid w:val="00A9666D"/>
    <w:rsid w:val="00A96B31"/>
    <w:rsid w:val="00A97180"/>
    <w:rsid w:val="00A97EFD"/>
    <w:rsid w:val="00AA025C"/>
    <w:rsid w:val="00AA04DF"/>
    <w:rsid w:val="00AA0894"/>
    <w:rsid w:val="00AA0C76"/>
    <w:rsid w:val="00AA0DD8"/>
    <w:rsid w:val="00AA0E8B"/>
    <w:rsid w:val="00AA0F80"/>
    <w:rsid w:val="00AA103F"/>
    <w:rsid w:val="00AA10C5"/>
    <w:rsid w:val="00AA15BD"/>
    <w:rsid w:val="00AA195D"/>
    <w:rsid w:val="00AA19FF"/>
    <w:rsid w:val="00AA2AC5"/>
    <w:rsid w:val="00AA2F72"/>
    <w:rsid w:val="00AA31D0"/>
    <w:rsid w:val="00AA328A"/>
    <w:rsid w:val="00AA3426"/>
    <w:rsid w:val="00AA37D1"/>
    <w:rsid w:val="00AA3A35"/>
    <w:rsid w:val="00AA3A95"/>
    <w:rsid w:val="00AA3CFE"/>
    <w:rsid w:val="00AA4536"/>
    <w:rsid w:val="00AA465A"/>
    <w:rsid w:val="00AA4677"/>
    <w:rsid w:val="00AA472F"/>
    <w:rsid w:val="00AA4972"/>
    <w:rsid w:val="00AA4DE5"/>
    <w:rsid w:val="00AA5A2A"/>
    <w:rsid w:val="00AA5CB8"/>
    <w:rsid w:val="00AA6170"/>
    <w:rsid w:val="00AA644B"/>
    <w:rsid w:val="00AA6B9C"/>
    <w:rsid w:val="00AA6D00"/>
    <w:rsid w:val="00AA6E52"/>
    <w:rsid w:val="00AA76A3"/>
    <w:rsid w:val="00AA7C6D"/>
    <w:rsid w:val="00AB00A1"/>
    <w:rsid w:val="00AB0B43"/>
    <w:rsid w:val="00AB0F7C"/>
    <w:rsid w:val="00AB1BDA"/>
    <w:rsid w:val="00AB1C7A"/>
    <w:rsid w:val="00AB21D1"/>
    <w:rsid w:val="00AB2770"/>
    <w:rsid w:val="00AB28B5"/>
    <w:rsid w:val="00AB29C3"/>
    <w:rsid w:val="00AB2DE7"/>
    <w:rsid w:val="00AB314E"/>
    <w:rsid w:val="00AB37D3"/>
    <w:rsid w:val="00AB3893"/>
    <w:rsid w:val="00AB3A16"/>
    <w:rsid w:val="00AB3E80"/>
    <w:rsid w:val="00AB417A"/>
    <w:rsid w:val="00AB4339"/>
    <w:rsid w:val="00AB43F2"/>
    <w:rsid w:val="00AB4401"/>
    <w:rsid w:val="00AB49B7"/>
    <w:rsid w:val="00AB4AC8"/>
    <w:rsid w:val="00AB4E11"/>
    <w:rsid w:val="00AB4E49"/>
    <w:rsid w:val="00AB57D4"/>
    <w:rsid w:val="00AB671F"/>
    <w:rsid w:val="00AB7E26"/>
    <w:rsid w:val="00AB7F5F"/>
    <w:rsid w:val="00AB7F97"/>
    <w:rsid w:val="00AB7FEC"/>
    <w:rsid w:val="00AC0FF6"/>
    <w:rsid w:val="00AC10A1"/>
    <w:rsid w:val="00AC1D79"/>
    <w:rsid w:val="00AC1E5E"/>
    <w:rsid w:val="00AC269E"/>
    <w:rsid w:val="00AC26D4"/>
    <w:rsid w:val="00AC3760"/>
    <w:rsid w:val="00AC3F38"/>
    <w:rsid w:val="00AC49A8"/>
    <w:rsid w:val="00AC5AE5"/>
    <w:rsid w:val="00AC5C60"/>
    <w:rsid w:val="00AC623C"/>
    <w:rsid w:val="00AC6629"/>
    <w:rsid w:val="00AC67DD"/>
    <w:rsid w:val="00AC6E72"/>
    <w:rsid w:val="00AC7033"/>
    <w:rsid w:val="00AD007F"/>
    <w:rsid w:val="00AD1029"/>
    <w:rsid w:val="00AD1242"/>
    <w:rsid w:val="00AD1315"/>
    <w:rsid w:val="00AD16AB"/>
    <w:rsid w:val="00AD1997"/>
    <w:rsid w:val="00AD1C2B"/>
    <w:rsid w:val="00AD20F7"/>
    <w:rsid w:val="00AD2D3D"/>
    <w:rsid w:val="00AD301E"/>
    <w:rsid w:val="00AD32AE"/>
    <w:rsid w:val="00AD32C4"/>
    <w:rsid w:val="00AD33F9"/>
    <w:rsid w:val="00AD3889"/>
    <w:rsid w:val="00AD3AE3"/>
    <w:rsid w:val="00AD3D27"/>
    <w:rsid w:val="00AD3E6F"/>
    <w:rsid w:val="00AD4730"/>
    <w:rsid w:val="00AD4A60"/>
    <w:rsid w:val="00AD4C49"/>
    <w:rsid w:val="00AD54B3"/>
    <w:rsid w:val="00AD5581"/>
    <w:rsid w:val="00AD5938"/>
    <w:rsid w:val="00AD5C86"/>
    <w:rsid w:val="00AD63AF"/>
    <w:rsid w:val="00AD655A"/>
    <w:rsid w:val="00AD698D"/>
    <w:rsid w:val="00AD7092"/>
    <w:rsid w:val="00AD7602"/>
    <w:rsid w:val="00AD7632"/>
    <w:rsid w:val="00AD7681"/>
    <w:rsid w:val="00AD77F1"/>
    <w:rsid w:val="00AD78BB"/>
    <w:rsid w:val="00AD79D7"/>
    <w:rsid w:val="00AD7FCC"/>
    <w:rsid w:val="00AE0182"/>
    <w:rsid w:val="00AE08BA"/>
    <w:rsid w:val="00AE092D"/>
    <w:rsid w:val="00AE0A76"/>
    <w:rsid w:val="00AE0B52"/>
    <w:rsid w:val="00AE1303"/>
    <w:rsid w:val="00AE1526"/>
    <w:rsid w:val="00AE19C0"/>
    <w:rsid w:val="00AE1AD4"/>
    <w:rsid w:val="00AE1F98"/>
    <w:rsid w:val="00AE2295"/>
    <w:rsid w:val="00AE2354"/>
    <w:rsid w:val="00AE2B42"/>
    <w:rsid w:val="00AE2C47"/>
    <w:rsid w:val="00AE311F"/>
    <w:rsid w:val="00AE336E"/>
    <w:rsid w:val="00AE37E2"/>
    <w:rsid w:val="00AE3A54"/>
    <w:rsid w:val="00AE3FBC"/>
    <w:rsid w:val="00AE412E"/>
    <w:rsid w:val="00AE4349"/>
    <w:rsid w:val="00AE4486"/>
    <w:rsid w:val="00AE49E4"/>
    <w:rsid w:val="00AE4D75"/>
    <w:rsid w:val="00AE50AA"/>
    <w:rsid w:val="00AE5121"/>
    <w:rsid w:val="00AE52B5"/>
    <w:rsid w:val="00AE5358"/>
    <w:rsid w:val="00AE6177"/>
    <w:rsid w:val="00AE647B"/>
    <w:rsid w:val="00AE68CF"/>
    <w:rsid w:val="00AE708A"/>
    <w:rsid w:val="00AE72D4"/>
    <w:rsid w:val="00AE7561"/>
    <w:rsid w:val="00AE7696"/>
    <w:rsid w:val="00AE7AD6"/>
    <w:rsid w:val="00AE7DB8"/>
    <w:rsid w:val="00AE7F32"/>
    <w:rsid w:val="00AE7F75"/>
    <w:rsid w:val="00AE7FE6"/>
    <w:rsid w:val="00AF05C5"/>
    <w:rsid w:val="00AF0DFA"/>
    <w:rsid w:val="00AF0E1C"/>
    <w:rsid w:val="00AF0F74"/>
    <w:rsid w:val="00AF13E9"/>
    <w:rsid w:val="00AF1464"/>
    <w:rsid w:val="00AF1535"/>
    <w:rsid w:val="00AF156A"/>
    <w:rsid w:val="00AF1BB5"/>
    <w:rsid w:val="00AF20EB"/>
    <w:rsid w:val="00AF286C"/>
    <w:rsid w:val="00AF297A"/>
    <w:rsid w:val="00AF29D3"/>
    <w:rsid w:val="00AF3411"/>
    <w:rsid w:val="00AF3939"/>
    <w:rsid w:val="00AF3AF7"/>
    <w:rsid w:val="00AF3EB9"/>
    <w:rsid w:val="00AF40B6"/>
    <w:rsid w:val="00AF418E"/>
    <w:rsid w:val="00AF4688"/>
    <w:rsid w:val="00AF4AA4"/>
    <w:rsid w:val="00AF500A"/>
    <w:rsid w:val="00AF5084"/>
    <w:rsid w:val="00AF5589"/>
    <w:rsid w:val="00AF5882"/>
    <w:rsid w:val="00AF5E74"/>
    <w:rsid w:val="00AF5EAF"/>
    <w:rsid w:val="00AF6551"/>
    <w:rsid w:val="00AF698E"/>
    <w:rsid w:val="00AF69BD"/>
    <w:rsid w:val="00AF6D5F"/>
    <w:rsid w:val="00AF7037"/>
    <w:rsid w:val="00AF77C2"/>
    <w:rsid w:val="00AF77DE"/>
    <w:rsid w:val="00AF7ACA"/>
    <w:rsid w:val="00AF7BC5"/>
    <w:rsid w:val="00AF7D63"/>
    <w:rsid w:val="00AF7E6E"/>
    <w:rsid w:val="00B003C2"/>
    <w:rsid w:val="00B0060D"/>
    <w:rsid w:val="00B007B4"/>
    <w:rsid w:val="00B0090E"/>
    <w:rsid w:val="00B0106C"/>
    <w:rsid w:val="00B01133"/>
    <w:rsid w:val="00B0139F"/>
    <w:rsid w:val="00B0196D"/>
    <w:rsid w:val="00B019E1"/>
    <w:rsid w:val="00B01A0B"/>
    <w:rsid w:val="00B01D62"/>
    <w:rsid w:val="00B02366"/>
    <w:rsid w:val="00B023DF"/>
    <w:rsid w:val="00B02B84"/>
    <w:rsid w:val="00B0300D"/>
    <w:rsid w:val="00B03652"/>
    <w:rsid w:val="00B03694"/>
    <w:rsid w:val="00B039BD"/>
    <w:rsid w:val="00B03A7F"/>
    <w:rsid w:val="00B03C86"/>
    <w:rsid w:val="00B03F8B"/>
    <w:rsid w:val="00B0409F"/>
    <w:rsid w:val="00B049D6"/>
    <w:rsid w:val="00B04A2C"/>
    <w:rsid w:val="00B04B4A"/>
    <w:rsid w:val="00B04C1F"/>
    <w:rsid w:val="00B050A4"/>
    <w:rsid w:val="00B05772"/>
    <w:rsid w:val="00B059A4"/>
    <w:rsid w:val="00B0622F"/>
    <w:rsid w:val="00B06308"/>
    <w:rsid w:val="00B06B8A"/>
    <w:rsid w:val="00B06C25"/>
    <w:rsid w:val="00B07357"/>
    <w:rsid w:val="00B075F2"/>
    <w:rsid w:val="00B0760E"/>
    <w:rsid w:val="00B078BF"/>
    <w:rsid w:val="00B07F0A"/>
    <w:rsid w:val="00B103C8"/>
    <w:rsid w:val="00B11020"/>
    <w:rsid w:val="00B114AD"/>
    <w:rsid w:val="00B116F1"/>
    <w:rsid w:val="00B12555"/>
    <w:rsid w:val="00B12605"/>
    <w:rsid w:val="00B12B5A"/>
    <w:rsid w:val="00B12CBA"/>
    <w:rsid w:val="00B13016"/>
    <w:rsid w:val="00B13752"/>
    <w:rsid w:val="00B138BF"/>
    <w:rsid w:val="00B13D4B"/>
    <w:rsid w:val="00B14124"/>
    <w:rsid w:val="00B14318"/>
    <w:rsid w:val="00B14859"/>
    <w:rsid w:val="00B148E7"/>
    <w:rsid w:val="00B14BB3"/>
    <w:rsid w:val="00B14DE9"/>
    <w:rsid w:val="00B154D1"/>
    <w:rsid w:val="00B155B3"/>
    <w:rsid w:val="00B15A52"/>
    <w:rsid w:val="00B15BEA"/>
    <w:rsid w:val="00B162AF"/>
    <w:rsid w:val="00B16509"/>
    <w:rsid w:val="00B2007A"/>
    <w:rsid w:val="00B2022C"/>
    <w:rsid w:val="00B2032A"/>
    <w:rsid w:val="00B2041C"/>
    <w:rsid w:val="00B20F1B"/>
    <w:rsid w:val="00B21C89"/>
    <w:rsid w:val="00B22611"/>
    <w:rsid w:val="00B2282A"/>
    <w:rsid w:val="00B2294E"/>
    <w:rsid w:val="00B229F8"/>
    <w:rsid w:val="00B22B8D"/>
    <w:rsid w:val="00B22CD9"/>
    <w:rsid w:val="00B22D0F"/>
    <w:rsid w:val="00B232EC"/>
    <w:rsid w:val="00B23589"/>
    <w:rsid w:val="00B23771"/>
    <w:rsid w:val="00B23FD7"/>
    <w:rsid w:val="00B2442C"/>
    <w:rsid w:val="00B24B6D"/>
    <w:rsid w:val="00B24CA0"/>
    <w:rsid w:val="00B24EBB"/>
    <w:rsid w:val="00B2583C"/>
    <w:rsid w:val="00B26085"/>
    <w:rsid w:val="00B2620C"/>
    <w:rsid w:val="00B26EBA"/>
    <w:rsid w:val="00B278EB"/>
    <w:rsid w:val="00B27FC9"/>
    <w:rsid w:val="00B306D0"/>
    <w:rsid w:val="00B30772"/>
    <w:rsid w:val="00B309A9"/>
    <w:rsid w:val="00B30D70"/>
    <w:rsid w:val="00B311DE"/>
    <w:rsid w:val="00B31731"/>
    <w:rsid w:val="00B31AD6"/>
    <w:rsid w:val="00B31F54"/>
    <w:rsid w:val="00B3261A"/>
    <w:rsid w:val="00B331B3"/>
    <w:rsid w:val="00B337EA"/>
    <w:rsid w:val="00B337F0"/>
    <w:rsid w:val="00B33895"/>
    <w:rsid w:val="00B33CD5"/>
    <w:rsid w:val="00B340BC"/>
    <w:rsid w:val="00B3476B"/>
    <w:rsid w:val="00B35003"/>
    <w:rsid w:val="00B353EE"/>
    <w:rsid w:val="00B356C6"/>
    <w:rsid w:val="00B35ABB"/>
    <w:rsid w:val="00B35E3B"/>
    <w:rsid w:val="00B35F49"/>
    <w:rsid w:val="00B36736"/>
    <w:rsid w:val="00B37234"/>
    <w:rsid w:val="00B3742C"/>
    <w:rsid w:val="00B374F6"/>
    <w:rsid w:val="00B37567"/>
    <w:rsid w:val="00B37E68"/>
    <w:rsid w:val="00B37EE7"/>
    <w:rsid w:val="00B405E9"/>
    <w:rsid w:val="00B405F1"/>
    <w:rsid w:val="00B40D6F"/>
    <w:rsid w:val="00B40E9B"/>
    <w:rsid w:val="00B4155F"/>
    <w:rsid w:val="00B41717"/>
    <w:rsid w:val="00B418F2"/>
    <w:rsid w:val="00B41E86"/>
    <w:rsid w:val="00B426D4"/>
    <w:rsid w:val="00B42B1C"/>
    <w:rsid w:val="00B42B20"/>
    <w:rsid w:val="00B43A97"/>
    <w:rsid w:val="00B43CFD"/>
    <w:rsid w:val="00B440B3"/>
    <w:rsid w:val="00B4448C"/>
    <w:rsid w:val="00B44862"/>
    <w:rsid w:val="00B44C39"/>
    <w:rsid w:val="00B453A2"/>
    <w:rsid w:val="00B45589"/>
    <w:rsid w:val="00B464D8"/>
    <w:rsid w:val="00B46735"/>
    <w:rsid w:val="00B470FF"/>
    <w:rsid w:val="00B47148"/>
    <w:rsid w:val="00B4725D"/>
    <w:rsid w:val="00B476FE"/>
    <w:rsid w:val="00B47956"/>
    <w:rsid w:val="00B47A3B"/>
    <w:rsid w:val="00B47DDE"/>
    <w:rsid w:val="00B47EFD"/>
    <w:rsid w:val="00B504A4"/>
    <w:rsid w:val="00B509E7"/>
    <w:rsid w:val="00B50E86"/>
    <w:rsid w:val="00B50F2F"/>
    <w:rsid w:val="00B51609"/>
    <w:rsid w:val="00B5165F"/>
    <w:rsid w:val="00B51966"/>
    <w:rsid w:val="00B51BFE"/>
    <w:rsid w:val="00B51FE3"/>
    <w:rsid w:val="00B52002"/>
    <w:rsid w:val="00B523FE"/>
    <w:rsid w:val="00B526DB"/>
    <w:rsid w:val="00B52B2F"/>
    <w:rsid w:val="00B52B53"/>
    <w:rsid w:val="00B52CC2"/>
    <w:rsid w:val="00B53407"/>
    <w:rsid w:val="00B53585"/>
    <w:rsid w:val="00B535B0"/>
    <w:rsid w:val="00B53694"/>
    <w:rsid w:val="00B54067"/>
    <w:rsid w:val="00B551EB"/>
    <w:rsid w:val="00B55AB1"/>
    <w:rsid w:val="00B55FCA"/>
    <w:rsid w:val="00B5624F"/>
    <w:rsid w:val="00B562AB"/>
    <w:rsid w:val="00B5650D"/>
    <w:rsid w:val="00B56AC3"/>
    <w:rsid w:val="00B56B2D"/>
    <w:rsid w:val="00B56C2F"/>
    <w:rsid w:val="00B5782C"/>
    <w:rsid w:val="00B579D2"/>
    <w:rsid w:val="00B57C4D"/>
    <w:rsid w:val="00B57CEF"/>
    <w:rsid w:val="00B57D43"/>
    <w:rsid w:val="00B57FCF"/>
    <w:rsid w:val="00B60020"/>
    <w:rsid w:val="00B6011D"/>
    <w:rsid w:val="00B60187"/>
    <w:rsid w:val="00B601C3"/>
    <w:rsid w:val="00B604EA"/>
    <w:rsid w:val="00B60632"/>
    <w:rsid w:val="00B609BF"/>
    <w:rsid w:val="00B611B7"/>
    <w:rsid w:val="00B612A3"/>
    <w:rsid w:val="00B6178F"/>
    <w:rsid w:val="00B618D7"/>
    <w:rsid w:val="00B619DB"/>
    <w:rsid w:val="00B61C21"/>
    <w:rsid w:val="00B62329"/>
    <w:rsid w:val="00B62552"/>
    <w:rsid w:val="00B62B47"/>
    <w:rsid w:val="00B62DB9"/>
    <w:rsid w:val="00B62E7F"/>
    <w:rsid w:val="00B636E2"/>
    <w:rsid w:val="00B638E7"/>
    <w:rsid w:val="00B6391A"/>
    <w:rsid w:val="00B63C4F"/>
    <w:rsid w:val="00B64152"/>
    <w:rsid w:val="00B6482D"/>
    <w:rsid w:val="00B6496A"/>
    <w:rsid w:val="00B64E0B"/>
    <w:rsid w:val="00B65341"/>
    <w:rsid w:val="00B65645"/>
    <w:rsid w:val="00B656B6"/>
    <w:rsid w:val="00B65B1F"/>
    <w:rsid w:val="00B65F20"/>
    <w:rsid w:val="00B66187"/>
    <w:rsid w:val="00B66B90"/>
    <w:rsid w:val="00B670E3"/>
    <w:rsid w:val="00B677E3"/>
    <w:rsid w:val="00B67B9E"/>
    <w:rsid w:val="00B67D16"/>
    <w:rsid w:val="00B67FB9"/>
    <w:rsid w:val="00B70CFD"/>
    <w:rsid w:val="00B70E7A"/>
    <w:rsid w:val="00B71A48"/>
    <w:rsid w:val="00B71CD1"/>
    <w:rsid w:val="00B71CEE"/>
    <w:rsid w:val="00B723BD"/>
    <w:rsid w:val="00B728AC"/>
    <w:rsid w:val="00B72C1B"/>
    <w:rsid w:val="00B7331E"/>
    <w:rsid w:val="00B733D8"/>
    <w:rsid w:val="00B735B8"/>
    <w:rsid w:val="00B73945"/>
    <w:rsid w:val="00B73B12"/>
    <w:rsid w:val="00B73C6D"/>
    <w:rsid w:val="00B740C8"/>
    <w:rsid w:val="00B748EC"/>
    <w:rsid w:val="00B74D0B"/>
    <w:rsid w:val="00B74D3B"/>
    <w:rsid w:val="00B74DE4"/>
    <w:rsid w:val="00B74E13"/>
    <w:rsid w:val="00B74E24"/>
    <w:rsid w:val="00B74EE9"/>
    <w:rsid w:val="00B75236"/>
    <w:rsid w:val="00B7526B"/>
    <w:rsid w:val="00B753EC"/>
    <w:rsid w:val="00B755AB"/>
    <w:rsid w:val="00B75698"/>
    <w:rsid w:val="00B759F2"/>
    <w:rsid w:val="00B75A7A"/>
    <w:rsid w:val="00B75CE5"/>
    <w:rsid w:val="00B75FE0"/>
    <w:rsid w:val="00B76033"/>
    <w:rsid w:val="00B761E5"/>
    <w:rsid w:val="00B7621E"/>
    <w:rsid w:val="00B76518"/>
    <w:rsid w:val="00B766D5"/>
    <w:rsid w:val="00B76C36"/>
    <w:rsid w:val="00B76D25"/>
    <w:rsid w:val="00B7724E"/>
    <w:rsid w:val="00B7726C"/>
    <w:rsid w:val="00B77689"/>
    <w:rsid w:val="00B77AA3"/>
    <w:rsid w:val="00B802B3"/>
    <w:rsid w:val="00B8032E"/>
    <w:rsid w:val="00B80B38"/>
    <w:rsid w:val="00B8122A"/>
    <w:rsid w:val="00B81397"/>
    <w:rsid w:val="00B8151E"/>
    <w:rsid w:val="00B815D2"/>
    <w:rsid w:val="00B81C88"/>
    <w:rsid w:val="00B81D0F"/>
    <w:rsid w:val="00B81D2D"/>
    <w:rsid w:val="00B820B3"/>
    <w:rsid w:val="00B82144"/>
    <w:rsid w:val="00B826DD"/>
    <w:rsid w:val="00B83490"/>
    <w:rsid w:val="00B83711"/>
    <w:rsid w:val="00B83AE5"/>
    <w:rsid w:val="00B83B43"/>
    <w:rsid w:val="00B83EF7"/>
    <w:rsid w:val="00B841C1"/>
    <w:rsid w:val="00B845E4"/>
    <w:rsid w:val="00B8462E"/>
    <w:rsid w:val="00B84682"/>
    <w:rsid w:val="00B84845"/>
    <w:rsid w:val="00B851EF"/>
    <w:rsid w:val="00B8529D"/>
    <w:rsid w:val="00B857F0"/>
    <w:rsid w:val="00B85B29"/>
    <w:rsid w:val="00B85B3A"/>
    <w:rsid w:val="00B863F6"/>
    <w:rsid w:val="00B869EF"/>
    <w:rsid w:val="00B87038"/>
    <w:rsid w:val="00B875DC"/>
    <w:rsid w:val="00B87879"/>
    <w:rsid w:val="00B87EE5"/>
    <w:rsid w:val="00B90577"/>
    <w:rsid w:val="00B9082F"/>
    <w:rsid w:val="00B910BD"/>
    <w:rsid w:val="00B914E1"/>
    <w:rsid w:val="00B91BB8"/>
    <w:rsid w:val="00B92405"/>
    <w:rsid w:val="00B92870"/>
    <w:rsid w:val="00B92E7A"/>
    <w:rsid w:val="00B92FC6"/>
    <w:rsid w:val="00B938AE"/>
    <w:rsid w:val="00B946BD"/>
    <w:rsid w:val="00B94BE6"/>
    <w:rsid w:val="00B94EEE"/>
    <w:rsid w:val="00B94F37"/>
    <w:rsid w:val="00B9559F"/>
    <w:rsid w:val="00B955E8"/>
    <w:rsid w:val="00B95693"/>
    <w:rsid w:val="00B9577C"/>
    <w:rsid w:val="00B95B40"/>
    <w:rsid w:val="00B95E1E"/>
    <w:rsid w:val="00B96C31"/>
    <w:rsid w:val="00B96D0B"/>
    <w:rsid w:val="00B96F4E"/>
    <w:rsid w:val="00B97306"/>
    <w:rsid w:val="00B97317"/>
    <w:rsid w:val="00B973B8"/>
    <w:rsid w:val="00B9754F"/>
    <w:rsid w:val="00B975DB"/>
    <w:rsid w:val="00B97A1F"/>
    <w:rsid w:val="00BA03F5"/>
    <w:rsid w:val="00BA08B9"/>
    <w:rsid w:val="00BA0AFD"/>
    <w:rsid w:val="00BA0E87"/>
    <w:rsid w:val="00BA12FA"/>
    <w:rsid w:val="00BA13D6"/>
    <w:rsid w:val="00BA15BB"/>
    <w:rsid w:val="00BA15D6"/>
    <w:rsid w:val="00BA16B9"/>
    <w:rsid w:val="00BA1A8A"/>
    <w:rsid w:val="00BA1BA0"/>
    <w:rsid w:val="00BA1FC6"/>
    <w:rsid w:val="00BA23E3"/>
    <w:rsid w:val="00BA2465"/>
    <w:rsid w:val="00BA24E3"/>
    <w:rsid w:val="00BA26B1"/>
    <w:rsid w:val="00BA31AE"/>
    <w:rsid w:val="00BA39B4"/>
    <w:rsid w:val="00BA42C7"/>
    <w:rsid w:val="00BA46BD"/>
    <w:rsid w:val="00BA4877"/>
    <w:rsid w:val="00BA48CF"/>
    <w:rsid w:val="00BA493E"/>
    <w:rsid w:val="00BA4E3B"/>
    <w:rsid w:val="00BA50A5"/>
    <w:rsid w:val="00BA50C0"/>
    <w:rsid w:val="00BA510B"/>
    <w:rsid w:val="00BA5407"/>
    <w:rsid w:val="00BA5636"/>
    <w:rsid w:val="00BA65CB"/>
    <w:rsid w:val="00BA68EB"/>
    <w:rsid w:val="00BA7075"/>
    <w:rsid w:val="00BA7093"/>
    <w:rsid w:val="00BA77FC"/>
    <w:rsid w:val="00BB0551"/>
    <w:rsid w:val="00BB0654"/>
    <w:rsid w:val="00BB07BE"/>
    <w:rsid w:val="00BB0EA0"/>
    <w:rsid w:val="00BB120E"/>
    <w:rsid w:val="00BB1297"/>
    <w:rsid w:val="00BB135C"/>
    <w:rsid w:val="00BB16C8"/>
    <w:rsid w:val="00BB1837"/>
    <w:rsid w:val="00BB186C"/>
    <w:rsid w:val="00BB1B2C"/>
    <w:rsid w:val="00BB2065"/>
    <w:rsid w:val="00BB2418"/>
    <w:rsid w:val="00BB2E95"/>
    <w:rsid w:val="00BB34AC"/>
    <w:rsid w:val="00BB3567"/>
    <w:rsid w:val="00BB3854"/>
    <w:rsid w:val="00BB3878"/>
    <w:rsid w:val="00BB3CE5"/>
    <w:rsid w:val="00BB3DB4"/>
    <w:rsid w:val="00BB402F"/>
    <w:rsid w:val="00BB428D"/>
    <w:rsid w:val="00BB42C8"/>
    <w:rsid w:val="00BB4589"/>
    <w:rsid w:val="00BB4C4C"/>
    <w:rsid w:val="00BB4D45"/>
    <w:rsid w:val="00BB4DF2"/>
    <w:rsid w:val="00BB54F5"/>
    <w:rsid w:val="00BB60B6"/>
    <w:rsid w:val="00BB6449"/>
    <w:rsid w:val="00BB66E9"/>
    <w:rsid w:val="00BB6759"/>
    <w:rsid w:val="00BB6DB6"/>
    <w:rsid w:val="00BB7345"/>
    <w:rsid w:val="00BB7503"/>
    <w:rsid w:val="00BB7559"/>
    <w:rsid w:val="00BB7A0D"/>
    <w:rsid w:val="00BB7B93"/>
    <w:rsid w:val="00BC05A6"/>
    <w:rsid w:val="00BC05C4"/>
    <w:rsid w:val="00BC246E"/>
    <w:rsid w:val="00BC27AC"/>
    <w:rsid w:val="00BC2D35"/>
    <w:rsid w:val="00BC32B0"/>
    <w:rsid w:val="00BC352C"/>
    <w:rsid w:val="00BC35E8"/>
    <w:rsid w:val="00BC3AB6"/>
    <w:rsid w:val="00BC3C3C"/>
    <w:rsid w:val="00BC3CF4"/>
    <w:rsid w:val="00BC3F42"/>
    <w:rsid w:val="00BC41D0"/>
    <w:rsid w:val="00BC460B"/>
    <w:rsid w:val="00BC4626"/>
    <w:rsid w:val="00BC48CB"/>
    <w:rsid w:val="00BC51DA"/>
    <w:rsid w:val="00BC5294"/>
    <w:rsid w:val="00BC52EA"/>
    <w:rsid w:val="00BC5A9D"/>
    <w:rsid w:val="00BC5AE4"/>
    <w:rsid w:val="00BC637E"/>
    <w:rsid w:val="00BC6406"/>
    <w:rsid w:val="00BC65F5"/>
    <w:rsid w:val="00BC66B8"/>
    <w:rsid w:val="00BC6719"/>
    <w:rsid w:val="00BC6C85"/>
    <w:rsid w:val="00BC6CC9"/>
    <w:rsid w:val="00BC721C"/>
    <w:rsid w:val="00BC7634"/>
    <w:rsid w:val="00BD0219"/>
    <w:rsid w:val="00BD0615"/>
    <w:rsid w:val="00BD0754"/>
    <w:rsid w:val="00BD1075"/>
    <w:rsid w:val="00BD1231"/>
    <w:rsid w:val="00BD17B8"/>
    <w:rsid w:val="00BD196C"/>
    <w:rsid w:val="00BD1D5F"/>
    <w:rsid w:val="00BD2B71"/>
    <w:rsid w:val="00BD3766"/>
    <w:rsid w:val="00BD3927"/>
    <w:rsid w:val="00BD3AA8"/>
    <w:rsid w:val="00BD3B92"/>
    <w:rsid w:val="00BD3DC2"/>
    <w:rsid w:val="00BD4ED5"/>
    <w:rsid w:val="00BD523D"/>
    <w:rsid w:val="00BD5DFB"/>
    <w:rsid w:val="00BD6397"/>
    <w:rsid w:val="00BD6437"/>
    <w:rsid w:val="00BD6520"/>
    <w:rsid w:val="00BD6A7E"/>
    <w:rsid w:val="00BD6E92"/>
    <w:rsid w:val="00BD789D"/>
    <w:rsid w:val="00BD7E50"/>
    <w:rsid w:val="00BE08A3"/>
    <w:rsid w:val="00BE1186"/>
    <w:rsid w:val="00BE124D"/>
    <w:rsid w:val="00BE1577"/>
    <w:rsid w:val="00BE1B8F"/>
    <w:rsid w:val="00BE1C04"/>
    <w:rsid w:val="00BE1F06"/>
    <w:rsid w:val="00BE2A4C"/>
    <w:rsid w:val="00BE2B35"/>
    <w:rsid w:val="00BE2D3C"/>
    <w:rsid w:val="00BE38E7"/>
    <w:rsid w:val="00BE3FF2"/>
    <w:rsid w:val="00BE435D"/>
    <w:rsid w:val="00BE4369"/>
    <w:rsid w:val="00BE46DD"/>
    <w:rsid w:val="00BE482A"/>
    <w:rsid w:val="00BE48C1"/>
    <w:rsid w:val="00BE49E0"/>
    <w:rsid w:val="00BE4FC5"/>
    <w:rsid w:val="00BE5218"/>
    <w:rsid w:val="00BE5A7A"/>
    <w:rsid w:val="00BE5C93"/>
    <w:rsid w:val="00BE60A4"/>
    <w:rsid w:val="00BE629B"/>
    <w:rsid w:val="00BE62FB"/>
    <w:rsid w:val="00BE6F87"/>
    <w:rsid w:val="00BE6FA0"/>
    <w:rsid w:val="00BE7260"/>
    <w:rsid w:val="00BE7312"/>
    <w:rsid w:val="00BE7434"/>
    <w:rsid w:val="00BE75D9"/>
    <w:rsid w:val="00BE75F4"/>
    <w:rsid w:val="00BE7754"/>
    <w:rsid w:val="00BE79C5"/>
    <w:rsid w:val="00BE7D9A"/>
    <w:rsid w:val="00BF05A9"/>
    <w:rsid w:val="00BF0C41"/>
    <w:rsid w:val="00BF0F28"/>
    <w:rsid w:val="00BF10FB"/>
    <w:rsid w:val="00BF11D4"/>
    <w:rsid w:val="00BF12C9"/>
    <w:rsid w:val="00BF16F5"/>
    <w:rsid w:val="00BF1893"/>
    <w:rsid w:val="00BF19B1"/>
    <w:rsid w:val="00BF294E"/>
    <w:rsid w:val="00BF2A44"/>
    <w:rsid w:val="00BF3240"/>
    <w:rsid w:val="00BF39E8"/>
    <w:rsid w:val="00BF3DF6"/>
    <w:rsid w:val="00BF4299"/>
    <w:rsid w:val="00BF45D1"/>
    <w:rsid w:val="00BF48AB"/>
    <w:rsid w:val="00BF491B"/>
    <w:rsid w:val="00BF4925"/>
    <w:rsid w:val="00BF4BFC"/>
    <w:rsid w:val="00BF4FB8"/>
    <w:rsid w:val="00BF55DB"/>
    <w:rsid w:val="00BF57CA"/>
    <w:rsid w:val="00BF5A28"/>
    <w:rsid w:val="00BF5AC1"/>
    <w:rsid w:val="00BF5C44"/>
    <w:rsid w:val="00BF5E4C"/>
    <w:rsid w:val="00BF74AF"/>
    <w:rsid w:val="00BF76F0"/>
    <w:rsid w:val="00BF7789"/>
    <w:rsid w:val="00BF78C8"/>
    <w:rsid w:val="00BF796A"/>
    <w:rsid w:val="00BF7C15"/>
    <w:rsid w:val="00C00540"/>
    <w:rsid w:val="00C00B29"/>
    <w:rsid w:val="00C00CA1"/>
    <w:rsid w:val="00C00CDB"/>
    <w:rsid w:val="00C00F26"/>
    <w:rsid w:val="00C01144"/>
    <w:rsid w:val="00C01287"/>
    <w:rsid w:val="00C018D1"/>
    <w:rsid w:val="00C0201E"/>
    <w:rsid w:val="00C02199"/>
    <w:rsid w:val="00C021C0"/>
    <w:rsid w:val="00C023B6"/>
    <w:rsid w:val="00C02A55"/>
    <w:rsid w:val="00C02AB8"/>
    <w:rsid w:val="00C02EA7"/>
    <w:rsid w:val="00C02FBE"/>
    <w:rsid w:val="00C035DD"/>
    <w:rsid w:val="00C04027"/>
    <w:rsid w:val="00C04168"/>
    <w:rsid w:val="00C04239"/>
    <w:rsid w:val="00C04253"/>
    <w:rsid w:val="00C047B5"/>
    <w:rsid w:val="00C04D9E"/>
    <w:rsid w:val="00C05BE2"/>
    <w:rsid w:val="00C05FE2"/>
    <w:rsid w:val="00C06C2E"/>
    <w:rsid w:val="00C06CB6"/>
    <w:rsid w:val="00C06CF8"/>
    <w:rsid w:val="00C07E33"/>
    <w:rsid w:val="00C1047D"/>
    <w:rsid w:val="00C1089D"/>
    <w:rsid w:val="00C11313"/>
    <w:rsid w:val="00C11325"/>
    <w:rsid w:val="00C11749"/>
    <w:rsid w:val="00C11847"/>
    <w:rsid w:val="00C11956"/>
    <w:rsid w:val="00C11D38"/>
    <w:rsid w:val="00C11E34"/>
    <w:rsid w:val="00C1238B"/>
    <w:rsid w:val="00C12A6C"/>
    <w:rsid w:val="00C12C72"/>
    <w:rsid w:val="00C137D5"/>
    <w:rsid w:val="00C13A3A"/>
    <w:rsid w:val="00C13B95"/>
    <w:rsid w:val="00C13CD4"/>
    <w:rsid w:val="00C15BB8"/>
    <w:rsid w:val="00C15C3A"/>
    <w:rsid w:val="00C15DC8"/>
    <w:rsid w:val="00C16004"/>
    <w:rsid w:val="00C1670D"/>
    <w:rsid w:val="00C16AD2"/>
    <w:rsid w:val="00C17062"/>
    <w:rsid w:val="00C1715A"/>
    <w:rsid w:val="00C17930"/>
    <w:rsid w:val="00C17F5E"/>
    <w:rsid w:val="00C20074"/>
    <w:rsid w:val="00C207F1"/>
    <w:rsid w:val="00C20A0B"/>
    <w:rsid w:val="00C213C5"/>
    <w:rsid w:val="00C21B6C"/>
    <w:rsid w:val="00C21D17"/>
    <w:rsid w:val="00C21EE4"/>
    <w:rsid w:val="00C22076"/>
    <w:rsid w:val="00C2241F"/>
    <w:rsid w:val="00C228A6"/>
    <w:rsid w:val="00C22E3B"/>
    <w:rsid w:val="00C22EE5"/>
    <w:rsid w:val="00C230BB"/>
    <w:rsid w:val="00C23507"/>
    <w:rsid w:val="00C2355A"/>
    <w:rsid w:val="00C2396B"/>
    <w:rsid w:val="00C23A08"/>
    <w:rsid w:val="00C23AB3"/>
    <w:rsid w:val="00C23E6D"/>
    <w:rsid w:val="00C242FC"/>
    <w:rsid w:val="00C243EF"/>
    <w:rsid w:val="00C2478E"/>
    <w:rsid w:val="00C248DC"/>
    <w:rsid w:val="00C2496A"/>
    <w:rsid w:val="00C24D32"/>
    <w:rsid w:val="00C250A1"/>
    <w:rsid w:val="00C250BF"/>
    <w:rsid w:val="00C2534A"/>
    <w:rsid w:val="00C25615"/>
    <w:rsid w:val="00C25C6B"/>
    <w:rsid w:val="00C25C70"/>
    <w:rsid w:val="00C25CC5"/>
    <w:rsid w:val="00C264BC"/>
    <w:rsid w:val="00C26955"/>
    <w:rsid w:val="00C26A9D"/>
    <w:rsid w:val="00C26ABB"/>
    <w:rsid w:val="00C26D70"/>
    <w:rsid w:val="00C26F68"/>
    <w:rsid w:val="00C271C1"/>
    <w:rsid w:val="00C2756F"/>
    <w:rsid w:val="00C275C0"/>
    <w:rsid w:val="00C278FF"/>
    <w:rsid w:val="00C27CC9"/>
    <w:rsid w:val="00C30111"/>
    <w:rsid w:val="00C30F05"/>
    <w:rsid w:val="00C30FAA"/>
    <w:rsid w:val="00C311A0"/>
    <w:rsid w:val="00C312E0"/>
    <w:rsid w:val="00C31E3B"/>
    <w:rsid w:val="00C31FCC"/>
    <w:rsid w:val="00C32727"/>
    <w:rsid w:val="00C32805"/>
    <w:rsid w:val="00C330E3"/>
    <w:rsid w:val="00C33341"/>
    <w:rsid w:val="00C33ABD"/>
    <w:rsid w:val="00C33DD6"/>
    <w:rsid w:val="00C34285"/>
    <w:rsid w:val="00C34614"/>
    <w:rsid w:val="00C34B9D"/>
    <w:rsid w:val="00C35547"/>
    <w:rsid w:val="00C356A9"/>
    <w:rsid w:val="00C35CB1"/>
    <w:rsid w:val="00C35FB4"/>
    <w:rsid w:val="00C361E5"/>
    <w:rsid w:val="00C370FB"/>
    <w:rsid w:val="00C37424"/>
    <w:rsid w:val="00C37434"/>
    <w:rsid w:val="00C3794E"/>
    <w:rsid w:val="00C37F79"/>
    <w:rsid w:val="00C37FB1"/>
    <w:rsid w:val="00C402D3"/>
    <w:rsid w:val="00C40448"/>
    <w:rsid w:val="00C406F5"/>
    <w:rsid w:val="00C41746"/>
    <w:rsid w:val="00C41A8C"/>
    <w:rsid w:val="00C41C99"/>
    <w:rsid w:val="00C42552"/>
    <w:rsid w:val="00C4290C"/>
    <w:rsid w:val="00C42CBD"/>
    <w:rsid w:val="00C430FA"/>
    <w:rsid w:val="00C43B01"/>
    <w:rsid w:val="00C441DD"/>
    <w:rsid w:val="00C44524"/>
    <w:rsid w:val="00C44545"/>
    <w:rsid w:val="00C4477D"/>
    <w:rsid w:val="00C44BC7"/>
    <w:rsid w:val="00C44E2E"/>
    <w:rsid w:val="00C44EA2"/>
    <w:rsid w:val="00C44EA6"/>
    <w:rsid w:val="00C44EE3"/>
    <w:rsid w:val="00C45326"/>
    <w:rsid w:val="00C45668"/>
    <w:rsid w:val="00C45B40"/>
    <w:rsid w:val="00C45B89"/>
    <w:rsid w:val="00C46A90"/>
    <w:rsid w:val="00C46B0E"/>
    <w:rsid w:val="00C46C9B"/>
    <w:rsid w:val="00C46DAF"/>
    <w:rsid w:val="00C47409"/>
    <w:rsid w:val="00C47AE0"/>
    <w:rsid w:val="00C50512"/>
    <w:rsid w:val="00C50543"/>
    <w:rsid w:val="00C50861"/>
    <w:rsid w:val="00C509ED"/>
    <w:rsid w:val="00C51054"/>
    <w:rsid w:val="00C5198A"/>
    <w:rsid w:val="00C51B73"/>
    <w:rsid w:val="00C524E2"/>
    <w:rsid w:val="00C527A1"/>
    <w:rsid w:val="00C528D1"/>
    <w:rsid w:val="00C52CFA"/>
    <w:rsid w:val="00C5302B"/>
    <w:rsid w:val="00C530F6"/>
    <w:rsid w:val="00C5345F"/>
    <w:rsid w:val="00C536B1"/>
    <w:rsid w:val="00C539B9"/>
    <w:rsid w:val="00C53B32"/>
    <w:rsid w:val="00C53CC8"/>
    <w:rsid w:val="00C53D21"/>
    <w:rsid w:val="00C53D7D"/>
    <w:rsid w:val="00C53F03"/>
    <w:rsid w:val="00C53F78"/>
    <w:rsid w:val="00C54062"/>
    <w:rsid w:val="00C54407"/>
    <w:rsid w:val="00C5477D"/>
    <w:rsid w:val="00C54CCC"/>
    <w:rsid w:val="00C54F37"/>
    <w:rsid w:val="00C551AC"/>
    <w:rsid w:val="00C55497"/>
    <w:rsid w:val="00C555D0"/>
    <w:rsid w:val="00C557A9"/>
    <w:rsid w:val="00C55C57"/>
    <w:rsid w:val="00C55CF1"/>
    <w:rsid w:val="00C55DDC"/>
    <w:rsid w:val="00C561B0"/>
    <w:rsid w:val="00C566DB"/>
    <w:rsid w:val="00C568AE"/>
    <w:rsid w:val="00C57358"/>
    <w:rsid w:val="00C5766E"/>
    <w:rsid w:val="00C577A7"/>
    <w:rsid w:val="00C5795D"/>
    <w:rsid w:val="00C57F11"/>
    <w:rsid w:val="00C601E6"/>
    <w:rsid w:val="00C602C9"/>
    <w:rsid w:val="00C60335"/>
    <w:rsid w:val="00C604BB"/>
    <w:rsid w:val="00C604CC"/>
    <w:rsid w:val="00C60580"/>
    <w:rsid w:val="00C60A18"/>
    <w:rsid w:val="00C60AB4"/>
    <w:rsid w:val="00C60C92"/>
    <w:rsid w:val="00C60F4B"/>
    <w:rsid w:val="00C61417"/>
    <w:rsid w:val="00C618DB"/>
    <w:rsid w:val="00C61AEE"/>
    <w:rsid w:val="00C61C5F"/>
    <w:rsid w:val="00C61F37"/>
    <w:rsid w:val="00C62344"/>
    <w:rsid w:val="00C6245F"/>
    <w:rsid w:val="00C627DE"/>
    <w:rsid w:val="00C62DF7"/>
    <w:rsid w:val="00C63049"/>
    <w:rsid w:val="00C63373"/>
    <w:rsid w:val="00C634E4"/>
    <w:rsid w:val="00C6442A"/>
    <w:rsid w:val="00C649C4"/>
    <w:rsid w:val="00C65161"/>
    <w:rsid w:val="00C651B5"/>
    <w:rsid w:val="00C651E8"/>
    <w:rsid w:val="00C653A1"/>
    <w:rsid w:val="00C6544D"/>
    <w:rsid w:val="00C65598"/>
    <w:rsid w:val="00C65C50"/>
    <w:rsid w:val="00C65EFF"/>
    <w:rsid w:val="00C665FB"/>
    <w:rsid w:val="00C66A12"/>
    <w:rsid w:val="00C66DC4"/>
    <w:rsid w:val="00C66EB7"/>
    <w:rsid w:val="00C6741C"/>
    <w:rsid w:val="00C67923"/>
    <w:rsid w:val="00C67E54"/>
    <w:rsid w:val="00C7009C"/>
    <w:rsid w:val="00C7023D"/>
    <w:rsid w:val="00C7029C"/>
    <w:rsid w:val="00C705B7"/>
    <w:rsid w:val="00C707AD"/>
    <w:rsid w:val="00C70824"/>
    <w:rsid w:val="00C70A33"/>
    <w:rsid w:val="00C71272"/>
    <w:rsid w:val="00C71357"/>
    <w:rsid w:val="00C7141C"/>
    <w:rsid w:val="00C717D3"/>
    <w:rsid w:val="00C71863"/>
    <w:rsid w:val="00C71929"/>
    <w:rsid w:val="00C71DCC"/>
    <w:rsid w:val="00C723C7"/>
    <w:rsid w:val="00C72A23"/>
    <w:rsid w:val="00C72BC1"/>
    <w:rsid w:val="00C72D3B"/>
    <w:rsid w:val="00C72E8A"/>
    <w:rsid w:val="00C72FAD"/>
    <w:rsid w:val="00C72FE7"/>
    <w:rsid w:val="00C73315"/>
    <w:rsid w:val="00C7368B"/>
    <w:rsid w:val="00C736D7"/>
    <w:rsid w:val="00C737A5"/>
    <w:rsid w:val="00C739DD"/>
    <w:rsid w:val="00C73ED2"/>
    <w:rsid w:val="00C740BA"/>
    <w:rsid w:val="00C74C32"/>
    <w:rsid w:val="00C74D0C"/>
    <w:rsid w:val="00C7512A"/>
    <w:rsid w:val="00C7545A"/>
    <w:rsid w:val="00C75936"/>
    <w:rsid w:val="00C75A47"/>
    <w:rsid w:val="00C75D76"/>
    <w:rsid w:val="00C76543"/>
    <w:rsid w:val="00C76716"/>
    <w:rsid w:val="00C76E6B"/>
    <w:rsid w:val="00C7728A"/>
    <w:rsid w:val="00C773B1"/>
    <w:rsid w:val="00C778D8"/>
    <w:rsid w:val="00C77DB4"/>
    <w:rsid w:val="00C80226"/>
    <w:rsid w:val="00C802CB"/>
    <w:rsid w:val="00C80D89"/>
    <w:rsid w:val="00C80DDF"/>
    <w:rsid w:val="00C8130C"/>
    <w:rsid w:val="00C81F5B"/>
    <w:rsid w:val="00C82CFC"/>
    <w:rsid w:val="00C830A4"/>
    <w:rsid w:val="00C83416"/>
    <w:rsid w:val="00C83FF3"/>
    <w:rsid w:val="00C84187"/>
    <w:rsid w:val="00C844E2"/>
    <w:rsid w:val="00C844E4"/>
    <w:rsid w:val="00C84664"/>
    <w:rsid w:val="00C84E10"/>
    <w:rsid w:val="00C84FCA"/>
    <w:rsid w:val="00C85052"/>
    <w:rsid w:val="00C8576A"/>
    <w:rsid w:val="00C85771"/>
    <w:rsid w:val="00C85F59"/>
    <w:rsid w:val="00C860F3"/>
    <w:rsid w:val="00C8664E"/>
    <w:rsid w:val="00C86A4D"/>
    <w:rsid w:val="00C86C44"/>
    <w:rsid w:val="00C86C6F"/>
    <w:rsid w:val="00C87156"/>
    <w:rsid w:val="00C87BF0"/>
    <w:rsid w:val="00C90030"/>
    <w:rsid w:val="00C904BE"/>
    <w:rsid w:val="00C90C1A"/>
    <w:rsid w:val="00C910C9"/>
    <w:rsid w:val="00C91150"/>
    <w:rsid w:val="00C918BE"/>
    <w:rsid w:val="00C91B62"/>
    <w:rsid w:val="00C91C04"/>
    <w:rsid w:val="00C91E0B"/>
    <w:rsid w:val="00C91EA8"/>
    <w:rsid w:val="00C920E6"/>
    <w:rsid w:val="00C92785"/>
    <w:rsid w:val="00C92810"/>
    <w:rsid w:val="00C92BD9"/>
    <w:rsid w:val="00C92DA7"/>
    <w:rsid w:val="00C92E75"/>
    <w:rsid w:val="00C93055"/>
    <w:rsid w:val="00C939DD"/>
    <w:rsid w:val="00C93AB3"/>
    <w:rsid w:val="00C93BBC"/>
    <w:rsid w:val="00C93BEC"/>
    <w:rsid w:val="00C93C18"/>
    <w:rsid w:val="00C94038"/>
    <w:rsid w:val="00C943EE"/>
    <w:rsid w:val="00C94633"/>
    <w:rsid w:val="00C94805"/>
    <w:rsid w:val="00C9487B"/>
    <w:rsid w:val="00C952A7"/>
    <w:rsid w:val="00C955C5"/>
    <w:rsid w:val="00C9584E"/>
    <w:rsid w:val="00C959E8"/>
    <w:rsid w:val="00C95E52"/>
    <w:rsid w:val="00C96109"/>
    <w:rsid w:val="00C962A1"/>
    <w:rsid w:val="00C96F21"/>
    <w:rsid w:val="00C97615"/>
    <w:rsid w:val="00C97F80"/>
    <w:rsid w:val="00CA0371"/>
    <w:rsid w:val="00CA068D"/>
    <w:rsid w:val="00CA10E1"/>
    <w:rsid w:val="00CA18BA"/>
    <w:rsid w:val="00CA1FDE"/>
    <w:rsid w:val="00CA22B2"/>
    <w:rsid w:val="00CA230D"/>
    <w:rsid w:val="00CA238E"/>
    <w:rsid w:val="00CA2561"/>
    <w:rsid w:val="00CA265F"/>
    <w:rsid w:val="00CA2C4F"/>
    <w:rsid w:val="00CA2DB3"/>
    <w:rsid w:val="00CA30A1"/>
    <w:rsid w:val="00CA3354"/>
    <w:rsid w:val="00CA3698"/>
    <w:rsid w:val="00CA39BE"/>
    <w:rsid w:val="00CA3B2C"/>
    <w:rsid w:val="00CA3E9E"/>
    <w:rsid w:val="00CA41A6"/>
    <w:rsid w:val="00CA4474"/>
    <w:rsid w:val="00CA46FF"/>
    <w:rsid w:val="00CA47E2"/>
    <w:rsid w:val="00CA48AA"/>
    <w:rsid w:val="00CA4F89"/>
    <w:rsid w:val="00CA5546"/>
    <w:rsid w:val="00CA566F"/>
    <w:rsid w:val="00CA5AFD"/>
    <w:rsid w:val="00CA5B99"/>
    <w:rsid w:val="00CA5C5F"/>
    <w:rsid w:val="00CA5C9E"/>
    <w:rsid w:val="00CA6225"/>
    <w:rsid w:val="00CA64EE"/>
    <w:rsid w:val="00CA6B4C"/>
    <w:rsid w:val="00CA6BA8"/>
    <w:rsid w:val="00CA6EA2"/>
    <w:rsid w:val="00CA6F74"/>
    <w:rsid w:val="00CA70D4"/>
    <w:rsid w:val="00CA7A7A"/>
    <w:rsid w:val="00CA7BB1"/>
    <w:rsid w:val="00CA7F28"/>
    <w:rsid w:val="00CB0877"/>
    <w:rsid w:val="00CB153F"/>
    <w:rsid w:val="00CB179E"/>
    <w:rsid w:val="00CB1AC8"/>
    <w:rsid w:val="00CB1C65"/>
    <w:rsid w:val="00CB2032"/>
    <w:rsid w:val="00CB215D"/>
    <w:rsid w:val="00CB21B6"/>
    <w:rsid w:val="00CB23D8"/>
    <w:rsid w:val="00CB25AE"/>
    <w:rsid w:val="00CB2734"/>
    <w:rsid w:val="00CB2B06"/>
    <w:rsid w:val="00CB2B84"/>
    <w:rsid w:val="00CB2C99"/>
    <w:rsid w:val="00CB2D29"/>
    <w:rsid w:val="00CB2EFF"/>
    <w:rsid w:val="00CB2F21"/>
    <w:rsid w:val="00CB2FC2"/>
    <w:rsid w:val="00CB31A1"/>
    <w:rsid w:val="00CB3CA3"/>
    <w:rsid w:val="00CB491B"/>
    <w:rsid w:val="00CB4BD9"/>
    <w:rsid w:val="00CB4C18"/>
    <w:rsid w:val="00CB4DB7"/>
    <w:rsid w:val="00CB4E4C"/>
    <w:rsid w:val="00CB4FB3"/>
    <w:rsid w:val="00CB50D1"/>
    <w:rsid w:val="00CB50FD"/>
    <w:rsid w:val="00CB5194"/>
    <w:rsid w:val="00CB53D2"/>
    <w:rsid w:val="00CB53D9"/>
    <w:rsid w:val="00CB54D2"/>
    <w:rsid w:val="00CB560E"/>
    <w:rsid w:val="00CB5CDF"/>
    <w:rsid w:val="00CB5DC4"/>
    <w:rsid w:val="00CB5E28"/>
    <w:rsid w:val="00CB6183"/>
    <w:rsid w:val="00CB6768"/>
    <w:rsid w:val="00CB75BD"/>
    <w:rsid w:val="00CB76A1"/>
    <w:rsid w:val="00CB77A8"/>
    <w:rsid w:val="00CB78E3"/>
    <w:rsid w:val="00CB7991"/>
    <w:rsid w:val="00CB7FA8"/>
    <w:rsid w:val="00CC07C3"/>
    <w:rsid w:val="00CC08B5"/>
    <w:rsid w:val="00CC0C5B"/>
    <w:rsid w:val="00CC1079"/>
    <w:rsid w:val="00CC12AA"/>
    <w:rsid w:val="00CC15FB"/>
    <w:rsid w:val="00CC1C5E"/>
    <w:rsid w:val="00CC1DB0"/>
    <w:rsid w:val="00CC25FE"/>
    <w:rsid w:val="00CC268C"/>
    <w:rsid w:val="00CC2E9C"/>
    <w:rsid w:val="00CC3111"/>
    <w:rsid w:val="00CC3A9B"/>
    <w:rsid w:val="00CC4560"/>
    <w:rsid w:val="00CC463E"/>
    <w:rsid w:val="00CC4860"/>
    <w:rsid w:val="00CC4BEB"/>
    <w:rsid w:val="00CC52DB"/>
    <w:rsid w:val="00CC5580"/>
    <w:rsid w:val="00CC56CF"/>
    <w:rsid w:val="00CC5A29"/>
    <w:rsid w:val="00CC5BAC"/>
    <w:rsid w:val="00CC5CE4"/>
    <w:rsid w:val="00CC5E7A"/>
    <w:rsid w:val="00CC6018"/>
    <w:rsid w:val="00CC6065"/>
    <w:rsid w:val="00CC6B25"/>
    <w:rsid w:val="00CC6B53"/>
    <w:rsid w:val="00CC6BC9"/>
    <w:rsid w:val="00CC73A7"/>
    <w:rsid w:val="00CC7427"/>
    <w:rsid w:val="00CC7464"/>
    <w:rsid w:val="00CC7465"/>
    <w:rsid w:val="00CC7AC0"/>
    <w:rsid w:val="00CD00D3"/>
    <w:rsid w:val="00CD0884"/>
    <w:rsid w:val="00CD12DB"/>
    <w:rsid w:val="00CD17A6"/>
    <w:rsid w:val="00CD1B6F"/>
    <w:rsid w:val="00CD1DA6"/>
    <w:rsid w:val="00CD1E0C"/>
    <w:rsid w:val="00CD27CF"/>
    <w:rsid w:val="00CD2FBE"/>
    <w:rsid w:val="00CD36C2"/>
    <w:rsid w:val="00CD3938"/>
    <w:rsid w:val="00CD3A85"/>
    <w:rsid w:val="00CD3DDF"/>
    <w:rsid w:val="00CD3EC1"/>
    <w:rsid w:val="00CD3EFA"/>
    <w:rsid w:val="00CD416E"/>
    <w:rsid w:val="00CD451C"/>
    <w:rsid w:val="00CD45F3"/>
    <w:rsid w:val="00CD4931"/>
    <w:rsid w:val="00CD4C11"/>
    <w:rsid w:val="00CD4CCF"/>
    <w:rsid w:val="00CD515F"/>
    <w:rsid w:val="00CD6176"/>
    <w:rsid w:val="00CD637B"/>
    <w:rsid w:val="00CD6657"/>
    <w:rsid w:val="00CD66B4"/>
    <w:rsid w:val="00CD68B5"/>
    <w:rsid w:val="00CD6E6A"/>
    <w:rsid w:val="00CD71FB"/>
    <w:rsid w:val="00CD771B"/>
    <w:rsid w:val="00CD7ECD"/>
    <w:rsid w:val="00CE0E24"/>
    <w:rsid w:val="00CE15A6"/>
    <w:rsid w:val="00CE1C3E"/>
    <w:rsid w:val="00CE1CA8"/>
    <w:rsid w:val="00CE1DE0"/>
    <w:rsid w:val="00CE25A7"/>
    <w:rsid w:val="00CE2953"/>
    <w:rsid w:val="00CE2BD5"/>
    <w:rsid w:val="00CE37D9"/>
    <w:rsid w:val="00CE3C81"/>
    <w:rsid w:val="00CE3D96"/>
    <w:rsid w:val="00CE3E0D"/>
    <w:rsid w:val="00CE412B"/>
    <w:rsid w:val="00CE47D7"/>
    <w:rsid w:val="00CE4984"/>
    <w:rsid w:val="00CE4E57"/>
    <w:rsid w:val="00CE4F8B"/>
    <w:rsid w:val="00CE594B"/>
    <w:rsid w:val="00CE5B7C"/>
    <w:rsid w:val="00CE62A8"/>
    <w:rsid w:val="00CE6726"/>
    <w:rsid w:val="00CE6CD4"/>
    <w:rsid w:val="00CE6D94"/>
    <w:rsid w:val="00CE6F1B"/>
    <w:rsid w:val="00CE70AC"/>
    <w:rsid w:val="00CE71A6"/>
    <w:rsid w:val="00CE721B"/>
    <w:rsid w:val="00CE775D"/>
    <w:rsid w:val="00CE79CF"/>
    <w:rsid w:val="00CE7F8E"/>
    <w:rsid w:val="00CF031E"/>
    <w:rsid w:val="00CF075C"/>
    <w:rsid w:val="00CF0C3F"/>
    <w:rsid w:val="00CF0C99"/>
    <w:rsid w:val="00CF0D9D"/>
    <w:rsid w:val="00CF0E36"/>
    <w:rsid w:val="00CF110B"/>
    <w:rsid w:val="00CF2DBC"/>
    <w:rsid w:val="00CF3156"/>
    <w:rsid w:val="00CF3300"/>
    <w:rsid w:val="00CF3353"/>
    <w:rsid w:val="00CF361F"/>
    <w:rsid w:val="00CF3725"/>
    <w:rsid w:val="00CF4150"/>
    <w:rsid w:val="00CF451E"/>
    <w:rsid w:val="00CF46CF"/>
    <w:rsid w:val="00CF4946"/>
    <w:rsid w:val="00CF49F2"/>
    <w:rsid w:val="00CF5421"/>
    <w:rsid w:val="00CF5509"/>
    <w:rsid w:val="00CF56CB"/>
    <w:rsid w:val="00CF5842"/>
    <w:rsid w:val="00CF5985"/>
    <w:rsid w:val="00CF5AAA"/>
    <w:rsid w:val="00CF5B1D"/>
    <w:rsid w:val="00CF66A4"/>
    <w:rsid w:val="00CF6834"/>
    <w:rsid w:val="00CF688A"/>
    <w:rsid w:val="00CF6905"/>
    <w:rsid w:val="00CF6D0A"/>
    <w:rsid w:val="00CF70A8"/>
    <w:rsid w:val="00CF751C"/>
    <w:rsid w:val="00CF7952"/>
    <w:rsid w:val="00CF7E4A"/>
    <w:rsid w:val="00D0026A"/>
    <w:rsid w:val="00D00B09"/>
    <w:rsid w:val="00D00C0D"/>
    <w:rsid w:val="00D00C3E"/>
    <w:rsid w:val="00D00EB2"/>
    <w:rsid w:val="00D017E3"/>
    <w:rsid w:val="00D01C8A"/>
    <w:rsid w:val="00D01D4C"/>
    <w:rsid w:val="00D02746"/>
    <w:rsid w:val="00D027C4"/>
    <w:rsid w:val="00D02AEF"/>
    <w:rsid w:val="00D02C63"/>
    <w:rsid w:val="00D02DCB"/>
    <w:rsid w:val="00D02EEB"/>
    <w:rsid w:val="00D02FE9"/>
    <w:rsid w:val="00D03256"/>
    <w:rsid w:val="00D03C6E"/>
    <w:rsid w:val="00D0467E"/>
    <w:rsid w:val="00D04763"/>
    <w:rsid w:val="00D04B2F"/>
    <w:rsid w:val="00D04FA8"/>
    <w:rsid w:val="00D05007"/>
    <w:rsid w:val="00D053F7"/>
    <w:rsid w:val="00D055B4"/>
    <w:rsid w:val="00D055E5"/>
    <w:rsid w:val="00D056CE"/>
    <w:rsid w:val="00D05FEE"/>
    <w:rsid w:val="00D061F4"/>
    <w:rsid w:val="00D06547"/>
    <w:rsid w:val="00D06621"/>
    <w:rsid w:val="00D06791"/>
    <w:rsid w:val="00D06B31"/>
    <w:rsid w:val="00D06E4C"/>
    <w:rsid w:val="00D0780E"/>
    <w:rsid w:val="00D079ED"/>
    <w:rsid w:val="00D1099F"/>
    <w:rsid w:val="00D11449"/>
    <w:rsid w:val="00D1175D"/>
    <w:rsid w:val="00D11ACC"/>
    <w:rsid w:val="00D11E44"/>
    <w:rsid w:val="00D1222C"/>
    <w:rsid w:val="00D1240D"/>
    <w:rsid w:val="00D124A2"/>
    <w:rsid w:val="00D1258C"/>
    <w:rsid w:val="00D12618"/>
    <w:rsid w:val="00D12640"/>
    <w:rsid w:val="00D126EC"/>
    <w:rsid w:val="00D12BE0"/>
    <w:rsid w:val="00D12DE7"/>
    <w:rsid w:val="00D12E68"/>
    <w:rsid w:val="00D13009"/>
    <w:rsid w:val="00D1323F"/>
    <w:rsid w:val="00D14416"/>
    <w:rsid w:val="00D14553"/>
    <w:rsid w:val="00D145CF"/>
    <w:rsid w:val="00D15EFF"/>
    <w:rsid w:val="00D15FB0"/>
    <w:rsid w:val="00D16253"/>
    <w:rsid w:val="00D16343"/>
    <w:rsid w:val="00D175FF"/>
    <w:rsid w:val="00D17986"/>
    <w:rsid w:val="00D17D27"/>
    <w:rsid w:val="00D20666"/>
    <w:rsid w:val="00D20797"/>
    <w:rsid w:val="00D207F5"/>
    <w:rsid w:val="00D20F27"/>
    <w:rsid w:val="00D211DE"/>
    <w:rsid w:val="00D217EF"/>
    <w:rsid w:val="00D218E0"/>
    <w:rsid w:val="00D21C2A"/>
    <w:rsid w:val="00D22A65"/>
    <w:rsid w:val="00D22AFF"/>
    <w:rsid w:val="00D22B74"/>
    <w:rsid w:val="00D22E95"/>
    <w:rsid w:val="00D22F4A"/>
    <w:rsid w:val="00D22F4E"/>
    <w:rsid w:val="00D23187"/>
    <w:rsid w:val="00D23214"/>
    <w:rsid w:val="00D232AC"/>
    <w:rsid w:val="00D23555"/>
    <w:rsid w:val="00D23BCB"/>
    <w:rsid w:val="00D23EC1"/>
    <w:rsid w:val="00D23F0B"/>
    <w:rsid w:val="00D23FD7"/>
    <w:rsid w:val="00D24125"/>
    <w:rsid w:val="00D2440B"/>
    <w:rsid w:val="00D2490E"/>
    <w:rsid w:val="00D24913"/>
    <w:rsid w:val="00D249E3"/>
    <w:rsid w:val="00D24F9F"/>
    <w:rsid w:val="00D25C87"/>
    <w:rsid w:val="00D25D3C"/>
    <w:rsid w:val="00D261D5"/>
    <w:rsid w:val="00D26367"/>
    <w:rsid w:val="00D26E58"/>
    <w:rsid w:val="00D27137"/>
    <w:rsid w:val="00D271E3"/>
    <w:rsid w:val="00D2732D"/>
    <w:rsid w:val="00D27670"/>
    <w:rsid w:val="00D277BA"/>
    <w:rsid w:val="00D27D41"/>
    <w:rsid w:val="00D3011F"/>
    <w:rsid w:val="00D30C2A"/>
    <w:rsid w:val="00D30ED8"/>
    <w:rsid w:val="00D3115D"/>
    <w:rsid w:val="00D31407"/>
    <w:rsid w:val="00D3140E"/>
    <w:rsid w:val="00D3144A"/>
    <w:rsid w:val="00D31558"/>
    <w:rsid w:val="00D315E2"/>
    <w:rsid w:val="00D3172D"/>
    <w:rsid w:val="00D317DE"/>
    <w:rsid w:val="00D31925"/>
    <w:rsid w:val="00D31935"/>
    <w:rsid w:val="00D31DD0"/>
    <w:rsid w:val="00D3250B"/>
    <w:rsid w:val="00D32523"/>
    <w:rsid w:val="00D32CDB"/>
    <w:rsid w:val="00D332D9"/>
    <w:rsid w:val="00D339EA"/>
    <w:rsid w:val="00D346B7"/>
    <w:rsid w:val="00D3479F"/>
    <w:rsid w:val="00D34EB4"/>
    <w:rsid w:val="00D357C8"/>
    <w:rsid w:val="00D35A32"/>
    <w:rsid w:val="00D35B17"/>
    <w:rsid w:val="00D35BB1"/>
    <w:rsid w:val="00D35DE0"/>
    <w:rsid w:val="00D35FCA"/>
    <w:rsid w:val="00D3609A"/>
    <w:rsid w:val="00D360AF"/>
    <w:rsid w:val="00D36739"/>
    <w:rsid w:val="00D3735C"/>
    <w:rsid w:val="00D375B8"/>
    <w:rsid w:val="00D37649"/>
    <w:rsid w:val="00D378D8"/>
    <w:rsid w:val="00D4008F"/>
    <w:rsid w:val="00D40201"/>
    <w:rsid w:val="00D4031E"/>
    <w:rsid w:val="00D4099C"/>
    <w:rsid w:val="00D40B97"/>
    <w:rsid w:val="00D40C0B"/>
    <w:rsid w:val="00D40CC8"/>
    <w:rsid w:val="00D41479"/>
    <w:rsid w:val="00D415E5"/>
    <w:rsid w:val="00D416ED"/>
    <w:rsid w:val="00D41AEB"/>
    <w:rsid w:val="00D41AF1"/>
    <w:rsid w:val="00D41DF0"/>
    <w:rsid w:val="00D42018"/>
    <w:rsid w:val="00D4219C"/>
    <w:rsid w:val="00D428FD"/>
    <w:rsid w:val="00D42B32"/>
    <w:rsid w:val="00D42CD3"/>
    <w:rsid w:val="00D42FAA"/>
    <w:rsid w:val="00D431EA"/>
    <w:rsid w:val="00D43AF1"/>
    <w:rsid w:val="00D44068"/>
    <w:rsid w:val="00D44A7A"/>
    <w:rsid w:val="00D44F75"/>
    <w:rsid w:val="00D45836"/>
    <w:rsid w:val="00D458D0"/>
    <w:rsid w:val="00D45B74"/>
    <w:rsid w:val="00D46114"/>
    <w:rsid w:val="00D46636"/>
    <w:rsid w:val="00D466E5"/>
    <w:rsid w:val="00D4678A"/>
    <w:rsid w:val="00D46A54"/>
    <w:rsid w:val="00D46BF7"/>
    <w:rsid w:val="00D46CBF"/>
    <w:rsid w:val="00D46F3B"/>
    <w:rsid w:val="00D47B01"/>
    <w:rsid w:val="00D50098"/>
    <w:rsid w:val="00D5040E"/>
    <w:rsid w:val="00D50933"/>
    <w:rsid w:val="00D50C26"/>
    <w:rsid w:val="00D5105A"/>
    <w:rsid w:val="00D514A7"/>
    <w:rsid w:val="00D5174A"/>
    <w:rsid w:val="00D51898"/>
    <w:rsid w:val="00D51A77"/>
    <w:rsid w:val="00D51BC8"/>
    <w:rsid w:val="00D520EF"/>
    <w:rsid w:val="00D5215C"/>
    <w:rsid w:val="00D52218"/>
    <w:rsid w:val="00D525E3"/>
    <w:rsid w:val="00D5266E"/>
    <w:rsid w:val="00D529E1"/>
    <w:rsid w:val="00D52AE9"/>
    <w:rsid w:val="00D52E0C"/>
    <w:rsid w:val="00D53579"/>
    <w:rsid w:val="00D53E09"/>
    <w:rsid w:val="00D53E17"/>
    <w:rsid w:val="00D541A4"/>
    <w:rsid w:val="00D547C3"/>
    <w:rsid w:val="00D54A3F"/>
    <w:rsid w:val="00D54B34"/>
    <w:rsid w:val="00D55495"/>
    <w:rsid w:val="00D5591E"/>
    <w:rsid w:val="00D55939"/>
    <w:rsid w:val="00D55C1A"/>
    <w:rsid w:val="00D55C32"/>
    <w:rsid w:val="00D56243"/>
    <w:rsid w:val="00D568C7"/>
    <w:rsid w:val="00D5773D"/>
    <w:rsid w:val="00D5779E"/>
    <w:rsid w:val="00D577FD"/>
    <w:rsid w:val="00D57BB9"/>
    <w:rsid w:val="00D57E53"/>
    <w:rsid w:val="00D602D6"/>
    <w:rsid w:val="00D6054C"/>
    <w:rsid w:val="00D606AF"/>
    <w:rsid w:val="00D60DCC"/>
    <w:rsid w:val="00D61093"/>
    <w:rsid w:val="00D6118E"/>
    <w:rsid w:val="00D61967"/>
    <w:rsid w:val="00D61D2D"/>
    <w:rsid w:val="00D621B1"/>
    <w:rsid w:val="00D628F6"/>
    <w:rsid w:val="00D629F1"/>
    <w:rsid w:val="00D62E15"/>
    <w:rsid w:val="00D636B6"/>
    <w:rsid w:val="00D63AAA"/>
    <w:rsid w:val="00D63CB3"/>
    <w:rsid w:val="00D64383"/>
    <w:rsid w:val="00D647D6"/>
    <w:rsid w:val="00D64E42"/>
    <w:rsid w:val="00D65355"/>
    <w:rsid w:val="00D6538A"/>
    <w:rsid w:val="00D65621"/>
    <w:rsid w:val="00D658ED"/>
    <w:rsid w:val="00D66365"/>
    <w:rsid w:val="00D66683"/>
    <w:rsid w:val="00D670E6"/>
    <w:rsid w:val="00D67399"/>
    <w:rsid w:val="00D674A0"/>
    <w:rsid w:val="00D67726"/>
    <w:rsid w:val="00D67C5A"/>
    <w:rsid w:val="00D70067"/>
    <w:rsid w:val="00D701E4"/>
    <w:rsid w:val="00D705E2"/>
    <w:rsid w:val="00D70ABA"/>
    <w:rsid w:val="00D70CAE"/>
    <w:rsid w:val="00D70EEB"/>
    <w:rsid w:val="00D7160A"/>
    <w:rsid w:val="00D71657"/>
    <w:rsid w:val="00D718D2"/>
    <w:rsid w:val="00D71915"/>
    <w:rsid w:val="00D71B7A"/>
    <w:rsid w:val="00D71DC4"/>
    <w:rsid w:val="00D71DDB"/>
    <w:rsid w:val="00D7217C"/>
    <w:rsid w:val="00D723B5"/>
    <w:rsid w:val="00D72752"/>
    <w:rsid w:val="00D72882"/>
    <w:rsid w:val="00D72E97"/>
    <w:rsid w:val="00D733BC"/>
    <w:rsid w:val="00D7369E"/>
    <w:rsid w:val="00D73A7E"/>
    <w:rsid w:val="00D73CA0"/>
    <w:rsid w:val="00D74FD0"/>
    <w:rsid w:val="00D75419"/>
    <w:rsid w:val="00D7575C"/>
    <w:rsid w:val="00D75A15"/>
    <w:rsid w:val="00D75A7D"/>
    <w:rsid w:val="00D75B31"/>
    <w:rsid w:val="00D75B66"/>
    <w:rsid w:val="00D75F74"/>
    <w:rsid w:val="00D76065"/>
    <w:rsid w:val="00D76532"/>
    <w:rsid w:val="00D7788E"/>
    <w:rsid w:val="00D77D1F"/>
    <w:rsid w:val="00D801AC"/>
    <w:rsid w:val="00D80787"/>
    <w:rsid w:val="00D80C51"/>
    <w:rsid w:val="00D80C5A"/>
    <w:rsid w:val="00D80F39"/>
    <w:rsid w:val="00D81109"/>
    <w:rsid w:val="00D814E7"/>
    <w:rsid w:val="00D817C1"/>
    <w:rsid w:val="00D825E2"/>
    <w:rsid w:val="00D82698"/>
    <w:rsid w:val="00D826CE"/>
    <w:rsid w:val="00D827F8"/>
    <w:rsid w:val="00D82B22"/>
    <w:rsid w:val="00D82DA2"/>
    <w:rsid w:val="00D83446"/>
    <w:rsid w:val="00D835A3"/>
    <w:rsid w:val="00D83801"/>
    <w:rsid w:val="00D838F8"/>
    <w:rsid w:val="00D839E7"/>
    <w:rsid w:val="00D83E8D"/>
    <w:rsid w:val="00D83EED"/>
    <w:rsid w:val="00D841E3"/>
    <w:rsid w:val="00D84637"/>
    <w:rsid w:val="00D846B1"/>
    <w:rsid w:val="00D849CF"/>
    <w:rsid w:val="00D84C0C"/>
    <w:rsid w:val="00D84D10"/>
    <w:rsid w:val="00D85451"/>
    <w:rsid w:val="00D85930"/>
    <w:rsid w:val="00D859D4"/>
    <w:rsid w:val="00D85D69"/>
    <w:rsid w:val="00D86684"/>
    <w:rsid w:val="00D869F8"/>
    <w:rsid w:val="00D873E2"/>
    <w:rsid w:val="00D87E6E"/>
    <w:rsid w:val="00D9025B"/>
    <w:rsid w:val="00D90799"/>
    <w:rsid w:val="00D90A35"/>
    <w:rsid w:val="00D90CCA"/>
    <w:rsid w:val="00D90FFB"/>
    <w:rsid w:val="00D913E5"/>
    <w:rsid w:val="00D91E2B"/>
    <w:rsid w:val="00D920AD"/>
    <w:rsid w:val="00D9223A"/>
    <w:rsid w:val="00D9236F"/>
    <w:rsid w:val="00D92384"/>
    <w:rsid w:val="00D92453"/>
    <w:rsid w:val="00D92BF1"/>
    <w:rsid w:val="00D92D5B"/>
    <w:rsid w:val="00D9349C"/>
    <w:rsid w:val="00D93579"/>
    <w:rsid w:val="00D9369B"/>
    <w:rsid w:val="00D93D75"/>
    <w:rsid w:val="00D93F84"/>
    <w:rsid w:val="00D94474"/>
    <w:rsid w:val="00D9487D"/>
    <w:rsid w:val="00D95518"/>
    <w:rsid w:val="00D95995"/>
    <w:rsid w:val="00D95D1C"/>
    <w:rsid w:val="00D95E40"/>
    <w:rsid w:val="00D961E7"/>
    <w:rsid w:val="00D96670"/>
    <w:rsid w:val="00D96D38"/>
    <w:rsid w:val="00D975CB"/>
    <w:rsid w:val="00D9763A"/>
    <w:rsid w:val="00D97819"/>
    <w:rsid w:val="00D97927"/>
    <w:rsid w:val="00D97C4E"/>
    <w:rsid w:val="00DA0165"/>
    <w:rsid w:val="00DA03C0"/>
    <w:rsid w:val="00DA03FD"/>
    <w:rsid w:val="00DA0537"/>
    <w:rsid w:val="00DA07B4"/>
    <w:rsid w:val="00DA0E69"/>
    <w:rsid w:val="00DA1BCD"/>
    <w:rsid w:val="00DA2325"/>
    <w:rsid w:val="00DA251D"/>
    <w:rsid w:val="00DA25C9"/>
    <w:rsid w:val="00DA27A2"/>
    <w:rsid w:val="00DA2972"/>
    <w:rsid w:val="00DA2D01"/>
    <w:rsid w:val="00DA2DCA"/>
    <w:rsid w:val="00DA30D4"/>
    <w:rsid w:val="00DA322D"/>
    <w:rsid w:val="00DA355F"/>
    <w:rsid w:val="00DA38C3"/>
    <w:rsid w:val="00DA38CC"/>
    <w:rsid w:val="00DA3FF0"/>
    <w:rsid w:val="00DA42A7"/>
    <w:rsid w:val="00DA437C"/>
    <w:rsid w:val="00DA45D5"/>
    <w:rsid w:val="00DA52E4"/>
    <w:rsid w:val="00DA55FB"/>
    <w:rsid w:val="00DA5789"/>
    <w:rsid w:val="00DA5876"/>
    <w:rsid w:val="00DA60B4"/>
    <w:rsid w:val="00DA6498"/>
    <w:rsid w:val="00DA6ADD"/>
    <w:rsid w:val="00DA6FDB"/>
    <w:rsid w:val="00DA7133"/>
    <w:rsid w:val="00DA76E6"/>
    <w:rsid w:val="00DB0402"/>
    <w:rsid w:val="00DB048B"/>
    <w:rsid w:val="00DB12DD"/>
    <w:rsid w:val="00DB14CD"/>
    <w:rsid w:val="00DB1D19"/>
    <w:rsid w:val="00DB1DDA"/>
    <w:rsid w:val="00DB2098"/>
    <w:rsid w:val="00DB2281"/>
    <w:rsid w:val="00DB26D0"/>
    <w:rsid w:val="00DB2D10"/>
    <w:rsid w:val="00DB3225"/>
    <w:rsid w:val="00DB33E2"/>
    <w:rsid w:val="00DB3968"/>
    <w:rsid w:val="00DB3B8C"/>
    <w:rsid w:val="00DB3C1F"/>
    <w:rsid w:val="00DB3C7C"/>
    <w:rsid w:val="00DB3F55"/>
    <w:rsid w:val="00DB53A8"/>
    <w:rsid w:val="00DB592A"/>
    <w:rsid w:val="00DB5B7D"/>
    <w:rsid w:val="00DB5E10"/>
    <w:rsid w:val="00DB5FA9"/>
    <w:rsid w:val="00DB6124"/>
    <w:rsid w:val="00DB65BA"/>
    <w:rsid w:val="00DB6851"/>
    <w:rsid w:val="00DB68A7"/>
    <w:rsid w:val="00DB6B40"/>
    <w:rsid w:val="00DB7365"/>
    <w:rsid w:val="00DB7DC8"/>
    <w:rsid w:val="00DB7F95"/>
    <w:rsid w:val="00DC021D"/>
    <w:rsid w:val="00DC049A"/>
    <w:rsid w:val="00DC0562"/>
    <w:rsid w:val="00DC0CB2"/>
    <w:rsid w:val="00DC0D09"/>
    <w:rsid w:val="00DC0F39"/>
    <w:rsid w:val="00DC1099"/>
    <w:rsid w:val="00DC127F"/>
    <w:rsid w:val="00DC13D8"/>
    <w:rsid w:val="00DC14E7"/>
    <w:rsid w:val="00DC15E8"/>
    <w:rsid w:val="00DC1792"/>
    <w:rsid w:val="00DC1AC8"/>
    <w:rsid w:val="00DC1BAB"/>
    <w:rsid w:val="00DC1F69"/>
    <w:rsid w:val="00DC2016"/>
    <w:rsid w:val="00DC20D8"/>
    <w:rsid w:val="00DC2605"/>
    <w:rsid w:val="00DC2620"/>
    <w:rsid w:val="00DC2C53"/>
    <w:rsid w:val="00DC312D"/>
    <w:rsid w:val="00DC324C"/>
    <w:rsid w:val="00DC3393"/>
    <w:rsid w:val="00DC354A"/>
    <w:rsid w:val="00DC37E8"/>
    <w:rsid w:val="00DC3E64"/>
    <w:rsid w:val="00DC450A"/>
    <w:rsid w:val="00DC4520"/>
    <w:rsid w:val="00DC46C1"/>
    <w:rsid w:val="00DC4782"/>
    <w:rsid w:val="00DC4A51"/>
    <w:rsid w:val="00DC4E35"/>
    <w:rsid w:val="00DC5608"/>
    <w:rsid w:val="00DC59E8"/>
    <w:rsid w:val="00DC5C25"/>
    <w:rsid w:val="00DC5DC8"/>
    <w:rsid w:val="00DC6233"/>
    <w:rsid w:val="00DC6B97"/>
    <w:rsid w:val="00DC765A"/>
    <w:rsid w:val="00DC7861"/>
    <w:rsid w:val="00DC7946"/>
    <w:rsid w:val="00DC79EE"/>
    <w:rsid w:val="00DC7B03"/>
    <w:rsid w:val="00DC7E2C"/>
    <w:rsid w:val="00DD103F"/>
    <w:rsid w:val="00DD10B9"/>
    <w:rsid w:val="00DD1258"/>
    <w:rsid w:val="00DD17D5"/>
    <w:rsid w:val="00DD209F"/>
    <w:rsid w:val="00DD2584"/>
    <w:rsid w:val="00DD25AA"/>
    <w:rsid w:val="00DD26A9"/>
    <w:rsid w:val="00DD2C24"/>
    <w:rsid w:val="00DD2E2C"/>
    <w:rsid w:val="00DD2F98"/>
    <w:rsid w:val="00DD32C2"/>
    <w:rsid w:val="00DD37B8"/>
    <w:rsid w:val="00DD43A4"/>
    <w:rsid w:val="00DD4761"/>
    <w:rsid w:val="00DD5113"/>
    <w:rsid w:val="00DD5284"/>
    <w:rsid w:val="00DD53CB"/>
    <w:rsid w:val="00DD5B38"/>
    <w:rsid w:val="00DD5D0F"/>
    <w:rsid w:val="00DD5D3C"/>
    <w:rsid w:val="00DD5F2B"/>
    <w:rsid w:val="00DD5F5B"/>
    <w:rsid w:val="00DD633D"/>
    <w:rsid w:val="00DD6365"/>
    <w:rsid w:val="00DD689C"/>
    <w:rsid w:val="00DD6928"/>
    <w:rsid w:val="00DD6AB9"/>
    <w:rsid w:val="00DD6B6F"/>
    <w:rsid w:val="00DD6EBD"/>
    <w:rsid w:val="00DD6EF1"/>
    <w:rsid w:val="00DD6FA8"/>
    <w:rsid w:val="00DD6FF1"/>
    <w:rsid w:val="00DD71FF"/>
    <w:rsid w:val="00DD76D1"/>
    <w:rsid w:val="00DD7786"/>
    <w:rsid w:val="00DD7FEF"/>
    <w:rsid w:val="00DE0124"/>
    <w:rsid w:val="00DE04E5"/>
    <w:rsid w:val="00DE1878"/>
    <w:rsid w:val="00DE1944"/>
    <w:rsid w:val="00DE2767"/>
    <w:rsid w:val="00DE2DC8"/>
    <w:rsid w:val="00DE2F9C"/>
    <w:rsid w:val="00DE2FE8"/>
    <w:rsid w:val="00DE36B1"/>
    <w:rsid w:val="00DE3B28"/>
    <w:rsid w:val="00DE427A"/>
    <w:rsid w:val="00DE42B0"/>
    <w:rsid w:val="00DE488B"/>
    <w:rsid w:val="00DE492C"/>
    <w:rsid w:val="00DE4BF6"/>
    <w:rsid w:val="00DE4C0D"/>
    <w:rsid w:val="00DE4FA7"/>
    <w:rsid w:val="00DE527A"/>
    <w:rsid w:val="00DE552E"/>
    <w:rsid w:val="00DE56CE"/>
    <w:rsid w:val="00DE5780"/>
    <w:rsid w:val="00DE5BBC"/>
    <w:rsid w:val="00DE5FAA"/>
    <w:rsid w:val="00DE6186"/>
    <w:rsid w:val="00DE68F7"/>
    <w:rsid w:val="00DE6EFC"/>
    <w:rsid w:val="00DE6F29"/>
    <w:rsid w:val="00DE71BF"/>
    <w:rsid w:val="00DE7384"/>
    <w:rsid w:val="00DE7A15"/>
    <w:rsid w:val="00DE7B63"/>
    <w:rsid w:val="00DE7FCE"/>
    <w:rsid w:val="00DF03E7"/>
    <w:rsid w:val="00DF1A06"/>
    <w:rsid w:val="00DF24D7"/>
    <w:rsid w:val="00DF29A5"/>
    <w:rsid w:val="00DF32B4"/>
    <w:rsid w:val="00DF3352"/>
    <w:rsid w:val="00DF344B"/>
    <w:rsid w:val="00DF34F6"/>
    <w:rsid w:val="00DF35A8"/>
    <w:rsid w:val="00DF3DB5"/>
    <w:rsid w:val="00DF41EB"/>
    <w:rsid w:val="00DF421B"/>
    <w:rsid w:val="00DF427D"/>
    <w:rsid w:val="00DF4B00"/>
    <w:rsid w:val="00DF5270"/>
    <w:rsid w:val="00DF5464"/>
    <w:rsid w:val="00DF55AF"/>
    <w:rsid w:val="00DF58DF"/>
    <w:rsid w:val="00DF63F9"/>
    <w:rsid w:val="00DF642E"/>
    <w:rsid w:val="00DF64E1"/>
    <w:rsid w:val="00DF65C5"/>
    <w:rsid w:val="00DF688B"/>
    <w:rsid w:val="00DF6EA7"/>
    <w:rsid w:val="00DF70A9"/>
    <w:rsid w:val="00DF72EF"/>
    <w:rsid w:val="00DF75C9"/>
    <w:rsid w:val="00DF7E16"/>
    <w:rsid w:val="00DF7E7F"/>
    <w:rsid w:val="00DF7F51"/>
    <w:rsid w:val="00E006A7"/>
    <w:rsid w:val="00E007D6"/>
    <w:rsid w:val="00E00DAA"/>
    <w:rsid w:val="00E01A78"/>
    <w:rsid w:val="00E01C8B"/>
    <w:rsid w:val="00E02032"/>
    <w:rsid w:val="00E0232D"/>
    <w:rsid w:val="00E02602"/>
    <w:rsid w:val="00E02D24"/>
    <w:rsid w:val="00E03673"/>
    <w:rsid w:val="00E03E00"/>
    <w:rsid w:val="00E03E85"/>
    <w:rsid w:val="00E04738"/>
    <w:rsid w:val="00E04802"/>
    <w:rsid w:val="00E04CE1"/>
    <w:rsid w:val="00E04F66"/>
    <w:rsid w:val="00E0515C"/>
    <w:rsid w:val="00E053F4"/>
    <w:rsid w:val="00E0573A"/>
    <w:rsid w:val="00E05861"/>
    <w:rsid w:val="00E0591C"/>
    <w:rsid w:val="00E070D9"/>
    <w:rsid w:val="00E07603"/>
    <w:rsid w:val="00E10B5B"/>
    <w:rsid w:val="00E10C54"/>
    <w:rsid w:val="00E10E32"/>
    <w:rsid w:val="00E111EF"/>
    <w:rsid w:val="00E1165B"/>
    <w:rsid w:val="00E11746"/>
    <w:rsid w:val="00E11848"/>
    <w:rsid w:val="00E118BF"/>
    <w:rsid w:val="00E11AC6"/>
    <w:rsid w:val="00E1202B"/>
    <w:rsid w:val="00E12409"/>
    <w:rsid w:val="00E1291B"/>
    <w:rsid w:val="00E1321F"/>
    <w:rsid w:val="00E135CD"/>
    <w:rsid w:val="00E13774"/>
    <w:rsid w:val="00E139B6"/>
    <w:rsid w:val="00E1467E"/>
    <w:rsid w:val="00E146F0"/>
    <w:rsid w:val="00E148C9"/>
    <w:rsid w:val="00E1535D"/>
    <w:rsid w:val="00E1572B"/>
    <w:rsid w:val="00E15983"/>
    <w:rsid w:val="00E16140"/>
    <w:rsid w:val="00E161C6"/>
    <w:rsid w:val="00E16B86"/>
    <w:rsid w:val="00E16BEF"/>
    <w:rsid w:val="00E1707D"/>
    <w:rsid w:val="00E17754"/>
    <w:rsid w:val="00E203F7"/>
    <w:rsid w:val="00E20879"/>
    <w:rsid w:val="00E209B8"/>
    <w:rsid w:val="00E20F73"/>
    <w:rsid w:val="00E21402"/>
    <w:rsid w:val="00E2150C"/>
    <w:rsid w:val="00E21642"/>
    <w:rsid w:val="00E21E32"/>
    <w:rsid w:val="00E2207C"/>
    <w:rsid w:val="00E220AB"/>
    <w:rsid w:val="00E221F8"/>
    <w:rsid w:val="00E222D7"/>
    <w:rsid w:val="00E22384"/>
    <w:rsid w:val="00E227EC"/>
    <w:rsid w:val="00E22807"/>
    <w:rsid w:val="00E22D7D"/>
    <w:rsid w:val="00E23FA7"/>
    <w:rsid w:val="00E246CF"/>
    <w:rsid w:val="00E24E21"/>
    <w:rsid w:val="00E250C8"/>
    <w:rsid w:val="00E2513D"/>
    <w:rsid w:val="00E25301"/>
    <w:rsid w:val="00E253B4"/>
    <w:rsid w:val="00E253DC"/>
    <w:rsid w:val="00E254D1"/>
    <w:rsid w:val="00E255F8"/>
    <w:rsid w:val="00E25EF7"/>
    <w:rsid w:val="00E266E3"/>
    <w:rsid w:val="00E26A19"/>
    <w:rsid w:val="00E26C4A"/>
    <w:rsid w:val="00E26F34"/>
    <w:rsid w:val="00E27831"/>
    <w:rsid w:val="00E27C62"/>
    <w:rsid w:val="00E305FD"/>
    <w:rsid w:val="00E3067A"/>
    <w:rsid w:val="00E309B6"/>
    <w:rsid w:val="00E30A47"/>
    <w:rsid w:val="00E30BD9"/>
    <w:rsid w:val="00E30D9A"/>
    <w:rsid w:val="00E31397"/>
    <w:rsid w:val="00E316B5"/>
    <w:rsid w:val="00E31813"/>
    <w:rsid w:val="00E318C9"/>
    <w:rsid w:val="00E31D85"/>
    <w:rsid w:val="00E31FDC"/>
    <w:rsid w:val="00E322AB"/>
    <w:rsid w:val="00E3249B"/>
    <w:rsid w:val="00E32F1E"/>
    <w:rsid w:val="00E3321B"/>
    <w:rsid w:val="00E33398"/>
    <w:rsid w:val="00E337DD"/>
    <w:rsid w:val="00E34172"/>
    <w:rsid w:val="00E34E1F"/>
    <w:rsid w:val="00E34E74"/>
    <w:rsid w:val="00E355E1"/>
    <w:rsid w:val="00E35AE5"/>
    <w:rsid w:val="00E35E4D"/>
    <w:rsid w:val="00E3652E"/>
    <w:rsid w:val="00E3665E"/>
    <w:rsid w:val="00E367DD"/>
    <w:rsid w:val="00E36890"/>
    <w:rsid w:val="00E369A6"/>
    <w:rsid w:val="00E37044"/>
    <w:rsid w:val="00E37379"/>
    <w:rsid w:val="00E375F7"/>
    <w:rsid w:val="00E379C1"/>
    <w:rsid w:val="00E37F1D"/>
    <w:rsid w:val="00E37FCE"/>
    <w:rsid w:val="00E401DF"/>
    <w:rsid w:val="00E4063A"/>
    <w:rsid w:val="00E406CF"/>
    <w:rsid w:val="00E40C7F"/>
    <w:rsid w:val="00E40EEC"/>
    <w:rsid w:val="00E40F25"/>
    <w:rsid w:val="00E41047"/>
    <w:rsid w:val="00E4142D"/>
    <w:rsid w:val="00E41991"/>
    <w:rsid w:val="00E41A0A"/>
    <w:rsid w:val="00E422C1"/>
    <w:rsid w:val="00E4251B"/>
    <w:rsid w:val="00E42685"/>
    <w:rsid w:val="00E42A5B"/>
    <w:rsid w:val="00E42A9B"/>
    <w:rsid w:val="00E430F1"/>
    <w:rsid w:val="00E436F9"/>
    <w:rsid w:val="00E43BAD"/>
    <w:rsid w:val="00E43F05"/>
    <w:rsid w:val="00E44101"/>
    <w:rsid w:val="00E44113"/>
    <w:rsid w:val="00E444FA"/>
    <w:rsid w:val="00E44A3C"/>
    <w:rsid w:val="00E44C0C"/>
    <w:rsid w:val="00E45B3B"/>
    <w:rsid w:val="00E45C1F"/>
    <w:rsid w:val="00E45EFF"/>
    <w:rsid w:val="00E46131"/>
    <w:rsid w:val="00E465BE"/>
    <w:rsid w:val="00E46638"/>
    <w:rsid w:val="00E468C0"/>
    <w:rsid w:val="00E4730E"/>
    <w:rsid w:val="00E47A32"/>
    <w:rsid w:val="00E47BDF"/>
    <w:rsid w:val="00E47E64"/>
    <w:rsid w:val="00E500DD"/>
    <w:rsid w:val="00E50DA4"/>
    <w:rsid w:val="00E51969"/>
    <w:rsid w:val="00E51A2E"/>
    <w:rsid w:val="00E52124"/>
    <w:rsid w:val="00E523AF"/>
    <w:rsid w:val="00E527EC"/>
    <w:rsid w:val="00E52DB7"/>
    <w:rsid w:val="00E52F4B"/>
    <w:rsid w:val="00E532F6"/>
    <w:rsid w:val="00E53E6D"/>
    <w:rsid w:val="00E5401D"/>
    <w:rsid w:val="00E5424B"/>
    <w:rsid w:val="00E54305"/>
    <w:rsid w:val="00E54480"/>
    <w:rsid w:val="00E54897"/>
    <w:rsid w:val="00E54DF6"/>
    <w:rsid w:val="00E55BE7"/>
    <w:rsid w:val="00E55C73"/>
    <w:rsid w:val="00E55C87"/>
    <w:rsid w:val="00E55CC4"/>
    <w:rsid w:val="00E56CDA"/>
    <w:rsid w:val="00E57041"/>
    <w:rsid w:val="00E57807"/>
    <w:rsid w:val="00E57F06"/>
    <w:rsid w:val="00E57F93"/>
    <w:rsid w:val="00E602E7"/>
    <w:rsid w:val="00E604CE"/>
    <w:rsid w:val="00E6080D"/>
    <w:rsid w:val="00E60833"/>
    <w:rsid w:val="00E60BA1"/>
    <w:rsid w:val="00E60CDD"/>
    <w:rsid w:val="00E610A6"/>
    <w:rsid w:val="00E61161"/>
    <w:rsid w:val="00E613B1"/>
    <w:rsid w:val="00E614A4"/>
    <w:rsid w:val="00E616A3"/>
    <w:rsid w:val="00E628D2"/>
    <w:rsid w:val="00E62A18"/>
    <w:rsid w:val="00E630C1"/>
    <w:rsid w:val="00E6360B"/>
    <w:rsid w:val="00E63723"/>
    <w:rsid w:val="00E63D51"/>
    <w:rsid w:val="00E63F2D"/>
    <w:rsid w:val="00E642B5"/>
    <w:rsid w:val="00E649E8"/>
    <w:rsid w:val="00E6559C"/>
    <w:rsid w:val="00E655A1"/>
    <w:rsid w:val="00E659C9"/>
    <w:rsid w:val="00E663C2"/>
    <w:rsid w:val="00E66588"/>
    <w:rsid w:val="00E66DEC"/>
    <w:rsid w:val="00E67082"/>
    <w:rsid w:val="00E70ACD"/>
    <w:rsid w:val="00E710AD"/>
    <w:rsid w:val="00E71810"/>
    <w:rsid w:val="00E7234E"/>
    <w:rsid w:val="00E72738"/>
    <w:rsid w:val="00E72753"/>
    <w:rsid w:val="00E72CCF"/>
    <w:rsid w:val="00E73574"/>
    <w:rsid w:val="00E736B3"/>
    <w:rsid w:val="00E741A8"/>
    <w:rsid w:val="00E74E10"/>
    <w:rsid w:val="00E755B5"/>
    <w:rsid w:val="00E75C17"/>
    <w:rsid w:val="00E769AC"/>
    <w:rsid w:val="00E76A03"/>
    <w:rsid w:val="00E77490"/>
    <w:rsid w:val="00E77DED"/>
    <w:rsid w:val="00E80540"/>
    <w:rsid w:val="00E80839"/>
    <w:rsid w:val="00E8087A"/>
    <w:rsid w:val="00E80C18"/>
    <w:rsid w:val="00E80CA4"/>
    <w:rsid w:val="00E80F4F"/>
    <w:rsid w:val="00E80FDB"/>
    <w:rsid w:val="00E82292"/>
    <w:rsid w:val="00E82732"/>
    <w:rsid w:val="00E82973"/>
    <w:rsid w:val="00E82D6D"/>
    <w:rsid w:val="00E83037"/>
    <w:rsid w:val="00E833CB"/>
    <w:rsid w:val="00E8342D"/>
    <w:rsid w:val="00E83599"/>
    <w:rsid w:val="00E83783"/>
    <w:rsid w:val="00E841BD"/>
    <w:rsid w:val="00E84923"/>
    <w:rsid w:val="00E84C2B"/>
    <w:rsid w:val="00E8502E"/>
    <w:rsid w:val="00E856E3"/>
    <w:rsid w:val="00E85A01"/>
    <w:rsid w:val="00E865FA"/>
    <w:rsid w:val="00E867EF"/>
    <w:rsid w:val="00E86E11"/>
    <w:rsid w:val="00E87369"/>
    <w:rsid w:val="00E87FD8"/>
    <w:rsid w:val="00E9093C"/>
    <w:rsid w:val="00E910B8"/>
    <w:rsid w:val="00E92003"/>
    <w:rsid w:val="00E9202C"/>
    <w:rsid w:val="00E92162"/>
    <w:rsid w:val="00E9248C"/>
    <w:rsid w:val="00E926AC"/>
    <w:rsid w:val="00E93C2A"/>
    <w:rsid w:val="00E9401E"/>
    <w:rsid w:val="00E9423D"/>
    <w:rsid w:val="00E94490"/>
    <w:rsid w:val="00E94812"/>
    <w:rsid w:val="00E94965"/>
    <w:rsid w:val="00E94A2B"/>
    <w:rsid w:val="00E94ACA"/>
    <w:rsid w:val="00E9505D"/>
    <w:rsid w:val="00E951D4"/>
    <w:rsid w:val="00E9532B"/>
    <w:rsid w:val="00E955BB"/>
    <w:rsid w:val="00E95D3A"/>
    <w:rsid w:val="00E95ED7"/>
    <w:rsid w:val="00E96679"/>
    <w:rsid w:val="00E966DA"/>
    <w:rsid w:val="00E968C5"/>
    <w:rsid w:val="00E9723D"/>
    <w:rsid w:val="00E9734F"/>
    <w:rsid w:val="00E97372"/>
    <w:rsid w:val="00E979D5"/>
    <w:rsid w:val="00E97A2E"/>
    <w:rsid w:val="00E97AE1"/>
    <w:rsid w:val="00E97AE6"/>
    <w:rsid w:val="00E97EBF"/>
    <w:rsid w:val="00EA0204"/>
    <w:rsid w:val="00EA092B"/>
    <w:rsid w:val="00EA0CD8"/>
    <w:rsid w:val="00EA13BB"/>
    <w:rsid w:val="00EA168B"/>
    <w:rsid w:val="00EA1E06"/>
    <w:rsid w:val="00EA2B2D"/>
    <w:rsid w:val="00EA2D29"/>
    <w:rsid w:val="00EA2E5A"/>
    <w:rsid w:val="00EA2F25"/>
    <w:rsid w:val="00EA31B5"/>
    <w:rsid w:val="00EA344E"/>
    <w:rsid w:val="00EA3713"/>
    <w:rsid w:val="00EA3BC3"/>
    <w:rsid w:val="00EA3DB5"/>
    <w:rsid w:val="00EA4B5D"/>
    <w:rsid w:val="00EA4D65"/>
    <w:rsid w:val="00EA553C"/>
    <w:rsid w:val="00EA5A9D"/>
    <w:rsid w:val="00EA6158"/>
    <w:rsid w:val="00EA6240"/>
    <w:rsid w:val="00EA6B95"/>
    <w:rsid w:val="00EA74E0"/>
    <w:rsid w:val="00EA757B"/>
    <w:rsid w:val="00EA7681"/>
    <w:rsid w:val="00EA7F41"/>
    <w:rsid w:val="00EB037F"/>
    <w:rsid w:val="00EB05E5"/>
    <w:rsid w:val="00EB09A5"/>
    <w:rsid w:val="00EB1375"/>
    <w:rsid w:val="00EB143D"/>
    <w:rsid w:val="00EB1722"/>
    <w:rsid w:val="00EB205F"/>
    <w:rsid w:val="00EB265A"/>
    <w:rsid w:val="00EB2805"/>
    <w:rsid w:val="00EB2B12"/>
    <w:rsid w:val="00EB2C94"/>
    <w:rsid w:val="00EB30E9"/>
    <w:rsid w:val="00EB3423"/>
    <w:rsid w:val="00EB34B1"/>
    <w:rsid w:val="00EB34BD"/>
    <w:rsid w:val="00EB3FD3"/>
    <w:rsid w:val="00EB40E3"/>
    <w:rsid w:val="00EB410F"/>
    <w:rsid w:val="00EB4341"/>
    <w:rsid w:val="00EB55C0"/>
    <w:rsid w:val="00EB58EA"/>
    <w:rsid w:val="00EB5B52"/>
    <w:rsid w:val="00EB6227"/>
    <w:rsid w:val="00EB6471"/>
    <w:rsid w:val="00EB64EA"/>
    <w:rsid w:val="00EB67FB"/>
    <w:rsid w:val="00EB6956"/>
    <w:rsid w:val="00EB6DB6"/>
    <w:rsid w:val="00EB70DE"/>
    <w:rsid w:val="00EB74AC"/>
    <w:rsid w:val="00EB778F"/>
    <w:rsid w:val="00EC03BA"/>
    <w:rsid w:val="00EC0411"/>
    <w:rsid w:val="00EC164E"/>
    <w:rsid w:val="00EC2B5C"/>
    <w:rsid w:val="00EC2ECA"/>
    <w:rsid w:val="00EC32CF"/>
    <w:rsid w:val="00EC3402"/>
    <w:rsid w:val="00EC39C5"/>
    <w:rsid w:val="00EC3A41"/>
    <w:rsid w:val="00EC3C0A"/>
    <w:rsid w:val="00EC3D74"/>
    <w:rsid w:val="00EC4427"/>
    <w:rsid w:val="00EC454B"/>
    <w:rsid w:val="00EC4D95"/>
    <w:rsid w:val="00EC4E71"/>
    <w:rsid w:val="00EC5374"/>
    <w:rsid w:val="00EC5708"/>
    <w:rsid w:val="00EC5868"/>
    <w:rsid w:val="00EC5F8C"/>
    <w:rsid w:val="00EC609A"/>
    <w:rsid w:val="00EC78FE"/>
    <w:rsid w:val="00ED057C"/>
    <w:rsid w:val="00ED0992"/>
    <w:rsid w:val="00ED0AD7"/>
    <w:rsid w:val="00ED0D6C"/>
    <w:rsid w:val="00ED1132"/>
    <w:rsid w:val="00ED1221"/>
    <w:rsid w:val="00ED17D9"/>
    <w:rsid w:val="00ED183B"/>
    <w:rsid w:val="00ED2125"/>
    <w:rsid w:val="00ED237D"/>
    <w:rsid w:val="00ED2516"/>
    <w:rsid w:val="00ED2CFD"/>
    <w:rsid w:val="00ED31BB"/>
    <w:rsid w:val="00ED39E6"/>
    <w:rsid w:val="00ED3C15"/>
    <w:rsid w:val="00ED3DF6"/>
    <w:rsid w:val="00ED4513"/>
    <w:rsid w:val="00ED4A41"/>
    <w:rsid w:val="00ED4F82"/>
    <w:rsid w:val="00ED5721"/>
    <w:rsid w:val="00ED5A68"/>
    <w:rsid w:val="00ED5F0D"/>
    <w:rsid w:val="00ED6766"/>
    <w:rsid w:val="00ED6B82"/>
    <w:rsid w:val="00ED73A5"/>
    <w:rsid w:val="00ED792F"/>
    <w:rsid w:val="00EE0109"/>
    <w:rsid w:val="00EE0259"/>
    <w:rsid w:val="00EE044A"/>
    <w:rsid w:val="00EE055A"/>
    <w:rsid w:val="00EE0A8E"/>
    <w:rsid w:val="00EE0D09"/>
    <w:rsid w:val="00EE19E9"/>
    <w:rsid w:val="00EE2527"/>
    <w:rsid w:val="00EE252B"/>
    <w:rsid w:val="00EE25FC"/>
    <w:rsid w:val="00EE2D7F"/>
    <w:rsid w:val="00EE3213"/>
    <w:rsid w:val="00EE3286"/>
    <w:rsid w:val="00EE3807"/>
    <w:rsid w:val="00EE3858"/>
    <w:rsid w:val="00EE3F84"/>
    <w:rsid w:val="00EE40B2"/>
    <w:rsid w:val="00EE43A2"/>
    <w:rsid w:val="00EE43BA"/>
    <w:rsid w:val="00EE4E29"/>
    <w:rsid w:val="00EE5739"/>
    <w:rsid w:val="00EE588E"/>
    <w:rsid w:val="00EE5BBD"/>
    <w:rsid w:val="00EE6014"/>
    <w:rsid w:val="00EE60DA"/>
    <w:rsid w:val="00EE6100"/>
    <w:rsid w:val="00EE611F"/>
    <w:rsid w:val="00EE644D"/>
    <w:rsid w:val="00EE6716"/>
    <w:rsid w:val="00EE6A5F"/>
    <w:rsid w:val="00EE6BA5"/>
    <w:rsid w:val="00EE6EE6"/>
    <w:rsid w:val="00EE788D"/>
    <w:rsid w:val="00EE7FE7"/>
    <w:rsid w:val="00EF0137"/>
    <w:rsid w:val="00EF02D0"/>
    <w:rsid w:val="00EF0413"/>
    <w:rsid w:val="00EF0BB0"/>
    <w:rsid w:val="00EF0BE9"/>
    <w:rsid w:val="00EF13A7"/>
    <w:rsid w:val="00EF1692"/>
    <w:rsid w:val="00EF1CC0"/>
    <w:rsid w:val="00EF2239"/>
    <w:rsid w:val="00EF23B9"/>
    <w:rsid w:val="00EF2A11"/>
    <w:rsid w:val="00EF2DD5"/>
    <w:rsid w:val="00EF339B"/>
    <w:rsid w:val="00EF3A1F"/>
    <w:rsid w:val="00EF3D37"/>
    <w:rsid w:val="00EF416F"/>
    <w:rsid w:val="00EF43C0"/>
    <w:rsid w:val="00EF4916"/>
    <w:rsid w:val="00EF4A11"/>
    <w:rsid w:val="00EF4C1C"/>
    <w:rsid w:val="00EF4F80"/>
    <w:rsid w:val="00EF5072"/>
    <w:rsid w:val="00EF50F8"/>
    <w:rsid w:val="00EF5167"/>
    <w:rsid w:val="00EF5411"/>
    <w:rsid w:val="00EF54B1"/>
    <w:rsid w:val="00EF66C9"/>
    <w:rsid w:val="00EF69C1"/>
    <w:rsid w:val="00EF7828"/>
    <w:rsid w:val="00EF7BD3"/>
    <w:rsid w:val="00EF7EF6"/>
    <w:rsid w:val="00F006E7"/>
    <w:rsid w:val="00F00A44"/>
    <w:rsid w:val="00F00EE4"/>
    <w:rsid w:val="00F01361"/>
    <w:rsid w:val="00F0167C"/>
    <w:rsid w:val="00F01A3D"/>
    <w:rsid w:val="00F02013"/>
    <w:rsid w:val="00F025AC"/>
    <w:rsid w:val="00F02688"/>
    <w:rsid w:val="00F02726"/>
    <w:rsid w:val="00F028D8"/>
    <w:rsid w:val="00F02C15"/>
    <w:rsid w:val="00F02ECE"/>
    <w:rsid w:val="00F03113"/>
    <w:rsid w:val="00F032D3"/>
    <w:rsid w:val="00F03306"/>
    <w:rsid w:val="00F03515"/>
    <w:rsid w:val="00F03737"/>
    <w:rsid w:val="00F03965"/>
    <w:rsid w:val="00F03B1F"/>
    <w:rsid w:val="00F03B4D"/>
    <w:rsid w:val="00F0414C"/>
    <w:rsid w:val="00F04CD9"/>
    <w:rsid w:val="00F04E26"/>
    <w:rsid w:val="00F052D7"/>
    <w:rsid w:val="00F05497"/>
    <w:rsid w:val="00F054CF"/>
    <w:rsid w:val="00F057D2"/>
    <w:rsid w:val="00F057F8"/>
    <w:rsid w:val="00F05AE5"/>
    <w:rsid w:val="00F05E78"/>
    <w:rsid w:val="00F06202"/>
    <w:rsid w:val="00F06415"/>
    <w:rsid w:val="00F06992"/>
    <w:rsid w:val="00F06BC1"/>
    <w:rsid w:val="00F076E2"/>
    <w:rsid w:val="00F079EB"/>
    <w:rsid w:val="00F1010C"/>
    <w:rsid w:val="00F1075D"/>
    <w:rsid w:val="00F1099F"/>
    <w:rsid w:val="00F10B01"/>
    <w:rsid w:val="00F10F63"/>
    <w:rsid w:val="00F11A40"/>
    <w:rsid w:val="00F11AE1"/>
    <w:rsid w:val="00F11C15"/>
    <w:rsid w:val="00F11E5E"/>
    <w:rsid w:val="00F11E75"/>
    <w:rsid w:val="00F12164"/>
    <w:rsid w:val="00F12390"/>
    <w:rsid w:val="00F1247F"/>
    <w:rsid w:val="00F125A8"/>
    <w:rsid w:val="00F125F4"/>
    <w:rsid w:val="00F12649"/>
    <w:rsid w:val="00F12740"/>
    <w:rsid w:val="00F12A58"/>
    <w:rsid w:val="00F12C6D"/>
    <w:rsid w:val="00F12FF9"/>
    <w:rsid w:val="00F13138"/>
    <w:rsid w:val="00F13BFE"/>
    <w:rsid w:val="00F13F9A"/>
    <w:rsid w:val="00F13F9C"/>
    <w:rsid w:val="00F14541"/>
    <w:rsid w:val="00F14D14"/>
    <w:rsid w:val="00F14F19"/>
    <w:rsid w:val="00F15BE4"/>
    <w:rsid w:val="00F15CE4"/>
    <w:rsid w:val="00F15D01"/>
    <w:rsid w:val="00F15EA7"/>
    <w:rsid w:val="00F16411"/>
    <w:rsid w:val="00F165A6"/>
    <w:rsid w:val="00F166D6"/>
    <w:rsid w:val="00F16888"/>
    <w:rsid w:val="00F16A31"/>
    <w:rsid w:val="00F16C9A"/>
    <w:rsid w:val="00F16E64"/>
    <w:rsid w:val="00F170DA"/>
    <w:rsid w:val="00F17378"/>
    <w:rsid w:val="00F1766B"/>
    <w:rsid w:val="00F1784E"/>
    <w:rsid w:val="00F17B0F"/>
    <w:rsid w:val="00F203DA"/>
    <w:rsid w:val="00F2056D"/>
    <w:rsid w:val="00F205C9"/>
    <w:rsid w:val="00F20D92"/>
    <w:rsid w:val="00F20DE7"/>
    <w:rsid w:val="00F21483"/>
    <w:rsid w:val="00F21773"/>
    <w:rsid w:val="00F21938"/>
    <w:rsid w:val="00F21950"/>
    <w:rsid w:val="00F21BB4"/>
    <w:rsid w:val="00F21D1A"/>
    <w:rsid w:val="00F223B0"/>
    <w:rsid w:val="00F2258F"/>
    <w:rsid w:val="00F22902"/>
    <w:rsid w:val="00F22E60"/>
    <w:rsid w:val="00F2320C"/>
    <w:rsid w:val="00F2346C"/>
    <w:rsid w:val="00F2367D"/>
    <w:rsid w:val="00F23B2A"/>
    <w:rsid w:val="00F23B9D"/>
    <w:rsid w:val="00F23BA1"/>
    <w:rsid w:val="00F23E82"/>
    <w:rsid w:val="00F23E9E"/>
    <w:rsid w:val="00F245E1"/>
    <w:rsid w:val="00F24B7E"/>
    <w:rsid w:val="00F24EEE"/>
    <w:rsid w:val="00F24F7D"/>
    <w:rsid w:val="00F250C3"/>
    <w:rsid w:val="00F252CA"/>
    <w:rsid w:val="00F2533D"/>
    <w:rsid w:val="00F2574C"/>
    <w:rsid w:val="00F2583F"/>
    <w:rsid w:val="00F2586E"/>
    <w:rsid w:val="00F259C3"/>
    <w:rsid w:val="00F25BA7"/>
    <w:rsid w:val="00F25C5F"/>
    <w:rsid w:val="00F25E66"/>
    <w:rsid w:val="00F26A67"/>
    <w:rsid w:val="00F27CBA"/>
    <w:rsid w:val="00F27CC9"/>
    <w:rsid w:val="00F27EEF"/>
    <w:rsid w:val="00F30116"/>
    <w:rsid w:val="00F30291"/>
    <w:rsid w:val="00F307E5"/>
    <w:rsid w:val="00F309FF"/>
    <w:rsid w:val="00F30A3E"/>
    <w:rsid w:val="00F31182"/>
    <w:rsid w:val="00F312D3"/>
    <w:rsid w:val="00F31394"/>
    <w:rsid w:val="00F3141B"/>
    <w:rsid w:val="00F314C3"/>
    <w:rsid w:val="00F3171E"/>
    <w:rsid w:val="00F31A15"/>
    <w:rsid w:val="00F31E1B"/>
    <w:rsid w:val="00F31E39"/>
    <w:rsid w:val="00F32567"/>
    <w:rsid w:val="00F3260B"/>
    <w:rsid w:val="00F32B4C"/>
    <w:rsid w:val="00F32B7A"/>
    <w:rsid w:val="00F32DB8"/>
    <w:rsid w:val="00F33F1E"/>
    <w:rsid w:val="00F3435C"/>
    <w:rsid w:val="00F34740"/>
    <w:rsid w:val="00F34977"/>
    <w:rsid w:val="00F34AD6"/>
    <w:rsid w:val="00F34FC1"/>
    <w:rsid w:val="00F35274"/>
    <w:rsid w:val="00F352A2"/>
    <w:rsid w:val="00F355AE"/>
    <w:rsid w:val="00F35E39"/>
    <w:rsid w:val="00F360C6"/>
    <w:rsid w:val="00F36602"/>
    <w:rsid w:val="00F36AB2"/>
    <w:rsid w:val="00F36BD9"/>
    <w:rsid w:val="00F37786"/>
    <w:rsid w:val="00F37B03"/>
    <w:rsid w:val="00F37B57"/>
    <w:rsid w:val="00F37BBE"/>
    <w:rsid w:val="00F37E0C"/>
    <w:rsid w:val="00F37F17"/>
    <w:rsid w:val="00F40029"/>
    <w:rsid w:val="00F40260"/>
    <w:rsid w:val="00F40C2D"/>
    <w:rsid w:val="00F411E2"/>
    <w:rsid w:val="00F4126E"/>
    <w:rsid w:val="00F419BE"/>
    <w:rsid w:val="00F41A47"/>
    <w:rsid w:val="00F41A9A"/>
    <w:rsid w:val="00F41EEA"/>
    <w:rsid w:val="00F42110"/>
    <w:rsid w:val="00F42468"/>
    <w:rsid w:val="00F42568"/>
    <w:rsid w:val="00F427BE"/>
    <w:rsid w:val="00F42858"/>
    <w:rsid w:val="00F42AE0"/>
    <w:rsid w:val="00F42C5E"/>
    <w:rsid w:val="00F42DF8"/>
    <w:rsid w:val="00F42FD9"/>
    <w:rsid w:val="00F42FE7"/>
    <w:rsid w:val="00F430BB"/>
    <w:rsid w:val="00F4320A"/>
    <w:rsid w:val="00F432B8"/>
    <w:rsid w:val="00F43587"/>
    <w:rsid w:val="00F4381B"/>
    <w:rsid w:val="00F43C28"/>
    <w:rsid w:val="00F43C64"/>
    <w:rsid w:val="00F43D17"/>
    <w:rsid w:val="00F44045"/>
    <w:rsid w:val="00F4427F"/>
    <w:rsid w:val="00F443DD"/>
    <w:rsid w:val="00F445DE"/>
    <w:rsid w:val="00F449BC"/>
    <w:rsid w:val="00F44A82"/>
    <w:rsid w:val="00F44B0A"/>
    <w:rsid w:val="00F45133"/>
    <w:rsid w:val="00F45643"/>
    <w:rsid w:val="00F456D0"/>
    <w:rsid w:val="00F457CA"/>
    <w:rsid w:val="00F45F4B"/>
    <w:rsid w:val="00F46470"/>
    <w:rsid w:val="00F46698"/>
    <w:rsid w:val="00F46A04"/>
    <w:rsid w:val="00F46D58"/>
    <w:rsid w:val="00F46F87"/>
    <w:rsid w:val="00F47198"/>
    <w:rsid w:val="00F47388"/>
    <w:rsid w:val="00F4746A"/>
    <w:rsid w:val="00F47522"/>
    <w:rsid w:val="00F50181"/>
    <w:rsid w:val="00F50514"/>
    <w:rsid w:val="00F50542"/>
    <w:rsid w:val="00F509F4"/>
    <w:rsid w:val="00F5107F"/>
    <w:rsid w:val="00F512A4"/>
    <w:rsid w:val="00F51B74"/>
    <w:rsid w:val="00F51C3C"/>
    <w:rsid w:val="00F51D50"/>
    <w:rsid w:val="00F51DA6"/>
    <w:rsid w:val="00F5277E"/>
    <w:rsid w:val="00F52C1A"/>
    <w:rsid w:val="00F52CF7"/>
    <w:rsid w:val="00F53094"/>
    <w:rsid w:val="00F53ADD"/>
    <w:rsid w:val="00F53E43"/>
    <w:rsid w:val="00F53E77"/>
    <w:rsid w:val="00F540B8"/>
    <w:rsid w:val="00F54173"/>
    <w:rsid w:val="00F54513"/>
    <w:rsid w:val="00F54A92"/>
    <w:rsid w:val="00F5579D"/>
    <w:rsid w:val="00F55BB7"/>
    <w:rsid w:val="00F55C63"/>
    <w:rsid w:val="00F56300"/>
    <w:rsid w:val="00F56354"/>
    <w:rsid w:val="00F56855"/>
    <w:rsid w:val="00F569E8"/>
    <w:rsid w:val="00F56AA4"/>
    <w:rsid w:val="00F56BF4"/>
    <w:rsid w:val="00F570BA"/>
    <w:rsid w:val="00F571BB"/>
    <w:rsid w:val="00F57568"/>
    <w:rsid w:val="00F57703"/>
    <w:rsid w:val="00F57B64"/>
    <w:rsid w:val="00F57EA4"/>
    <w:rsid w:val="00F57F49"/>
    <w:rsid w:val="00F600B3"/>
    <w:rsid w:val="00F600C0"/>
    <w:rsid w:val="00F60434"/>
    <w:rsid w:val="00F60665"/>
    <w:rsid w:val="00F60BA2"/>
    <w:rsid w:val="00F60DC8"/>
    <w:rsid w:val="00F617FC"/>
    <w:rsid w:val="00F61857"/>
    <w:rsid w:val="00F61D64"/>
    <w:rsid w:val="00F61DA0"/>
    <w:rsid w:val="00F61E5F"/>
    <w:rsid w:val="00F621FE"/>
    <w:rsid w:val="00F62964"/>
    <w:rsid w:val="00F62AA2"/>
    <w:rsid w:val="00F631C4"/>
    <w:rsid w:val="00F63346"/>
    <w:rsid w:val="00F64092"/>
    <w:rsid w:val="00F643A2"/>
    <w:rsid w:val="00F64709"/>
    <w:rsid w:val="00F654CB"/>
    <w:rsid w:val="00F65551"/>
    <w:rsid w:val="00F65760"/>
    <w:rsid w:val="00F65A0D"/>
    <w:rsid w:val="00F65A1C"/>
    <w:rsid w:val="00F6646C"/>
    <w:rsid w:val="00F669D7"/>
    <w:rsid w:val="00F66C5B"/>
    <w:rsid w:val="00F66E77"/>
    <w:rsid w:val="00F671E8"/>
    <w:rsid w:val="00F676B1"/>
    <w:rsid w:val="00F67CA1"/>
    <w:rsid w:val="00F70159"/>
    <w:rsid w:val="00F7027A"/>
    <w:rsid w:val="00F7033F"/>
    <w:rsid w:val="00F7061F"/>
    <w:rsid w:val="00F70A20"/>
    <w:rsid w:val="00F70AC9"/>
    <w:rsid w:val="00F70CF7"/>
    <w:rsid w:val="00F70D1D"/>
    <w:rsid w:val="00F71253"/>
    <w:rsid w:val="00F71286"/>
    <w:rsid w:val="00F71705"/>
    <w:rsid w:val="00F718D7"/>
    <w:rsid w:val="00F71B0F"/>
    <w:rsid w:val="00F723E0"/>
    <w:rsid w:val="00F72676"/>
    <w:rsid w:val="00F7275C"/>
    <w:rsid w:val="00F72E94"/>
    <w:rsid w:val="00F72F79"/>
    <w:rsid w:val="00F73287"/>
    <w:rsid w:val="00F73C5D"/>
    <w:rsid w:val="00F73FB0"/>
    <w:rsid w:val="00F741EA"/>
    <w:rsid w:val="00F74360"/>
    <w:rsid w:val="00F743A1"/>
    <w:rsid w:val="00F747EE"/>
    <w:rsid w:val="00F75486"/>
    <w:rsid w:val="00F7584D"/>
    <w:rsid w:val="00F758C2"/>
    <w:rsid w:val="00F761CC"/>
    <w:rsid w:val="00F76385"/>
    <w:rsid w:val="00F763B9"/>
    <w:rsid w:val="00F764EB"/>
    <w:rsid w:val="00F7656B"/>
    <w:rsid w:val="00F76866"/>
    <w:rsid w:val="00F76E10"/>
    <w:rsid w:val="00F776F7"/>
    <w:rsid w:val="00F77A20"/>
    <w:rsid w:val="00F77D9A"/>
    <w:rsid w:val="00F8030D"/>
    <w:rsid w:val="00F80443"/>
    <w:rsid w:val="00F8054E"/>
    <w:rsid w:val="00F8089C"/>
    <w:rsid w:val="00F80B17"/>
    <w:rsid w:val="00F81213"/>
    <w:rsid w:val="00F81333"/>
    <w:rsid w:val="00F81577"/>
    <w:rsid w:val="00F819F7"/>
    <w:rsid w:val="00F81A83"/>
    <w:rsid w:val="00F81B6D"/>
    <w:rsid w:val="00F81EFB"/>
    <w:rsid w:val="00F82244"/>
    <w:rsid w:val="00F823B5"/>
    <w:rsid w:val="00F825A7"/>
    <w:rsid w:val="00F82830"/>
    <w:rsid w:val="00F82DEB"/>
    <w:rsid w:val="00F82E0F"/>
    <w:rsid w:val="00F82E35"/>
    <w:rsid w:val="00F836C6"/>
    <w:rsid w:val="00F839F4"/>
    <w:rsid w:val="00F83AC6"/>
    <w:rsid w:val="00F83B38"/>
    <w:rsid w:val="00F840FD"/>
    <w:rsid w:val="00F8453E"/>
    <w:rsid w:val="00F84A5C"/>
    <w:rsid w:val="00F84DF7"/>
    <w:rsid w:val="00F84E9C"/>
    <w:rsid w:val="00F85269"/>
    <w:rsid w:val="00F864BA"/>
    <w:rsid w:val="00F869BF"/>
    <w:rsid w:val="00F87620"/>
    <w:rsid w:val="00F879D8"/>
    <w:rsid w:val="00F87E86"/>
    <w:rsid w:val="00F900B0"/>
    <w:rsid w:val="00F90203"/>
    <w:rsid w:val="00F90209"/>
    <w:rsid w:val="00F9029A"/>
    <w:rsid w:val="00F904FF"/>
    <w:rsid w:val="00F90CA8"/>
    <w:rsid w:val="00F90FAD"/>
    <w:rsid w:val="00F91026"/>
    <w:rsid w:val="00F910F9"/>
    <w:rsid w:val="00F911BE"/>
    <w:rsid w:val="00F91B92"/>
    <w:rsid w:val="00F91C72"/>
    <w:rsid w:val="00F91CD3"/>
    <w:rsid w:val="00F91DB9"/>
    <w:rsid w:val="00F923CE"/>
    <w:rsid w:val="00F926C0"/>
    <w:rsid w:val="00F9305F"/>
    <w:rsid w:val="00F931CC"/>
    <w:rsid w:val="00F93D84"/>
    <w:rsid w:val="00F941ED"/>
    <w:rsid w:val="00F94CC9"/>
    <w:rsid w:val="00F953A9"/>
    <w:rsid w:val="00F95A54"/>
    <w:rsid w:val="00F95B32"/>
    <w:rsid w:val="00F95BA0"/>
    <w:rsid w:val="00F96350"/>
    <w:rsid w:val="00F96B1F"/>
    <w:rsid w:val="00F96B98"/>
    <w:rsid w:val="00F96FFA"/>
    <w:rsid w:val="00F973D3"/>
    <w:rsid w:val="00F974FD"/>
    <w:rsid w:val="00F97541"/>
    <w:rsid w:val="00F97A57"/>
    <w:rsid w:val="00F97B35"/>
    <w:rsid w:val="00FA00FB"/>
    <w:rsid w:val="00FA037E"/>
    <w:rsid w:val="00FA0460"/>
    <w:rsid w:val="00FA0579"/>
    <w:rsid w:val="00FA0589"/>
    <w:rsid w:val="00FA067E"/>
    <w:rsid w:val="00FA111F"/>
    <w:rsid w:val="00FA11FA"/>
    <w:rsid w:val="00FA186F"/>
    <w:rsid w:val="00FA1924"/>
    <w:rsid w:val="00FA1BC6"/>
    <w:rsid w:val="00FA1DF5"/>
    <w:rsid w:val="00FA2515"/>
    <w:rsid w:val="00FA2956"/>
    <w:rsid w:val="00FA2A6C"/>
    <w:rsid w:val="00FA2ACB"/>
    <w:rsid w:val="00FA3532"/>
    <w:rsid w:val="00FA39A7"/>
    <w:rsid w:val="00FA3A9D"/>
    <w:rsid w:val="00FA3BA5"/>
    <w:rsid w:val="00FA3DF6"/>
    <w:rsid w:val="00FA41E5"/>
    <w:rsid w:val="00FA4713"/>
    <w:rsid w:val="00FA4729"/>
    <w:rsid w:val="00FA49BB"/>
    <w:rsid w:val="00FA4D6A"/>
    <w:rsid w:val="00FA50A2"/>
    <w:rsid w:val="00FA557E"/>
    <w:rsid w:val="00FA567F"/>
    <w:rsid w:val="00FA5AF2"/>
    <w:rsid w:val="00FA5BA9"/>
    <w:rsid w:val="00FA5D5A"/>
    <w:rsid w:val="00FA5D9F"/>
    <w:rsid w:val="00FA6D45"/>
    <w:rsid w:val="00FA6D5E"/>
    <w:rsid w:val="00FA6DC8"/>
    <w:rsid w:val="00FA6E30"/>
    <w:rsid w:val="00FA7109"/>
    <w:rsid w:val="00FA72AF"/>
    <w:rsid w:val="00FA72F9"/>
    <w:rsid w:val="00FB05BA"/>
    <w:rsid w:val="00FB0B52"/>
    <w:rsid w:val="00FB0B9B"/>
    <w:rsid w:val="00FB0DD6"/>
    <w:rsid w:val="00FB1017"/>
    <w:rsid w:val="00FB12D4"/>
    <w:rsid w:val="00FB16BC"/>
    <w:rsid w:val="00FB1A96"/>
    <w:rsid w:val="00FB1E8A"/>
    <w:rsid w:val="00FB245B"/>
    <w:rsid w:val="00FB262C"/>
    <w:rsid w:val="00FB271E"/>
    <w:rsid w:val="00FB2C0D"/>
    <w:rsid w:val="00FB2D29"/>
    <w:rsid w:val="00FB2DEC"/>
    <w:rsid w:val="00FB30E3"/>
    <w:rsid w:val="00FB35A9"/>
    <w:rsid w:val="00FB3A32"/>
    <w:rsid w:val="00FB3D60"/>
    <w:rsid w:val="00FB4307"/>
    <w:rsid w:val="00FB4462"/>
    <w:rsid w:val="00FB4C8B"/>
    <w:rsid w:val="00FB4D91"/>
    <w:rsid w:val="00FB54EC"/>
    <w:rsid w:val="00FB55F1"/>
    <w:rsid w:val="00FB561D"/>
    <w:rsid w:val="00FB599A"/>
    <w:rsid w:val="00FB5B57"/>
    <w:rsid w:val="00FB615F"/>
    <w:rsid w:val="00FB6315"/>
    <w:rsid w:val="00FB773D"/>
    <w:rsid w:val="00FB7CFE"/>
    <w:rsid w:val="00FC02D8"/>
    <w:rsid w:val="00FC03BA"/>
    <w:rsid w:val="00FC0502"/>
    <w:rsid w:val="00FC0616"/>
    <w:rsid w:val="00FC062B"/>
    <w:rsid w:val="00FC173D"/>
    <w:rsid w:val="00FC1831"/>
    <w:rsid w:val="00FC239E"/>
    <w:rsid w:val="00FC294D"/>
    <w:rsid w:val="00FC303B"/>
    <w:rsid w:val="00FC33A5"/>
    <w:rsid w:val="00FC349F"/>
    <w:rsid w:val="00FC3CD8"/>
    <w:rsid w:val="00FC3D33"/>
    <w:rsid w:val="00FC3DCC"/>
    <w:rsid w:val="00FC3E16"/>
    <w:rsid w:val="00FC424D"/>
    <w:rsid w:val="00FC457D"/>
    <w:rsid w:val="00FC527E"/>
    <w:rsid w:val="00FC55AC"/>
    <w:rsid w:val="00FC57C6"/>
    <w:rsid w:val="00FC5C3E"/>
    <w:rsid w:val="00FC6070"/>
    <w:rsid w:val="00FC65D5"/>
    <w:rsid w:val="00FC6AE5"/>
    <w:rsid w:val="00FC7131"/>
    <w:rsid w:val="00FC7208"/>
    <w:rsid w:val="00FC7AC8"/>
    <w:rsid w:val="00FD009B"/>
    <w:rsid w:val="00FD033B"/>
    <w:rsid w:val="00FD07CD"/>
    <w:rsid w:val="00FD0A35"/>
    <w:rsid w:val="00FD0BA0"/>
    <w:rsid w:val="00FD1061"/>
    <w:rsid w:val="00FD11DE"/>
    <w:rsid w:val="00FD12FC"/>
    <w:rsid w:val="00FD1FB4"/>
    <w:rsid w:val="00FD20E1"/>
    <w:rsid w:val="00FD24D7"/>
    <w:rsid w:val="00FD2932"/>
    <w:rsid w:val="00FD3352"/>
    <w:rsid w:val="00FD39F2"/>
    <w:rsid w:val="00FD411D"/>
    <w:rsid w:val="00FD4192"/>
    <w:rsid w:val="00FD432C"/>
    <w:rsid w:val="00FD4B73"/>
    <w:rsid w:val="00FD4C7B"/>
    <w:rsid w:val="00FD4CF9"/>
    <w:rsid w:val="00FD4DE3"/>
    <w:rsid w:val="00FD4FA2"/>
    <w:rsid w:val="00FD5042"/>
    <w:rsid w:val="00FD59C6"/>
    <w:rsid w:val="00FD5A8D"/>
    <w:rsid w:val="00FD5C0F"/>
    <w:rsid w:val="00FD6366"/>
    <w:rsid w:val="00FD63F6"/>
    <w:rsid w:val="00FD6630"/>
    <w:rsid w:val="00FD73F4"/>
    <w:rsid w:val="00FD7F4A"/>
    <w:rsid w:val="00FD7FCA"/>
    <w:rsid w:val="00FE02CA"/>
    <w:rsid w:val="00FE0560"/>
    <w:rsid w:val="00FE0771"/>
    <w:rsid w:val="00FE0B76"/>
    <w:rsid w:val="00FE10F9"/>
    <w:rsid w:val="00FE1157"/>
    <w:rsid w:val="00FE1273"/>
    <w:rsid w:val="00FE12ED"/>
    <w:rsid w:val="00FE171D"/>
    <w:rsid w:val="00FE2485"/>
    <w:rsid w:val="00FE27D1"/>
    <w:rsid w:val="00FE2881"/>
    <w:rsid w:val="00FE29B4"/>
    <w:rsid w:val="00FE2C40"/>
    <w:rsid w:val="00FE2D8E"/>
    <w:rsid w:val="00FE3195"/>
    <w:rsid w:val="00FE3222"/>
    <w:rsid w:val="00FE322E"/>
    <w:rsid w:val="00FE35E0"/>
    <w:rsid w:val="00FE37A3"/>
    <w:rsid w:val="00FE3820"/>
    <w:rsid w:val="00FE3C1C"/>
    <w:rsid w:val="00FE4165"/>
    <w:rsid w:val="00FE5537"/>
    <w:rsid w:val="00FE5586"/>
    <w:rsid w:val="00FE59E4"/>
    <w:rsid w:val="00FE5DC8"/>
    <w:rsid w:val="00FE60B4"/>
    <w:rsid w:val="00FE60C9"/>
    <w:rsid w:val="00FE63B8"/>
    <w:rsid w:val="00FE652A"/>
    <w:rsid w:val="00FE7666"/>
    <w:rsid w:val="00FE77E7"/>
    <w:rsid w:val="00FE7C14"/>
    <w:rsid w:val="00FE7C9E"/>
    <w:rsid w:val="00FF10E9"/>
    <w:rsid w:val="00FF12B5"/>
    <w:rsid w:val="00FF1BD4"/>
    <w:rsid w:val="00FF204C"/>
    <w:rsid w:val="00FF22D8"/>
    <w:rsid w:val="00FF2850"/>
    <w:rsid w:val="00FF29BB"/>
    <w:rsid w:val="00FF2EA4"/>
    <w:rsid w:val="00FF3145"/>
    <w:rsid w:val="00FF4139"/>
    <w:rsid w:val="00FF466C"/>
    <w:rsid w:val="00FF47B7"/>
    <w:rsid w:val="00FF4E82"/>
    <w:rsid w:val="00FF50B1"/>
    <w:rsid w:val="00FF5275"/>
    <w:rsid w:val="00FF52A3"/>
    <w:rsid w:val="00FF57E6"/>
    <w:rsid w:val="00FF5F97"/>
    <w:rsid w:val="00FF69D6"/>
    <w:rsid w:val="00FF6E12"/>
    <w:rsid w:val="00FF6E1E"/>
    <w:rsid w:val="00FF70C2"/>
    <w:rsid w:val="00FF7259"/>
    <w:rsid w:val="00FF783E"/>
    <w:rsid w:val="00FF796C"/>
    <w:rsid w:val="00FF7D25"/>
    <w:rsid w:val="0117CA21"/>
    <w:rsid w:val="014AD656"/>
    <w:rsid w:val="0197B7A2"/>
    <w:rsid w:val="01A30E39"/>
    <w:rsid w:val="03D1AED6"/>
    <w:rsid w:val="0435CE42"/>
    <w:rsid w:val="05BA9051"/>
    <w:rsid w:val="06060297"/>
    <w:rsid w:val="0654E070"/>
    <w:rsid w:val="074FB1CB"/>
    <w:rsid w:val="0986ABCF"/>
    <w:rsid w:val="0A41B28E"/>
    <w:rsid w:val="0ABF800D"/>
    <w:rsid w:val="0BC9A66A"/>
    <w:rsid w:val="0CA28BE3"/>
    <w:rsid w:val="0CFD783A"/>
    <w:rsid w:val="0D48AB89"/>
    <w:rsid w:val="0FC1D2ED"/>
    <w:rsid w:val="112A1889"/>
    <w:rsid w:val="120509A8"/>
    <w:rsid w:val="121FBFC4"/>
    <w:rsid w:val="13A6BB24"/>
    <w:rsid w:val="14C3B1B9"/>
    <w:rsid w:val="15760682"/>
    <w:rsid w:val="15916728"/>
    <w:rsid w:val="1667ECDF"/>
    <w:rsid w:val="172B909D"/>
    <w:rsid w:val="183061B5"/>
    <w:rsid w:val="1869B34D"/>
    <w:rsid w:val="1881F8A5"/>
    <w:rsid w:val="198AF544"/>
    <w:rsid w:val="19B44C41"/>
    <w:rsid w:val="1AA59F9E"/>
    <w:rsid w:val="1B4B3B2D"/>
    <w:rsid w:val="1B9C7CC6"/>
    <w:rsid w:val="1C298D1F"/>
    <w:rsid w:val="1C4788C5"/>
    <w:rsid w:val="1CF7E536"/>
    <w:rsid w:val="1D49DE8E"/>
    <w:rsid w:val="1DCEDF4B"/>
    <w:rsid w:val="1DD4CBC5"/>
    <w:rsid w:val="1DF34BF4"/>
    <w:rsid w:val="1FA1D0EF"/>
    <w:rsid w:val="1FC0A8EA"/>
    <w:rsid w:val="208778F9"/>
    <w:rsid w:val="20D892B7"/>
    <w:rsid w:val="2145493A"/>
    <w:rsid w:val="21803747"/>
    <w:rsid w:val="237AA25E"/>
    <w:rsid w:val="28A66300"/>
    <w:rsid w:val="29836521"/>
    <w:rsid w:val="2B4C06DA"/>
    <w:rsid w:val="2BD45363"/>
    <w:rsid w:val="2C63B564"/>
    <w:rsid w:val="2D43B569"/>
    <w:rsid w:val="2D5EB280"/>
    <w:rsid w:val="2D6732C6"/>
    <w:rsid w:val="2DE83AF4"/>
    <w:rsid w:val="2E71C669"/>
    <w:rsid w:val="2FC31792"/>
    <w:rsid w:val="30367748"/>
    <w:rsid w:val="325BF183"/>
    <w:rsid w:val="338E4AEF"/>
    <w:rsid w:val="34C9B1F9"/>
    <w:rsid w:val="353493EE"/>
    <w:rsid w:val="35DCF91B"/>
    <w:rsid w:val="36D38993"/>
    <w:rsid w:val="373903B6"/>
    <w:rsid w:val="3779E735"/>
    <w:rsid w:val="38178A28"/>
    <w:rsid w:val="39837B40"/>
    <w:rsid w:val="39B5C0FA"/>
    <w:rsid w:val="39EC3FEE"/>
    <w:rsid w:val="3BA1618A"/>
    <w:rsid w:val="3C51DAC0"/>
    <w:rsid w:val="3C86AC01"/>
    <w:rsid w:val="3D7D48A4"/>
    <w:rsid w:val="3E10EBA3"/>
    <w:rsid w:val="3EC8DA5C"/>
    <w:rsid w:val="3ECAD6C3"/>
    <w:rsid w:val="4032D9D4"/>
    <w:rsid w:val="40AB9AAC"/>
    <w:rsid w:val="41A1789B"/>
    <w:rsid w:val="41EFDC20"/>
    <w:rsid w:val="44872540"/>
    <w:rsid w:val="4632E79E"/>
    <w:rsid w:val="4A0B1285"/>
    <w:rsid w:val="4ACDFAA8"/>
    <w:rsid w:val="4ACE828D"/>
    <w:rsid w:val="4E1E0C26"/>
    <w:rsid w:val="4EB6499C"/>
    <w:rsid w:val="4EC74E6F"/>
    <w:rsid w:val="4F572771"/>
    <w:rsid w:val="514E772A"/>
    <w:rsid w:val="52099DEA"/>
    <w:rsid w:val="52FAE6C2"/>
    <w:rsid w:val="53385A3C"/>
    <w:rsid w:val="544633AA"/>
    <w:rsid w:val="5587E937"/>
    <w:rsid w:val="55EB39ED"/>
    <w:rsid w:val="568D0D1C"/>
    <w:rsid w:val="5737541E"/>
    <w:rsid w:val="59638329"/>
    <w:rsid w:val="5A2B926A"/>
    <w:rsid w:val="5AF3A82F"/>
    <w:rsid w:val="5B67B99A"/>
    <w:rsid w:val="5C01642A"/>
    <w:rsid w:val="5DCCD11F"/>
    <w:rsid w:val="5E26ACBC"/>
    <w:rsid w:val="6019D790"/>
    <w:rsid w:val="604FFB23"/>
    <w:rsid w:val="605953DE"/>
    <w:rsid w:val="6092B263"/>
    <w:rsid w:val="63AB7B0F"/>
    <w:rsid w:val="640A5F6F"/>
    <w:rsid w:val="64BF4347"/>
    <w:rsid w:val="65520C9E"/>
    <w:rsid w:val="65A6F5C6"/>
    <w:rsid w:val="664E9E3C"/>
    <w:rsid w:val="6679FA50"/>
    <w:rsid w:val="66A0B77F"/>
    <w:rsid w:val="66E7E802"/>
    <w:rsid w:val="66EDB8F0"/>
    <w:rsid w:val="67E934EC"/>
    <w:rsid w:val="68724014"/>
    <w:rsid w:val="69AC8122"/>
    <w:rsid w:val="69BFA9BE"/>
    <w:rsid w:val="6AC1CDAB"/>
    <w:rsid w:val="6B19E099"/>
    <w:rsid w:val="6CB41B00"/>
    <w:rsid w:val="6D865F69"/>
    <w:rsid w:val="6F29055E"/>
    <w:rsid w:val="6FCB71F0"/>
    <w:rsid w:val="705DF240"/>
    <w:rsid w:val="717029A2"/>
    <w:rsid w:val="71887F57"/>
    <w:rsid w:val="7366AE87"/>
    <w:rsid w:val="73A85A6E"/>
    <w:rsid w:val="7418396B"/>
    <w:rsid w:val="743335AE"/>
    <w:rsid w:val="76A5CA3F"/>
    <w:rsid w:val="770BE5F0"/>
    <w:rsid w:val="7799C227"/>
    <w:rsid w:val="782A4CDC"/>
    <w:rsid w:val="79E0889A"/>
    <w:rsid w:val="7A742DA3"/>
    <w:rsid w:val="7AAFDE90"/>
    <w:rsid w:val="7C5CAB38"/>
    <w:rsid w:val="7D9F88D1"/>
    <w:rsid w:val="7DCAD8D4"/>
    <w:rsid w:val="7EE29F18"/>
    <w:rsid w:val="7F53679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41A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C9B"/>
  </w:style>
  <w:style w:type="paragraph" w:styleId="Heading1">
    <w:name w:val="heading 1"/>
    <w:basedOn w:val="Normal"/>
    <w:next w:val="Normal"/>
    <w:link w:val="Heading1Char"/>
    <w:uiPriority w:val="9"/>
    <w:qFormat/>
    <w:rsid w:val="005F45FC"/>
    <w:pPr>
      <w:keepNext/>
      <w:keepLines/>
      <w:spacing w:before="360" w:after="6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9E5"/>
    <w:pPr>
      <w:keepNext/>
      <w:keepLines/>
      <w:spacing w:before="160" w:after="12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425AD"/>
    <w:pPr>
      <w:keepNext/>
      <w:keepLines/>
      <w:spacing w:before="80" w:after="120"/>
      <w:outlineLvl w:val="2"/>
    </w:pPr>
    <w:rPr>
      <w:rFonts w:eastAsiaTheme="majorEastAsia" w:cstheme="majorBidi"/>
      <w:color w:val="0F4761" w:themeColor="accent1" w:themeShade="BF"/>
      <w:sz w:val="24"/>
      <w:szCs w:val="28"/>
    </w:rPr>
  </w:style>
  <w:style w:type="paragraph" w:styleId="Heading4">
    <w:name w:val="heading 4"/>
    <w:basedOn w:val="Normal"/>
    <w:next w:val="Normal"/>
    <w:link w:val="Heading4Char"/>
    <w:uiPriority w:val="9"/>
    <w:unhideWhenUsed/>
    <w:qFormat/>
    <w:rsid w:val="00923A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23A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3A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3A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3A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3A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5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9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425AD"/>
    <w:rPr>
      <w:rFonts w:eastAsiaTheme="majorEastAsia" w:cstheme="majorBidi"/>
      <w:color w:val="0F4761" w:themeColor="accent1" w:themeShade="BF"/>
      <w:sz w:val="24"/>
      <w:szCs w:val="28"/>
    </w:rPr>
  </w:style>
  <w:style w:type="character" w:customStyle="1" w:styleId="Heading4Char">
    <w:name w:val="Heading 4 Char"/>
    <w:basedOn w:val="DefaultParagraphFont"/>
    <w:link w:val="Heading4"/>
    <w:uiPriority w:val="9"/>
    <w:rsid w:val="00923A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23A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3A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3A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3A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3AE9"/>
    <w:rPr>
      <w:rFonts w:eastAsiaTheme="majorEastAsia" w:cstheme="majorBidi"/>
      <w:color w:val="272727" w:themeColor="text1" w:themeTint="D8"/>
    </w:rPr>
  </w:style>
  <w:style w:type="paragraph" w:styleId="Title">
    <w:name w:val="Title"/>
    <w:basedOn w:val="Normal"/>
    <w:next w:val="Normal"/>
    <w:link w:val="TitleChar"/>
    <w:uiPriority w:val="10"/>
    <w:qFormat/>
    <w:rsid w:val="00923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A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A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A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AE9"/>
    <w:pPr>
      <w:spacing w:before="160"/>
      <w:jc w:val="center"/>
    </w:pPr>
    <w:rPr>
      <w:i/>
      <w:iCs/>
      <w:color w:val="404040" w:themeColor="text1" w:themeTint="BF"/>
    </w:rPr>
  </w:style>
  <w:style w:type="character" w:customStyle="1" w:styleId="QuoteChar">
    <w:name w:val="Quote Char"/>
    <w:basedOn w:val="DefaultParagraphFont"/>
    <w:link w:val="Quote"/>
    <w:uiPriority w:val="29"/>
    <w:rsid w:val="00923AE9"/>
    <w:rPr>
      <w:i/>
      <w:iCs/>
      <w:color w:val="404040" w:themeColor="text1" w:themeTint="BF"/>
    </w:rPr>
  </w:style>
  <w:style w:type="paragraph" w:styleId="ListParagraph">
    <w:name w:val="List Paragraph"/>
    <w:aliases w:val="Table text,List Paragraph1,Recommendation,List Paragraph11,#List Paragraph,Bullet point,Body Text1,Bullet Point,Bulletr List Paragraph,Bullets,Content descriptions,FooterText,L,List Bullet 1,List Paragraph2,List Paragraph21,Listeafsnit1,列"/>
    <w:basedOn w:val="Normal"/>
    <w:link w:val="ListParagraphChar"/>
    <w:uiPriority w:val="34"/>
    <w:qFormat/>
    <w:rsid w:val="00923AE9"/>
    <w:pPr>
      <w:ind w:left="720"/>
      <w:contextualSpacing/>
    </w:pPr>
  </w:style>
  <w:style w:type="character" w:styleId="IntenseEmphasis">
    <w:name w:val="Intense Emphasis"/>
    <w:basedOn w:val="DefaultParagraphFont"/>
    <w:uiPriority w:val="21"/>
    <w:qFormat/>
    <w:rsid w:val="00923AE9"/>
    <w:rPr>
      <w:i/>
      <w:iCs/>
      <w:color w:val="0F4761" w:themeColor="accent1" w:themeShade="BF"/>
    </w:rPr>
  </w:style>
  <w:style w:type="paragraph" w:styleId="IntenseQuote">
    <w:name w:val="Intense Quote"/>
    <w:basedOn w:val="Normal"/>
    <w:next w:val="Normal"/>
    <w:link w:val="IntenseQuoteChar"/>
    <w:uiPriority w:val="30"/>
    <w:qFormat/>
    <w:rsid w:val="00923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3AE9"/>
    <w:rPr>
      <w:i/>
      <w:iCs/>
      <w:color w:val="0F4761" w:themeColor="accent1" w:themeShade="BF"/>
    </w:rPr>
  </w:style>
  <w:style w:type="character" w:styleId="IntenseReference">
    <w:name w:val="Intense Reference"/>
    <w:basedOn w:val="DefaultParagraphFont"/>
    <w:uiPriority w:val="32"/>
    <w:qFormat/>
    <w:rsid w:val="00923AE9"/>
    <w:rPr>
      <w:b/>
      <w:bCs/>
      <w:smallCaps/>
      <w:color w:val="0F4761" w:themeColor="accent1" w:themeShade="BF"/>
      <w:spacing w:val="5"/>
    </w:rPr>
  </w:style>
  <w:style w:type="character" w:styleId="Hyperlink">
    <w:name w:val="Hyperlink"/>
    <w:basedOn w:val="DefaultParagraphFont"/>
    <w:uiPriority w:val="99"/>
    <w:unhideWhenUsed/>
    <w:rsid w:val="00C939DD"/>
    <w:rPr>
      <w:color w:val="467886" w:themeColor="hyperlink"/>
      <w:u w:val="single"/>
    </w:rPr>
  </w:style>
  <w:style w:type="character" w:styleId="UnresolvedMention">
    <w:name w:val="Unresolved Mention"/>
    <w:basedOn w:val="DefaultParagraphFont"/>
    <w:uiPriority w:val="99"/>
    <w:semiHidden/>
    <w:unhideWhenUsed/>
    <w:rsid w:val="00C939DD"/>
    <w:rPr>
      <w:color w:val="605E5C"/>
      <w:shd w:val="clear" w:color="auto" w:fill="E1DFDD"/>
    </w:rPr>
  </w:style>
  <w:style w:type="character" w:styleId="FollowedHyperlink">
    <w:name w:val="FollowedHyperlink"/>
    <w:basedOn w:val="DefaultParagraphFont"/>
    <w:uiPriority w:val="99"/>
    <w:semiHidden/>
    <w:unhideWhenUsed/>
    <w:rsid w:val="00BF7789"/>
    <w:rPr>
      <w:color w:val="96607D" w:themeColor="followedHyperlink"/>
      <w:u w:val="single"/>
    </w:rPr>
  </w:style>
  <w:style w:type="paragraph" w:styleId="FootnoteText">
    <w:name w:val="footnote text"/>
    <w:basedOn w:val="Normal"/>
    <w:link w:val="FootnoteTextChar"/>
    <w:uiPriority w:val="99"/>
    <w:unhideWhenUsed/>
    <w:rsid w:val="00A644FB"/>
    <w:pPr>
      <w:spacing w:after="0" w:line="240" w:lineRule="auto"/>
    </w:pPr>
    <w:rPr>
      <w:sz w:val="20"/>
      <w:szCs w:val="20"/>
    </w:rPr>
  </w:style>
  <w:style w:type="character" w:customStyle="1" w:styleId="FootnoteTextChar">
    <w:name w:val="Footnote Text Char"/>
    <w:basedOn w:val="DefaultParagraphFont"/>
    <w:link w:val="FootnoteText"/>
    <w:uiPriority w:val="99"/>
    <w:rsid w:val="00A644FB"/>
    <w:rPr>
      <w:sz w:val="20"/>
      <w:szCs w:val="20"/>
    </w:rPr>
  </w:style>
  <w:style w:type="character" w:styleId="FootnoteReference">
    <w:name w:val="footnote reference"/>
    <w:basedOn w:val="DefaultParagraphFont"/>
    <w:uiPriority w:val="99"/>
    <w:unhideWhenUsed/>
    <w:rsid w:val="00A644FB"/>
    <w:rPr>
      <w:vertAlign w:val="superscript"/>
    </w:rPr>
  </w:style>
  <w:style w:type="paragraph" w:styleId="Header">
    <w:name w:val="header"/>
    <w:basedOn w:val="Normal"/>
    <w:link w:val="HeaderChar"/>
    <w:uiPriority w:val="99"/>
    <w:unhideWhenUsed/>
    <w:rsid w:val="003A0A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A60"/>
  </w:style>
  <w:style w:type="paragraph" w:styleId="Footer">
    <w:name w:val="footer"/>
    <w:basedOn w:val="Normal"/>
    <w:link w:val="FooterChar"/>
    <w:uiPriority w:val="99"/>
    <w:unhideWhenUsed/>
    <w:rsid w:val="003A0A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A60"/>
  </w:style>
  <w:style w:type="character" w:styleId="Emphasis">
    <w:name w:val="Emphasis"/>
    <w:basedOn w:val="DefaultParagraphFont"/>
    <w:uiPriority w:val="20"/>
    <w:qFormat/>
    <w:rsid w:val="0068014A"/>
    <w:rPr>
      <w:i/>
      <w:iCs/>
    </w:rPr>
  </w:style>
  <w:style w:type="character" w:styleId="CommentReference">
    <w:name w:val="annotation reference"/>
    <w:basedOn w:val="DefaultParagraphFont"/>
    <w:uiPriority w:val="99"/>
    <w:semiHidden/>
    <w:unhideWhenUsed/>
    <w:rsid w:val="00EE6EE6"/>
    <w:rPr>
      <w:sz w:val="16"/>
      <w:szCs w:val="16"/>
    </w:rPr>
  </w:style>
  <w:style w:type="paragraph" w:styleId="CommentText">
    <w:name w:val="annotation text"/>
    <w:basedOn w:val="Normal"/>
    <w:link w:val="CommentTextChar"/>
    <w:uiPriority w:val="99"/>
    <w:unhideWhenUsed/>
    <w:rsid w:val="00EE6EE6"/>
    <w:pPr>
      <w:spacing w:line="240" w:lineRule="auto"/>
    </w:pPr>
    <w:rPr>
      <w:sz w:val="20"/>
      <w:szCs w:val="20"/>
    </w:rPr>
  </w:style>
  <w:style w:type="character" w:customStyle="1" w:styleId="CommentTextChar">
    <w:name w:val="Comment Text Char"/>
    <w:basedOn w:val="DefaultParagraphFont"/>
    <w:link w:val="CommentText"/>
    <w:uiPriority w:val="99"/>
    <w:rsid w:val="00EE6EE6"/>
    <w:rPr>
      <w:sz w:val="20"/>
      <w:szCs w:val="20"/>
    </w:rPr>
  </w:style>
  <w:style w:type="paragraph" w:styleId="CommentSubject">
    <w:name w:val="annotation subject"/>
    <w:basedOn w:val="CommentText"/>
    <w:next w:val="CommentText"/>
    <w:link w:val="CommentSubjectChar"/>
    <w:uiPriority w:val="99"/>
    <w:semiHidden/>
    <w:unhideWhenUsed/>
    <w:rsid w:val="00EE6EE6"/>
    <w:rPr>
      <w:b/>
      <w:bCs/>
    </w:rPr>
  </w:style>
  <w:style w:type="character" w:customStyle="1" w:styleId="CommentSubjectChar">
    <w:name w:val="Comment Subject Char"/>
    <w:basedOn w:val="CommentTextChar"/>
    <w:link w:val="CommentSubject"/>
    <w:uiPriority w:val="99"/>
    <w:semiHidden/>
    <w:rsid w:val="00EE6EE6"/>
    <w:rPr>
      <w:b/>
      <w:bCs/>
      <w:sz w:val="20"/>
      <w:szCs w:val="20"/>
    </w:rPr>
  </w:style>
  <w:style w:type="table" w:styleId="TableGrid">
    <w:name w:val="Table Grid"/>
    <w:basedOn w:val="TableNormal"/>
    <w:uiPriority w:val="39"/>
    <w:rsid w:val="006B3F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B3F83"/>
    <w:pPr>
      <w:spacing w:after="0" w:line="240" w:lineRule="auto"/>
    </w:pPr>
    <w:rPr>
      <w:rFonts w:eastAsia="Times New Roman" w:cs="Times New Roman"/>
      <w:kern w:val="0"/>
      <w:szCs w:val="24"/>
      <w:lang w:eastAsia="en-AU"/>
      <w14:ligatures w14:val="none"/>
    </w:rPr>
  </w:style>
  <w:style w:type="character" w:customStyle="1" w:styleId="NoSpacingChar">
    <w:name w:val="No Spacing Char"/>
    <w:basedOn w:val="DefaultParagraphFont"/>
    <w:link w:val="NoSpacing"/>
    <w:uiPriority w:val="1"/>
    <w:rsid w:val="006B3F83"/>
    <w:rPr>
      <w:rFonts w:eastAsia="Times New Roman" w:cs="Times New Roman"/>
      <w:kern w:val="0"/>
      <w:szCs w:val="24"/>
      <w:lang w:eastAsia="en-AU"/>
      <w14:ligatures w14:val="none"/>
    </w:rPr>
  </w:style>
  <w:style w:type="paragraph" w:customStyle="1" w:styleId="Bullet1">
    <w:name w:val="Bullet 1"/>
    <w:basedOn w:val="ListParagraph"/>
    <w:qFormat/>
    <w:rsid w:val="00D03C6E"/>
    <w:pPr>
      <w:tabs>
        <w:tab w:val="left" w:pos="1276"/>
      </w:tabs>
      <w:spacing w:after="0"/>
      <w:ind w:hanging="360"/>
    </w:pPr>
    <w:rPr>
      <w:rFonts w:eastAsia="Times New Roman" w:cstheme="minorHAnsi"/>
      <w:kern w:val="0"/>
      <w:szCs w:val="24"/>
      <w:lang w:val="en-NZ" w:eastAsia="en-GB"/>
      <w14:ligatures w14:val="none"/>
    </w:rPr>
  </w:style>
  <w:style w:type="paragraph" w:styleId="Caption">
    <w:name w:val="caption"/>
    <w:basedOn w:val="Normal"/>
    <w:next w:val="Normal"/>
    <w:uiPriority w:val="35"/>
    <w:unhideWhenUsed/>
    <w:qFormat/>
    <w:rsid w:val="00C15C3A"/>
    <w:pPr>
      <w:spacing w:after="200" w:line="240" w:lineRule="auto"/>
    </w:pPr>
    <w:rPr>
      <w:i/>
      <w:iCs/>
      <w:color w:val="0E2841" w:themeColor="text2"/>
      <w:sz w:val="18"/>
      <w:szCs w:val="18"/>
    </w:rPr>
  </w:style>
  <w:style w:type="paragraph" w:styleId="TOCHeading">
    <w:name w:val="TOC Heading"/>
    <w:basedOn w:val="Heading1"/>
    <w:next w:val="Normal"/>
    <w:uiPriority w:val="39"/>
    <w:unhideWhenUsed/>
    <w:qFormat/>
    <w:rsid w:val="00ED39E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ED39E6"/>
    <w:pPr>
      <w:spacing w:after="100"/>
    </w:pPr>
  </w:style>
  <w:style w:type="paragraph" w:styleId="TOC2">
    <w:name w:val="toc 2"/>
    <w:basedOn w:val="Normal"/>
    <w:next w:val="Normal"/>
    <w:autoRedefine/>
    <w:uiPriority w:val="39"/>
    <w:unhideWhenUsed/>
    <w:rsid w:val="00ED39E6"/>
    <w:pPr>
      <w:spacing w:after="100"/>
      <w:ind w:left="220"/>
    </w:pPr>
  </w:style>
  <w:style w:type="paragraph" w:styleId="TOC3">
    <w:name w:val="toc 3"/>
    <w:basedOn w:val="Normal"/>
    <w:next w:val="Normal"/>
    <w:autoRedefine/>
    <w:uiPriority w:val="39"/>
    <w:unhideWhenUsed/>
    <w:rsid w:val="00ED39E6"/>
    <w:pPr>
      <w:spacing w:after="100"/>
      <w:ind w:left="440"/>
    </w:pPr>
  </w:style>
  <w:style w:type="character" w:styleId="PlaceholderText">
    <w:name w:val="Placeholder Text"/>
    <w:basedOn w:val="DefaultParagraphFont"/>
    <w:uiPriority w:val="99"/>
    <w:semiHidden/>
    <w:rsid w:val="008B4FAB"/>
    <w:rPr>
      <w:color w:val="666666"/>
    </w:rPr>
  </w:style>
  <w:style w:type="paragraph" w:styleId="Revision">
    <w:name w:val="Revision"/>
    <w:hidden/>
    <w:uiPriority w:val="99"/>
    <w:semiHidden/>
    <w:rsid w:val="00666CC8"/>
    <w:pPr>
      <w:spacing w:after="0" w:line="240" w:lineRule="auto"/>
    </w:pPr>
  </w:style>
  <w:style w:type="paragraph" w:customStyle="1" w:styleId="EndNoteBibliographyTitle">
    <w:name w:val="EndNote Bibliography Title"/>
    <w:basedOn w:val="Normal"/>
    <w:link w:val="EndNoteBibliographyTitleChar"/>
    <w:rsid w:val="00C70A33"/>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C70A33"/>
    <w:rPr>
      <w:rFonts w:ascii="Aptos" w:hAnsi="Aptos"/>
      <w:noProof/>
      <w:lang w:val="en-US"/>
    </w:rPr>
  </w:style>
  <w:style w:type="paragraph" w:customStyle="1" w:styleId="EndNoteBibliography">
    <w:name w:val="EndNote Bibliography"/>
    <w:basedOn w:val="Normal"/>
    <w:link w:val="EndNoteBibliographyChar"/>
    <w:rsid w:val="00C70A33"/>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C70A33"/>
    <w:rPr>
      <w:rFonts w:ascii="Aptos" w:hAnsi="Aptos"/>
      <w:noProof/>
      <w:lang w:val="en-US"/>
    </w:rPr>
  </w:style>
  <w:style w:type="table" w:styleId="ListTable3-Accent1">
    <w:name w:val="List Table 3 Accent 1"/>
    <w:basedOn w:val="TableNormal"/>
    <w:uiPriority w:val="48"/>
    <w:rsid w:val="00EB64EA"/>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customStyle="1" w:styleId="TableGrid2">
    <w:name w:val="Table Grid2"/>
    <w:basedOn w:val="TableNormal"/>
    <w:next w:val="TableGrid"/>
    <w:uiPriority w:val="39"/>
    <w:rsid w:val="007A1EAC"/>
    <w:pPr>
      <w:spacing w:before="120" w:after="60" w:line="240" w:lineRule="atLeast"/>
    </w:pPr>
    <w:rPr>
      <w:color w:val="000000"/>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1">
    <w:name w:val="Default Table 1"/>
    <w:basedOn w:val="GridTable5Dark-Accent1"/>
    <w:uiPriority w:val="99"/>
    <w:rsid w:val="007A1EAC"/>
    <w:pPr>
      <w:spacing w:before="60" w:after="60" w:line="240" w:lineRule="atLeast"/>
    </w:pPr>
    <w:rPr>
      <w:color w:val="000000"/>
      <w:kern w:val="0"/>
      <w:sz w:val="18"/>
      <w:szCs w:val="18"/>
      <w:lang w:eastAsia="en-AU"/>
      <w14:ligatures w14:val="none"/>
    </w:rPr>
    <w:tblPr>
      <w:tblBorders>
        <w:top w:val="single" w:sz="4" w:space="0" w:color="005F85"/>
        <w:left w:val="single" w:sz="4" w:space="0" w:color="005F85"/>
        <w:bottom w:val="single" w:sz="4" w:space="0" w:color="005F85"/>
        <w:right w:val="single" w:sz="4" w:space="0" w:color="005F85"/>
        <w:insideH w:val="single" w:sz="4" w:space="0" w:color="005F85"/>
        <w:insideV w:val="single" w:sz="4" w:space="0" w:color="005F85"/>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Arial" w:hAnsi="Arial"/>
        <w:b/>
        <w:bCs/>
        <w:caps w:val="0"/>
        <w:smallCaps w:val="0"/>
        <w:color w:val="FFFFFF"/>
        <w:sz w:val="18"/>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005F85"/>
      </w:tcPr>
    </w:tblStylePr>
    <w:tblStylePr w:type="lastRow">
      <w:rPr>
        <w:b/>
        <w:bCs/>
        <w:color w:val="000000"/>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E3F1F7"/>
      </w:tcPr>
    </w:tblStylePr>
    <w:tblStylePr w:type="firstCol">
      <w:rPr>
        <w:b/>
        <w:bCs/>
        <w:color w:val="FFFFFF"/>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005F85"/>
      </w:tcPr>
    </w:tblStylePr>
    <w:tblStylePr w:type="lastCol">
      <w:pPr>
        <w:jc w:val="right"/>
      </w:pPr>
      <w:rPr>
        <w:b/>
        <w:bCs/>
        <w:color w:val="000000"/>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E3F1F7"/>
      </w:tcPr>
    </w:tblStylePr>
    <w:tblStylePr w:type="band1Vert">
      <w:tblPr/>
      <w:tcPr>
        <w:shd w:val="clear" w:color="auto" w:fill="E3F1F7"/>
      </w:tcPr>
    </w:tblStylePr>
    <w:tblStylePr w:type="band2Vert">
      <w:tblPr/>
      <w:tcPr>
        <w:shd w:val="clear" w:color="auto" w:fill="C8E4EF"/>
      </w:tcPr>
    </w:tblStylePr>
    <w:tblStylePr w:type="band1Horz">
      <w:tblPr/>
      <w:tcPr>
        <w:shd w:val="clear" w:color="auto" w:fill="E3F1F7"/>
      </w:tcPr>
    </w:tblStylePr>
    <w:tblStylePr w:type="band2Horz">
      <w:tblPr/>
      <w:tcPr>
        <w:shd w:val="clear" w:color="auto" w:fill="C8E4EF"/>
      </w:tcPr>
    </w:tblStylePr>
  </w:style>
  <w:style w:type="table" w:styleId="GridTable5Dark-Accent1">
    <w:name w:val="Grid Table 5 Dark Accent 1"/>
    <w:basedOn w:val="TableNormal"/>
    <w:uiPriority w:val="50"/>
    <w:rsid w:val="007A1E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styleId="NormalWeb">
    <w:name w:val="Normal (Web)"/>
    <w:basedOn w:val="Normal"/>
    <w:uiPriority w:val="99"/>
    <w:semiHidden/>
    <w:unhideWhenUsed/>
    <w:rsid w:val="00C53CC8"/>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911F1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1F18"/>
    <w:rPr>
      <w:sz w:val="20"/>
      <w:szCs w:val="20"/>
    </w:rPr>
  </w:style>
  <w:style w:type="character" w:styleId="EndnoteReference">
    <w:name w:val="endnote reference"/>
    <w:basedOn w:val="DefaultParagraphFont"/>
    <w:uiPriority w:val="99"/>
    <w:semiHidden/>
    <w:unhideWhenUsed/>
    <w:rsid w:val="00911F18"/>
    <w:rPr>
      <w:vertAlign w:val="superscript"/>
    </w:rPr>
  </w:style>
  <w:style w:type="table" w:styleId="GridTable6Colorful-Accent1">
    <w:name w:val="Grid Table 6 Colorful Accent 1"/>
    <w:basedOn w:val="TableNormal"/>
    <w:uiPriority w:val="51"/>
    <w:rsid w:val="00DC37E8"/>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1">
    <w:name w:val="Grid Table 4 Accent 1"/>
    <w:basedOn w:val="TableNormal"/>
    <w:uiPriority w:val="49"/>
    <w:rsid w:val="00DC37E8"/>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1">
    <w:name w:val="List Table 4 Accent 1"/>
    <w:basedOn w:val="TableNormal"/>
    <w:uiPriority w:val="49"/>
    <w:rsid w:val="0081085B"/>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ListBullet">
    <w:name w:val="List Bullet"/>
    <w:basedOn w:val="ListParagraph"/>
    <w:qFormat/>
    <w:rsid w:val="005D43C5"/>
    <w:pPr>
      <w:numPr>
        <w:numId w:val="4"/>
      </w:numPr>
      <w:spacing w:after="0" w:line="240" w:lineRule="auto"/>
      <w:contextualSpacing w:val="0"/>
    </w:pPr>
    <w:rPr>
      <w:rFonts w:ascii="Gotham Book" w:eastAsia="Times New Roman" w:hAnsi="Gotham Book" w:cs="Times New Roman"/>
      <w:kern w:val="0"/>
      <w:sz w:val="20"/>
      <w:szCs w:val="24"/>
      <w:lang w:eastAsia="en-AU"/>
      <w14:ligatures w14:val="none"/>
    </w:rPr>
  </w:style>
  <w:style w:type="paragraph" w:customStyle="1" w:styleId="Default">
    <w:name w:val="Default"/>
    <w:rsid w:val="00B820B3"/>
    <w:pPr>
      <w:autoSpaceDE w:val="0"/>
      <w:autoSpaceDN w:val="0"/>
      <w:adjustRightInd w:val="0"/>
      <w:spacing w:after="0" w:line="240" w:lineRule="auto"/>
    </w:pPr>
    <w:rPr>
      <w:rFonts w:ascii="Arial" w:hAnsi="Arial" w:cs="Arial"/>
      <w:color w:val="000000"/>
      <w:kern w:val="0"/>
      <w:sz w:val="24"/>
      <w:szCs w:val="24"/>
    </w:rPr>
  </w:style>
  <w:style w:type="paragraph" w:customStyle="1" w:styleId="pf0">
    <w:name w:val="pf0"/>
    <w:basedOn w:val="Normal"/>
    <w:rsid w:val="00F02726"/>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f11">
    <w:name w:val="cf11"/>
    <w:basedOn w:val="DefaultParagraphFont"/>
    <w:rsid w:val="00F02726"/>
    <w:rPr>
      <w:rFonts w:ascii="Segoe UI" w:hAnsi="Segoe UI" w:cs="Segoe UI" w:hint="default"/>
      <w:color w:val="1B1B1B"/>
      <w:sz w:val="18"/>
      <w:szCs w:val="18"/>
      <w:shd w:val="clear" w:color="auto" w:fill="FFFFFF"/>
    </w:rPr>
  </w:style>
  <w:style w:type="character" w:customStyle="1" w:styleId="cf21">
    <w:name w:val="cf21"/>
    <w:basedOn w:val="DefaultParagraphFont"/>
    <w:rsid w:val="00F02726"/>
    <w:rPr>
      <w:rFonts w:ascii="Segoe UI" w:hAnsi="Segoe UI" w:cs="Segoe UI" w:hint="default"/>
      <w:sz w:val="18"/>
      <w:szCs w:val="18"/>
    </w:rPr>
  </w:style>
  <w:style w:type="character" w:customStyle="1" w:styleId="cf31">
    <w:name w:val="cf31"/>
    <w:basedOn w:val="DefaultParagraphFont"/>
    <w:rsid w:val="00F02726"/>
    <w:rPr>
      <w:rFonts w:ascii="Segoe UI" w:hAnsi="Segoe UI" w:cs="Segoe UI" w:hint="default"/>
      <w:i/>
      <w:iCs/>
      <w:sz w:val="18"/>
      <w:szCs w:val="18"/>
      <w:shd w:val="clear" w:color="auto" w:fill="FFFF00"/>
    </w:rPr>
  </w:style>
  <w:style w:type="paragraph" w:styleId="TOC4">
    <w:name w:val="toc 4"/>
    <w:basedOn w:val="Normal"/>
    <w:next w:val="Normal"/>
    <w:autoRedefine/>
    <w:uiPriority w:val="39"/>
    <w:unhideWhenUsed/>
    <w:rsid w:val="00C41A8C"/>
    <w:pPr>
      <w:spacing w:after="100" w:line="278" w:lineRule="auto"/>
      <w:ind w:left="720"/>
    </w:pPr>
    <w:rPr>
      <w:rFonts w:eastAsiaTheme="minorEastAsia"/>
      <w:sz w:val="24"/>
      <w:szCs w:val="24"/>
      <w:lang w:eastAsia="en-AU"/>
    </w:rPr>
  </w:style>
  <w:style w:type="paragraph" w:styleId="TOC5">
    <w:name w:val="toc 5"/>
    <w:basedOn w:val="Normal"/>
    <w:next w:val="Normal"/>
    <w:autoRedefine/>
    <w:uiPriority w:val="39"/>
    <w:unhideWhenUsed/>
    <w:rsid w:val="00C41A8C"/>
    <w:pPr>
      <w:spacing w:after="100" w:line="278" w:lineRule="auto"/>
      <w:ind w:left="960"/>
    </w:pPr>
    <w:rPr>
      <w:rFonts w:eastAsiaTheme="minorEastAsia"/>
      <w:sz w:val="24"/>
      <w:szCs w:val="24"/>
      <w:lang w:eastAsia="en-AU"/>
    </w:rPr>
  </w:style>
  <w:style w:type="paragraph" w:styleId="TOC6">
    <w:name w:val="toc 6"/>
    <w:basedOn w:val="Normal"/>
    <w:next w:val="Normal"/>
    <w:autoRedefine/>
    <w:uiPriority w:val="39"/>
    <w:unhideWhenUsed/>
    <w:rsid w:val="00C41A8C"/>
    <w:pPr>
      <w:spacing w:after="100" w:line="278" w:lineRule="auto"/>
      <w:ind w:left="1200"/>
    </w:pPr>
    <w:rPr>
      <w:rFonts w:eastAsiaTheme="minorEastAsia"/>
      <w:sz w:val="24"/>
      <w:szCs w:val="24"/>
      <w:lang w:eastAsia="en-AU"/>
    </w:rPr>
  </w:style>
  <w:style w:type="paragraph" w:styleId="TOC7">
    <w:name w:val="toc 7"/>
    <w:basedOn w:val="Normal"/>
    <w:next w:val="Normal"/>
    <w:autoRedefine/>
    <w:uiPriority w:val="39"/>
    <w:unhideWhenUsed/>
    <w:rsid w:val="00C41A8C"/>
    <w:pPr>
      <w:spacing w:after="100" w:line="278" w:lineRule="auto"/>
      <w:ind w:left="1440"/>
    </w:pPr>
    <w:rPr>
      <w:rFonts w:eastAsiaTheme="minorEastAsia"/>
      <w:sz w:val="24"/>
      <w:szCs w:val="24"/>
      <w:lang w:eastAsia="en-AU"/>
    </w:rPr>
  </w:style>
  <w:style w:type="paragraph" w:styleId="TOC8">
    <w:name w:val="toc 8"/>
    <w:basedOn w:val="Normal"/>
    <w:next w:val="Normal"/>
    <w:autoRedefine/>
    <w:uiPriority w:val="39"/>
    <w:unhideWhenUsed/>
    <w:rsid w:val="00C41A8C"/>
    <w:pPr>
      <w:spacing w:after="100" w:line="278" w:lineRule="auto"/>
      <w:ind w:left="1680"/>
    </w:pPr>
    <w:rPr>
      <w:rFonts w:eastAsiaTheme="minorEastAsia"/>
      <w:sz w:val="24"/>
      <w:szCs w:val="24"/>
      <w:lang w:eastAsia="en-AU"/>
    </w:rPr>
  </w:style>
  <w:style w:type="paragraph" w:styleId="TOC9">
    <w:name w:val="toc 9"/>
    <w:basedOn w:val="Normal"/>
    <w:next w:val="Normal"/>
    <w:autoRedefine/>
    <w:uiPriority w:val="39"/>
    <w:unhideWhenUsed/>
    <w:rsid w:val="00C41A8C"/>
    <w:pPr>
      <w:spacing w:after="100" w:line="278" w:lineRule="auto"/>
      <w:ind w:left="1920"/>
    </w:pPr>
    <w:rPr>
      <w:rFonts w:eastAsiaTheme="minorEastAsia"/>
      <w:sz w:val="24"/>
      <w:szCs w:val="24"/>
      <w:lang w:eastAsia="en-AU"/>
    </w:rPr>
  </w:style>
  <w:style w:type="character" w:customStyle="1" w:styleId="ListParagraphChar">
    <w:name w:val="List Paragraph Char"/>
    <w:aliases w:val="Table text Char,List Paragraph1 Char,Recommendation Char,List Paragraph11 Char,#List Paragraph Char,Bullet point Char,Body Text1 Char,Bullet Point Char,Bulletr List Paragraph Char,Bullets Char,Content descriptions Char,L Char,列 Char"/>
    <w:basedOn w:val="DefaultParagraphFont"/>
    <w:link w:val="ListParagraph"/>
    <w:uiPriority w:val="34"/>
    <w:locked/>
    <w:rsid w:val="00D70CAE"/>
  </w:style>
  <w:style w:type="numbering" w:customStyle="1" w:styleId="RList1">
    <w:name w:val="R List1"/>
    <w:uiPriority w:val="99"/>
    <w:rsid w:val="00D70CAE"/>
    <w:pPr>
      <w:numPr>
        <w:numId w:val="2"/>
      </w:numPr>
    </w:pPr>
  </w:style>
  <w:style w:type="table" w:customStyle="1" w:styleId="DefaultTable11">
    <w:name w:val="Default Table 11"/>
    <w:basedOn w:val="GridTable5Dark-Accent1"/>
    <w:uiPriority w:val="99"/>
    <w:rsid w:val="0014323B"/>
    <w:pPr>
      <w:spacing w:before="60" w:after="60" w:line="240" w:lineRule="atLeast"/>
    </w:pPr>
    <w:rPr>
      <w:color w:val="000000"/>
      <w:kern w:val="0"/>
      <w:sz w:val="18"/>
      <w:szCs w:val="18"/>
      <w14:ligatures w14:val="none"/>
    </w:rPr>
    <w:tblPr>
      <w:tblInd w:w="0" w:type="nil"/>
      <w:tblBorders>
        <w:top w:val="single" w:sz="4" w:space="0" w:color="005F85"/>
        <w:left w:val="single" w:sz="4" w:space="0" w:color="005F85"/>
        <w:bottom w:val="single" w:sz="4" w:space="0" w:color="005F85"/>
        <w:right w:val="single" w:sz="4" w:space="0" w:color="005F85"/>
        <w:insideH w:val="single" w:sz="4" w:space="0" w:color="005F85"/>
        <w:insideV w:val="single" w:sz="4" w:space="0" w:color="005F85"/>
      </w:tblBorders>
      <w:tblCellMar>
        <w:top w:w="57" w:type="dxa"/>
        <w:left w:w="0" w:type="dxa"/>
        <w:bottom w:w="57" w:type="dxa"/>
        <w:right w:w="0"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Arial" w:hAnsi="Arial"/>
        <w:b/>
        <w:bCs/>
        <w:caps w:val="0"/>
        <w:smallCaps w:val="0"/>
        <w:color w:val="FFFFFF"/>
        <w:sz w:val="18"/>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005F85"/>
      </w:tcPr>
    </w:tblStylePr>
    <w:tblStylePr w:type="lastRow">
      <w:rPr>
        <w:b/>
        <w:bCs/>
        <w:color w:val="000000"/>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E3F1F7"/>
      </w:tcPr>
    </w:tblStylePr>
    <w:tblStylePr w:type="firstCol">
      <w:rPr>
        <w:b/>
        <w:bCs/>
        <w:color w:val="FFFFFF"/>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005F85"/>
      </w:tcPr>
    </w:tblStylePr>
    <w:tblStylePr w:type="lastCol">
      <w:pPr>
        <w:jc w:val="right"/>
      </w:pPr>
      <w:rPr>
        <w:b/>
        <w:bCs/>
        <w:color w:val="000000"/>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E3F1F7"/>
      </w:tcPr>
    </w:tblStylePr>
    <w:tblStylePr w:type="band1Vert">
      <w:tblPr/>
      <w:tcPr>
        <w:shd w:val="clear" w:color="auto" w:fill="E3F1F7"/>
      </w:tcPr>
    </w:tblStylePr>
    <w:tblStylePr w:type="band2Vert">
      <w:tblPr/>
      <w:tcPr>
        <w:shd w:val="clear" w:color="auto" w:fill="C8E4EF"/>
      </w:tcPr>
    </w:tblStylePr>
    <w:tblStylePr w:type="band1Horz">
      <w:tblPr/>
      <w:tcPr>
        <w:shd w:val="clear" w:color="auto" w:fill="E3F1F7"/>
      </w:tcPr>
    </w:tblStylePr>
    <w:tblStylePr w:type="band2Horz">
      <w:tblPr/>
      <w:tcPr>
        <w:shd w:val="clear" w:color="auto" w:fill="C8E4EF"/>
      </w:tcPr>
    </w:tblStylePr>
  </w:style>
  <w:style w:type="table" w:customStyle="1" w:styleId="DefaultTable12">
    <w:name w:val="Default Table 12"/>
    <w:basedOn w:val="GridTable5Dark-Accent1"/>
    <w:uiPriority w:val="99"/>
    <w:rsid w:val="00C12A6C"/>
    <w:pPr>
      <w:spacing w:before="60" w:after="60" w:line="240" w:lineRule="atLeast"/>
    </w:pPr>
    <w:rPr>
      <w:color w:val="000000"/>
      <w:kern w:val="0"/>
      <w:sz w:val="18"/>
      <w:szCs w:val="18"/>
      <w14:ligatures w14:val="none"/>
    </w:rPr>
    <w:tblPr>
      <w:tblInd w:w="0" w:type="nil"/>
      <w:tblBorders>
        <w:top w:val="single" w:sz="4" w:space="0" w:color="005F85"/>
        <w:left w:val="single" w:sz="4" w:space="0" w:color="005F85"/>
        <w:bottom w:val="single" w:sz="4" w:space="0" w:color="005F85"/>
        <w:right w:val="single" w:sz="4" w:space="0" w:color="005F85"/>
        <w:insideH w:val="single" w:sz="4" w:space="0" w:color="005F85"/>
        <w:insideV w:val="single" w:sz="4" w:space="0" w:color="005F85"/>
      </w:tblBorders>
      <w:tblCellMar>
        <w:top w:w="57" w:type="dxa"/>
        <w:left w:w="0" w:type="dxa"/>
        <w:bottom w:w="57" w:type="dxa"/>
        <w:right w:w="0"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Arial" w:hAnsi="Arial"/>
        <w:b/>
        <w:bCs/>
        <w:caps w:val="0"/>
        <w:smallCaps w:val="0"/>
        <w:color w:val="FFFFFF"/>
        <w:sz w:val="18"/>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005F85"/>
      </w:tcPr>
    </w:tblStylePr>
    <w:tblStylePr w:type="lastRow">
      <w:rPr>
        <w:b/>
        <w:bCs/>
        <w:color w:val="000000"/>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E3F1F7"/>
      </w:tcPr>
    </w:tblStylePr>
    <w:tblStylePr w:type="firstCol">
      <w:rPr>
        <w:b/>
        <w:bCs/>
        <w:color w:val="FFFFFF"/>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005F85"/>
      </w:tcPr>
    </w:tblStylePr>
    <w:tblStylePr w:type="lastCol">
      <w:pPr>
        <w:jc w:val="right"/>
      </w:pPr>
      <w:rPr>
        <w:b/>
        <w:bCs/>
        <w:color w:val="000000"/>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E3F1F7"/>
      </w:tcPr>
    </w:tblStylePr>
    <w:tblStylePr w:type="band1Vert">
      <w:tblPr/>
      <w:tcPr>
        <w:shd w:val="clear" w:color="auto" w:fill="E3F1F7"/>
      </w:tcPr>
    </w:tblStylePr>
    <w:tblStylePr w:type="band2Vert">
      <w:tblPr/>
      <w:tcPr>
        <w:shd w:val="clear" w:color="auto" w:fill="C8E4EF"/>
      </w:tcPr>
    </w:tblStylePr>
    <w:tblStylePr w:type="band1Horz">
      <w:tblPr/>
      <w:tcPr>
        <w:shd w:val="clear" w:color="auto" w:fill="E3F1F7"/>
      </w:tcPr>
    </w:tblStylePr>
    <w:tblStylePr w:type="band2Horz">
      <w:tblPr/>
      <w:tcPr>
        <w:shd w:val="clear" w:color="auto" w:fill="C8E4EF"/>
      </w:tcPr>
    </w:tblStylePr>
  </w:style>
  <w:style w:type="paragraph" w:customStyle="1" w:styleId="Bullet2">
    <w:name w:val="Bullet 2"/>
    <w:basedOn w:val="ListParagraph"/>
    <w:link w:val="Bullet2Char"/>
    <w:qFormat/>
    <w:rsid w:val="00153F53"/>
    <w:pPr>
      <w:tabs>
        <w:tab w:val="left" w:pos="1560"/>
      </w:tabs>
      <w:spacing w:after="0"/>
      <w:ind w:left="1440" w:hanging="360"/>
    </w:pPr>
    <w:rPr>
      <w:rFonts w:eastAsia="Times New Roman" w:cstheme="minorHAnsi"/>
      <w:kern w:val="0"/>
      <w:szCs w:val="24"/>
      <w:lang w:val="en-NZ" w:eastAsia="en-GB"/>
      <w14:ligatures w14:val="none"/>
    </w:rPr>
  </w:style>
  <w:style w:type="character" w:customStyle="1" w:styleId="Bullet2Char">
    <w:name w:val="Bullet 2 Char"/>
    <w:basedOn w:val="ListParagraphChar"/>
    <w:link w:val="Bullet2"/>
    <w:rsid w:val="00153F53"/>
    <w:rPr>
      <w:rFonts w:eastAsia="Times New Roman" w:cstheme="minorHAnsi"/>
      <w:kern w:val="0"/>
      <w:szCs w:val="24"/>
      <w:lang w:val="en-NZ" w:eastAsia="en-GB"/>
      <w14:ligatures w14:val="none"/>
    </w:rPr>
  </w:style>
  <w:style w:type="table" w:customStyle="1" w:styleId="TableGrid1">
    <w:name w:val="Table Grid1"/>
    <w:basedOn w:val="TableNormal"/>
    <w:next w:val="TableGrid"/>
    <w:rsid w:val="007A519A"/>
    <w:pPr>
      <w:spacing w:after="0" w:line="240" w:lineRule="auto"/>
    </w:pPr>
    <w:rPr>
      <w:rFonts w:ascii="Aptos" w:eastAsia="Aptos" w:hAnsi="Aptos" w:cs="Arial"/>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411B7"/>
    <w:rPr>
      <w:rFonts w:ascii="Segoe UI" w:hAnsi="Segoe UI" w:cs="Segoe UI" w:hint="default"/>
      <w:sz w:val="18"/>
      <w:szCs w:val="18"/>
    </w:rPr>
  </w:style>
  <w:style w:type="character" w:styleId="Strong">
    <w:name w:val="Strong"/>
    <w:basedOn w:val="DefaultParagraphFont"/>
    <w:uiPriority w:val="22"/>
    <w:qFormat/>
    <w:rsid w:val="005411B7"/>
    <w:rPr>
      <w:b/>
      <w:bCs/>
    </w:rPr>
  </w:style>
  <w:style w:type="character" w:customStyle="1" w:styleId="table-captionlabel">
    <w:name w:val="table-caption__label"/>
    <w:basedOn w:val="DefaultParagraphFont"/>
    <w:rsid w:val="005411B7"/>
  </w:style>
  <w:style w:type="paragraph" w:customStyle="1" w:styleId="footnotepopupitem">
    <w:name w:val="footnotepopup__item"/>
    <w:basedOn w:val="Normal"/>
    <w:rsid w:val="005411B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BookTitle">
    <w:name w:val="Book Title"/>
    <w:basedOn w:val="DefaultParagraphFont"/>
    <w:uiPriority w:val="33"/>
    <w:qFormat/>
    <w:rsid w:val="00A442E2"/>
    <w:rPr>
      <w:b/>
      <w:bCs/>
      <w:i/>
      <w:iCs/>
      <w:spacing w:val="5"/>
    </w:rPr>
  </w:style>
  <w:style w:type="character" w:styleId="SubtleEmphasis">
    <w:name w:val="Subtle Emphasis"/>
    <w:basedOn w:val="DefaultParagraphFont"/>
    <w:uiPriority w:val="19"/>
    <w:qFormat/>
    <w:rsid w:val="00A442E2"/>
    <w:rPr>
      <w:i/>
      <w:iCs/>
      <w:color w:val="404040" w:themeColor="text1" w:themeTint="BF"/>
    </w:rPr>
  </w:style>
  <w:style w:type="character" w:styleId="SubtleReference">
    <w:name w:val="Subtle Reference"/>
    <w:basedOn w:val="DefaultParagraphFont"/>
    <w:uiPriority w:val="31"/>
    <w:qFormat/>
    <w:rsid w:val="00A442E2"/>
    <w:rPr>
      <w:smallCaps/>
      <w:color w:val="5A5A5A" w:themeColor="text1" w:themeTint="A5"/>
    </w:rPr>
  </w:style>
  <w:style w:type="paragraph" w:customStyle="1" w:styleId="SecurityDLM">
    <w:name w:val="Security DLM"/>
    <w:basedOn w:val="Normal"/>
    <w:uiPriority w:val="99"/>
    <w:qFormat/>
    <w:rsid w:val="00C6544D"/>
    <w:pPr>
      <w:spacing w:before="240" w:after="240" w:line="180" w:lineRule="exact"/>
      <w:ind w:left="6577"/>
      <w:contextualSpacing/>
    </w:pPr>
    <w:rPr>
      <w:rFonts w:ascii="Gotham Book" w:eastAsiaTheme="minorEastAsia" w:hAnsi="Gotham Book" w:cs="Times New Roman"/>
      <w:caps/>
      <w:color w:val="A02B93" w:themeColor="accent5"/>
      <w:kern w:val="0"/>
      <w:sz w:val="20"/>
      <w:szCs w:val="18"/>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4455">
      <w:bodyDiv w:val="1"/>
      <w:marLeft w:val="0"/>
      <w:marRight w:val="0"/>
      <w:marTop w:val="0"/>
      <w:marBottom w:val="0"/>
      <w:divBdr>
        <w:top w:val="none" w:sz="0" w:space="0" w:color="auto"/>
        <w:left w:val="none" w:sz="0" w:space="0" w:color="auto"/>
        <w:bottom w:val="none" w:sz="0" w:space="0" w:color="auto"/>
        <w:right w:val="none" w:sz="0" w:space="0" w:color="auto"/>
      </w:divBdr>
    </w:div>
    <w:div w:id="44526397">
      <w:bodyDiv w:val="1"/>
      <w:marLeft w:val="0"/>
      <w:marRight w:val="0"/>
      <w:marTop w:val="0"/>
      <w:marBottom w:val="0"/>
      <w:divBdr>
        <w:top w:val="none" w:sz="0" w:space="0" w:color="auto"/>
        <w:left w:val="none" w:sz="0" w:space="0" w:color="auto"/>
        <w:bottom w:val="none" w:sz="0" w:space="0" w:color="auto"/>
        <w:right w:val="none" w:sz="0" w:space="0" w:color="auto"/>
      </w:divBdr>
    </w:div>
    <w:div w:id="74668607">
      <w:bodyDiv w:val="1"/>
      <w:marLeft w:val="0"/>
      <w:marRight w:val="0"/>
      <w:marTop w:val="0"/>
      <w:marBottom w:val="0"/>
      <w:divBdr>
        <w:top w:val="none" w:sz="0" w:space="0" w:color="auto"/>
        <w:left w:val="none" w:sz="0" w:space="0" w:color="auto"/>
        <w:bottom w:val="none" w:sz="0" w:space="0" w:color="auto"/>
        <w:right w:val="none" w:sz="0" w:space="0" w:color="auto"/>
      </w:divBdr>
      <w:divsChild>
        <w:div w:id="864253022">
          <w:marLeft w:val="0"/>
          <w:marRight w:val="0"/>
          <w:marTop w:val="0"/>
          <w:marBottom w:val="0"/>
          <w:divBdr>
            <w:top w:val="none" w:sz="0" w:space="0" w:color="auto"/>
            <w:left w:val="none" w:sz="0" w:space="0" w:color="auto"/>
            <w:bottom w:val="none" w:sz="0" w:space="0" w:color="auto"/>
            <w:right w:val="none" w:sz="0" w:space="0" w:color="auto"/>
          </w:divBdr>
          <w:divsChild>
            <w:div w:id="1455901622">
              <w:marLeft w:val="0"/>
              <w:marRight w:val="0"/>
              <w:marTop w:val="0"/>
              <w:marBottom w:val="0"/>
              <w:divBdr>
                <w:top w:val="none" w:sz="0" w:space="0" w:color="auto"/>
                <w:left w:val="none" w:sz="0" w:space="0" w:color="auto"/>
                <w:bottom w:val="none" w:sz="0" w:space="0" w:color="auto"/>
                <w:right w:val="none" w:sz="0" w:space="0" w:color="auto"/>
              </w:divBdr>
              <w:divsChild>
                <w:div w:id="522742180">
                  <w:marLeft w:val="0"/>
                  <w:marRight w:val="0"/>
                  <w:marTop w:val="0"/>
                  <w:marBottom w:val="0"/>
                  <w:divBdr>
                    <w:top w:val="none" w:sz="0" w:space="0" w:color="auto"/>
                    <w:left w:val="none" w:sz="0" w:space="0" w:color="auto"/>
                    <w:bottom w:val="none" w:sz="0" w:space="0" w:color="auto"/>
                    <w:right w:val="none" w:sz="0" w:space="0" w:color="auto"/>
                  </w:divBdr>
                  <w:divsChild>
                    <w:div w:id="102459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07948">
      <w:bodyDiv w:val="1"/>
      <w:marLeft w:val="0"/>
      <w:marRight w:val="0"/>
      <w:marTop w:val="0"/>
      <w:marBottom w:val="0"/>
      <w:divBdr>
        <w:top w:val="none" w:sz="0" w:space="0" w:color="auto"/>
        <w:left w:val="none" w:sz="0" w:space="0" w:color="auto"/>
        <w:bottom w:val="none" w:sz="0" w:space="0" w:color="auto"/>
        <w:right w:val="none" w:sz="0" w:space="0" w:color="auto"/>
      </w:divBdr>
      <w:divsChild>
        <w:div w:id="281304848">
          <w:marLeft w:val="0"/>
          <w:marRight w:val="0"/>
          <w:marTop w:val="0"/>
          <w:marBottom w:val="0"/>
          <w:divBdr>
            <w:top w:val="none" w:sz="0" w:space="0" w:color="auto"/>
            <w:left w:val="none" w:sz="0" w:space="0" w:color="auto"/>
            <w:bottom w:val="none" w:sz="0" w:space="0" w:color="auto"/>
            <w:right w:val="none" w:sz="0" w:space="0" w:color="auto"/>
          </w:divBdr>
          <w:divsChild>
            <w:div w:id="467823717">
              <w:marLeft w:val="0"/>
              <w:marRight w:val="0"/>
              <w:marTop w:val="0"/>
              <w:marBottom w:val="0"/>
              <w:divBdr>
                <w:top w:val="none" w:sz="0" w:space="0" w:color="auto"/>
                <w:left w:val="none" w:sz="0" w:space="0" w:color="auto"/>
                <w:bottom w:val="none" w:sz="0" w:space="0" w:color="auto"/>
                <w:right w:val="none" w:sz="0" w:space="0" w:color="auto"/>
              </w:divBdr>
              <w:divsChild>
                <w:div w:id="762071720">
                  <w:marLeft w:val="0"/>
                  <w:marRight w:val="0"/>
                  <w:marTop w:val="0"/>
                  <w:marBottom w:val="0"/>
                  <w:divBdr>
                    <w:top w:val="none" w:sz="0" w:space="0" w:color="auto"/>
                    <w:left w:val="none" w:sz="0" w:space="0" w:color="auto"/>
                    <w:bottom w:val="none" w:sz="0" w:space="0" w:color="auto"/>
                    <w:right w:val="none" w:sz="0" w:space="0" w:color="auto"/>
                  </w:divBdr>
                  <w:divsChild>
                    <w:div w:id="170833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843378">
          <w:marLeft w:val="0"/>
          <w:marRight w:val="0"/>
          <w:marTop w:val="0"/>
          <w:marBottom w:val="0"/>
          <w:divBdr>
            <w:top w:val="none" w:sz="0" w:space="0" w:color="auto"/>
            <w:left w:val="none" w:sz="0" w:space="0" w:color="auto"/>
            <w:bottom w:val="none" w:sz="0" w:space="0" w:color="auto"/>
            <w:right w:val="none" w:sz="0" w:space="0" w:color="auto"/>
          </w:divBdr>
          <w:divsChild>
            <w:div w:id="97625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0476">
      <w:bodyDiv w:val="1"/>
      <w:marLeft w:val="0"/>
      <w:marRight w:val="0"/>
      <w:marTop w:val="0"/>
      <w:marBottom w:val="0"/>
      <w:divBdr>
        <w:top w:val="none" w:sz="0" w:space="0" w:color="auto"/>
        <w:left w:val="none" w:sz="0" w:space="0" w:color="auto"/>
        <w:bottom w:val="none" w:sz="0" w:space="0" w:color="auto"/>
        <w:right w:val="none" w:sz="0" w:space="0" w:color="auto"/>
      </w:divBdr>
    </w:div>
    <w:div w:id="176039794">
      <w:bodyDiv w:val="1"/>
      <w:marLeft w:val="0"/>
      <w:marRight w:val="0"/>
      <w:marTop w:val="0"/>
      <w:marBottom w:val="0"/>
      <w:divBdr>
        <w:top w:val="none" w:sz="0" w:space="0" w:color="auto"/>
        <w:left w:val="none" w:sz="0" w:space="0" w:color="auto"/>
        <w:bottom w:val="none" w:sz="0" w:space="0" w:color="auto"/>
        <w:right w:val="none" w:sz="0" w:space="0" w:color="auto"/>
      </w:divBdr>
      <w:divsChild>
        <w:div w:id="358360490">
          <w:marLeft w:val="0"/>
          <w:marRight w:val="0"/>
          <w:marTop w:val="0"/>
          <w:marBottom w:val="0"/>
          <w:divBdr>
            <w:top w:val="none" w:sz="0" w:space="0" w:color="auto"/>
            <w:left w:val="none" w:sz="0" w:space="0" w:color="auto"/>
            <w:bottom w:val="none" w:sz="0" w:space="0" w:color="auto"/>
            <w:right w:val="none" w:sz="0" w:space="0" w:color="auto"/>
          </w:divBdr>
        </w:div>
        <w:div w:id="1325206913">
          <w:marLeft w:val="0"/>
          <w:marRight w:val="0"/>
          <w:marTop w:val="0"/>
          <w:marBottom w:val="0"/>
          <w:divBdr>
            <w:top w:val="none" w:sz="0" w:space="0" w:color="auto"/>
            <w:left w:val="none" w:sz="0" w:space="0" w:color="auto"/>
            <w:bottom w:val="none" w:sz="0" w:space="0" w:color="auto"/>
            <w:right w:val="none" w:sz="0" w:space="0" w:color="auto"/>
          </w:divBdr>
        </w:div>
      </w:divsChild>
    </w:div>
    <w:div w:id="213274439">
      <w:bodyDiv w:val="1"/>
      <w:marLeft w:val="0"/>
      <w:marRight w:val="0"/>
      <w:marTop w:val="0"/>
      <w:marBottom w:val="0"/>
      <w:divBdr>
        <w:top w:val="none" w:sz="0" w:space="0" w:color="auto"/>
        <w:left w:val="none" w:sz="0" w:space="0" w:color="auto"/>
        <w:bottom w:val="none" w:sz="0" w:space="0" w:color="auto"/>
        <w:right w:val="none" w:sz="0" w:space="0" w:color="auto"/>
      </w:divBdr>
    </w:div>
    <w:div w:id="228926233">
      <w:bodyDiv w:val="1"/>
      <w:marLeft w:val="0"/>
      <w:marRight w:val="0"/>
      <w:marTop w:val="0"/>
      <w:marBottom w:val="0"/>
      <w:divBdr>
        <w:top w:val="none" w:sz="0" w:space="0" w:color="auto"/>
        <w:left w:val="none" w:sz="0" w:space="0" w:color="auto"/>
        <w:bottom w:val="none" w:sz="0" w:space="0" w:color="auto"/>
        <w:right w:val="none" w:sz="0" w:space="0" w:color="auto"/>
      </w:divBdr>
    </w:div>
    <w:div w:id="276065563">
      <w:bodyDiv w:val="1"/>
      <w:marLeft w:val="0"/>
      <w:marRight w:val="0"/>
      <w:marTop w:val="0"/>
      <w:marBottom w:val="0"/>
      <w:divBdr>
        <w:top w:val="none" w:sz="0" w:space="0" w:color="auto"/>
        <w:left w:val="none" w:sz="0" w:space="0" w:color="auto"/>
        <w:bottom w:val="none" w:sz="0" w:space="0" w:color="auto"/>
        <w:right w:val="none" w:sz="0" w:space="0" w:color="auto"/>
      </w:divBdr>
    </w:div>
    <w:div w:id="277376455">
      <w:bodyDiv w:val="1"/>
      <w:marLeft w:val="0"/>
      <w:marRight w:val="0"/>
      <w:marTop w:val="0"/>
      <w:marBottom w:val="0"/>
      <w:divBdr>
        <w:top w:val="none" w:sz="0" w:space="0" w:color="auto"/>
        <w:left w:val="none" w:sz="0" w:space="0" w:color="auto"/>
        <w:bottom w:val="none" w:sz="0" w:space="0" w:color="auto"/>
        <w:right w:val="none" w:sz="0" w:space="0" w:color="auto"/>
      </w:divBdr>
    </w:div>
    <w:div w:id="278949663">
      <w:bodyDiv w:val="1"/>
      <w:marLeft w:val="0"/>
      <w:marRight w:val="0"/>
      <w:marTop w:val="0"/>
      <w:marBottom w:val="0"/>
      <w:divBdr>
        <w:top w:val="none" w:sz="0" w:space="0" w:color="auto"/>
        <w:left w:val="none" w:sz="0" w:space="0" w:color="auto"/>
        <w:bottom w:val="none" w:sz="0" w:space="0" w:color="auto"/>
        <w:right w:val="none" w:sz="0" w:space="0" w:color="auto"/>
      </w:divBdr>
    </w:div>
    <w:div w:id="303850838">
      <w:bodyDiv w:val="1"/>
      <w:marLeft w:val="0"/>
      <w:marRight w:val="0"/>
      <w:marTop w:val="0"/>
      <w:marBottom w:val="0"/>
      <w:divBdr>
        <w:top w:val="none" w:sz="0" w:space="0" w:color="auto"/>
        <w:left w:val="none" w:sz="0" w:space="0" w:color="auto"/>
        <w:bottom w:val="none" w:sz="0" w:space="0" w:color="auto"/>
        <w:right w:val="none" w:sz="0" w:space="0" w:color="auto"/>
      </w:divBdr>
    </w:div>
    <w:div w:id="304480599">
      <w:bodyDiv w:val="1"/>
      <w:marLeft w:val="0"/>
      <w:marRight w:val="0"/>
      <w:marTop w:val="0"/>
      <w:marBottom w:val="0"/>
      <w:divBdr>
        <w:top w:val="none" w:sz="0" w:space="0" w:color="auto"/>
        <w:left w:val="none" w:sz="0" w:space="0" w:color="auto"/>
        <w:bottom w:val="none" w:sz="0" w:space="0" w:color="auto"/>
        <w:right w:val="none" w:sz="0" w:space="0" w:color="auto"/>
      </w:divBdr>
    </w:div>
    <w:div w:id="329413344">
      <w:bodyDiv w:val="1"/>
      <w:marLeft w:val="0"/>
      <w:marRight w:val="0"/>
      <w:marTop w:val="0"/>
      <w:marBottom w:val="0"/>
      <w:divBdr>
        <w:top w:val="none" w:sz="0" w:space="0" w:color="auto"/>
        <w:left w:val="none" w:sz="0" w:space="0" w:color="auto"/>
        <w:bottom w:val="none" w:sz="0" w:space="0" w:color="auto"/>
        <w:right w:val="none" w:sz="0" w:space="0" w:color="auto"/>
      </w:divBdr>
    </w:div>
    <w:div w:id="354964444">
      <w:bodyDiv w:val="1"/>
      <w:marLeft w:val="0"/>
      <w:marRight w:val="0"/>
      <w:marTop w:val="0"/>
      <w:marBottom w:val="0"/>
      <w:divBdr>
        <w:top w:val="none" w:sz="0" w:space="0" w:color="auto"/>
        <w:left w:val="none" w:sz="0" w:space="0" w:color="auto"/>
        <w:bottom w:val="none" w:sz="0" w:space="0" w:color="auto"/>
        <w:right w:val="none" w:sz="0" w:space="0" w:color="auto"/>
      </w:divBdr>
    </w:div>
    <w:div w:id="362705325">
      <w:bodyDiv w:val="1"/>
      <w:marLeft w:val="0"/>
      <w:marRight w:val="0"/>
      <w:marTop w:val="0"/>
      <w:marBottom w:val="0"/>
      <w:divBdr>
        <w:top w:val="none" w:sz="0" w:space="0" w:color="auto"/>
        <w:left w:val="none" w:sz="0" w:space="0" w:color="auto"/>
        <w:bottom w:val="none" w:sz="0" w:space="0" w:color="auto"/>
        <w:right w:val="none" w:sz="0" w:space="0" w:color="auto"/>
      </w:divBdr>
    </w:div>
    <w:div w:id="387337024">
      <w:bodyDiv w:val="1"/>
      <w:marLeft w:val="0"/>
      <w:marRight w:val="0"/>
      <w:marTop w:val="0"/>
      <w:marBottom w:val="0"/>
      <w:divBdr>
        <w:top w:val="none" w:sz="0" w:space="0" w:color="auto"/>
        <w:left w:val="none" w:sz="0" w:space="0" w:color="auto"/>
        <w:bottom w:val="none" w:sz="0" w:space="0" w:color="auto"/>
        <w:right w:val="none" w:sz="0" w:space="0" w:color="auto"/>
      </w:divBdr>
    </w:div>
    <w:div w:id="391004554">
      <w:bodyDiv w:val="1"/>
      <w:marLeft w:val="0"/>
      <w:marRight w:val="0"/>
      <w:marTop w:val="0"/>
      <w:marBottom w:val="0"/>
      <w:divBdr>
        <w:top w:val="none" w:sz="0" w:space="0" w:color="auto"/>
        <w:left w:val="none" w:sz="0" w:space="0" w:color="auto"/>
        <w:bottom w:val="none" w:sz="0" w:space="0" w:color="auto"/>
        <w:right w:val="none" w:sz="0" w:space="0" w:color="auto"/>
      </w:divBdr>
    </w:div>
    <w:div w:id="414471175">
      <w:bodyDiv w:val="1"/>
      <w:marLeft w:val="0"/>
      <w:marRight w:val="0"/>
      <w:marTop w:val="0"/>
      <w:marBottom w:val="0"/>
      <w:divBdr>
        <w:top w:val="none" w:sz="0" w:space="0" w:color="auto"/>
        <w:left w:val="none" w:sz="0" w:space="0" w:color="auto"/>
        <w:bottom w:val="none" w:sz="0" w:space="0" w:color="auto"/>
        <w:right w:val="none" w:sz="0" w:space="0" w:color="auto"/>
      </w:divBdr>
    </w:div>
    <w:div w:id="456065338">
      <w:bodyDiv w:val="1"/>
      <w:marLeft w:val="0"/>
      <w:marRight w:val="0"/>
      <w:marTop w:val="0"/>
      <w:marBottom w:val="0"/>
      <w:divBdr>
        <w:top w:val="none" w:sz="0" w:space="0" w:color="auto"/>
        <w:left w:val="none" w:sz="0" w:space="0" w:color="auto"/>
        <w:bottom w:val="none" w:sz="0" w:space="0" w:color="auto"/>
        <w:right w:val="none" w:sz="0" w:space="0" w:color="auto"/>
      </w:divBdr>
    </w:div>
    <w:div w:id="466701561">
      <w:bodyDiv w:val="1"/>
      <w:marLeft w:val="0"/>
      <w:marRight w:val="0"/>
      <w:marTop w:val="0"/>
      <w:marBottom w:val="0"/>
      <w:divBdr>
        <w:top w:val="none" w:sz="0" w:space="0" w:color="auto"/>
        <w:left w:val="none" w:sz="0" w:space="0" w:color="auto"/>
        <w:bottom w:val="none" w:sz="0" w:space="0" w:color="auto"/>
        <w:right w:val="none" w:sz="0" w:space="0" w:color="auto"/>
      </w:divBdr>
    </w:div>
    <w:div w:id="499202891">
      <w:bodyDiv w:val="1"/>
      <w:marLeft w:val="0"/>
      <w:marRight w:val="0"/>
      <w:marTop w:val="0"/>
      <w:marBottom w:val="0"/>
      <w:divBdr>
        <w:top w:val="none" w:sz="0" w:space="0" w:color="auto"/>
        <w:left w:val="none" w:sz="0" w:space="0" w:color="auto"/>
        <w:bottom w:val="none" w:sz="0" w:space="0" w:color="auto"/>
        <w:right w:val="none" w:sz="0" w:space="0" w:color="auto"/>
      </w:divBdr>
    </w:div>
    <w:div w:id="513301328">
      <w:bodyDiv w:val="1"/>
      <w:marLeft w:val="0"/>
      <w:marRight w:val="0"/>
      <w:marTop w:val="0"/>
      <w:marBottom w:val="0"/>
      <w:divBdr>
        <w:top w:val="none" w:sz="0" w:space="0" w:color="auto"/>
        <w:left w:val="none" w:sz="0" w:space="0" w:color="auto"/>
        <w:bottom w:val="none" w:sz="0" w:space="0" w:color="auto"/>
        <w:right w:val="none" w:sz="0" w:space="0" w:color="auto"/>
      </w:divBdr>
    </w:div>
    <w:div w:id="514930235">
      <w:bodyDiv w:val="1"/>
      <w:marLeft w:val="0"/>
      <w:marRight w:val="0"/>
      <w:marTop w:val="0"/>
      <w:marBottom w:val="0"/>
      <w:divBdr>
        <w:top w:val="none" w:sz="0" w:space="0" w:color="auto"/>
        <w:left w:val="none" w:sz="0" w:space="0" w:color="auto"/>
        <w:bottom w:val="none" w:sz="0" w:space="0" w:color="auto"/>
        <w:right w:val="none" w:sz="0" w:space="0" w:color="auto"/>
      </w:divBdr>
    </w:div>
    <w:div w:id="560794119">
      <w:bodyDiv w:val="1"/>
      <w:marLeft w:val="0"/>
      <w:marRight w:val="0"/>
      <w:marTop w:val="0"/>
      <w:marBottom w:val="0"/>
      <w:divBdr>
        <w:top w:val="none" w:sz="0" w:space="0" w:color="auto"/>
        <w:left w:val="none" w:sz="0" w:space="0" w:color="auto"/>
        <w:bottom w:val="none" w:sz="0" w:space="0" w:color="auto"/>
        <w:right w:val="none" w:sz="0" w:space="0" w:color="auto"/>
      </w:divBdr>
    </w:div>
    <w:div w:id="562446626">
      <w:bodyDiv w:val="1"/>
      <w:marLeft w:val="0"/>
      <w:marRight w:val="0"/>
      <w:marTop w:val="0"/>
      <w:marBottom w:val="0"/>
      <w:divBdr>
        <w:top w:val="none" w:sz="0" w:space="0" w:color="auto"/>
        <w:left w:val="none" w:sz="0" w:space="0" w:color="auto"/>
        <w:bottom w:val="none" w:sz="0" w:space="0" w:color="auto"/>
        <w:right w:val="none" w:sz="0" w:space="0" w:color="auto"/>
      </w:divBdr>
    </w:div>
    <w:div w:id="571088009">
      <w:bodyDiv w:val="1"/>
      <w:marLeft w:val="0"/>
      <w:marRight w:val="0"/>
      <w:marTop w:val="0"/>
      <w:marBottom w:val="0"/>
      <w:divBdr>
        <w:top w:val="none" w:sz="0" w:space="0" w:color="auto"/>
        <w:left w:val="none" w:sz="0" w:space="0" w:color="auto"/>
        <w:bottom w:val="none" w:sz="0" w:space="0" w:color="auto"/>
        <w:right w:val="none" w:sz="0" w:space="0" w:color="auto"/>
      </w:divBdr>
      <w:divsChild>
        <w:div w:id="130828745">
          <w:marLeft w:val="0"/>
          <w:marRight w:val="0"/>
          <w:marTop w:val="0"/>
          <w:marBottom w:val="0"/>
          <w:divBdr>
            <w:top w:val="none" w:sz="0" w:space="0" w:color="auto"/>
            <w:left w:val="none" w:sz="0" w:space="0" w:color="auto"/>
            <w:bottom w:val="none" w:sz="0" w:space="0" w:color="auto"/>
            <w:right w:val="none" w:sz="0" w:space="0" w:color="auto"/>
          </w:divBdr>
        </w:div>
        <w:div w:id="1373387891">
          <w:marLeft w:val="0"/>
          <w:marRight w:val="0"/>
          <w:marTop w:val="0"/>
          <w:marBottom w:val="0"/>
          <w:divBdr>
            <w:top w:val="none" w:sz="0" w:space="0" w:color="auto"/>
            <w:left w:val="none" w:sz="0" w:space="0" w:color="auto"/>
            <w:bottom w:val="none" w:sz="0" w:space="0" w:color="auto"/>
            <w:right w:val="none" w:sz="0" w:space="0" w:color="auto"/>
          </w:divBdr>
        </w:div>
      </w:divsChild>
    </w:div>
    <w:div w:id="648754096">
      <w:bodyDiv w:val="1"/>
      <w:marLeft w:val="0"/>
      <w:marRight w:val="0"/>
      <w:marTop w:val="0"/>
      <w:marBottom w:val="0"/>
      <w:divBdr>
        <w:top w:val="none" w:sz="0" w:space="0" w:color="auto"/>
        <w:left w:val="none" w:sz="0" w:space="0" w:color="auto"/>
        <w:bottom w:val="none" w:sz="0" w:space="0" w:color="auto"/>
        <w:right w:val="none" w:sz="0" w:space="0" w:color="auto"/>
      </w:divBdr>
    </w:div>
    <w:div w:id="682242155">
      <w:bodyDiv w:val="1"/>
      <w:marLeft w:val="0"/>
      <w:marRight w:val="0"/>
      <w:marTop w:val="0"/>
      <w:marBottom w:val="0"/>
      <w:divBdr>
        <w:top w:val="none" w:sz="0" w:space="0" w:color="auto"/>
        <w:left w:val="none" w:sz="0" w:space="0" w:color="auto"/>
        <w:bottom w:val="none" w:sz="0" w:space="0" w:color="auto"/>
        <w:right w:val="none" w:sz="0" w:space="0" w:color="auto"/>
      </w:divBdr>
    </w:div>
    <w:div w:id="692847271">
      <w:bodyDiv w:val="1"/>
      <w:marLeft w:val="0"/>
      <w:marRight w:val="0"/>
      <w:marTop w:val="0"/>
      <w:marBottom w:val="0"/>
      <w:divBdr>
        <w:top w:val="none" w:sz="0" w:space="0" w:color="auto"/>
        <w:left w:val="none" w:sz="0" w:space="0" w:color="auto"/>
        <w:bottom w:val="none" w:sz="0" w:space="0" w:color="auto"/>
        <w:right w:val="none" w:sz="0" w:space="0" w:color="auto"/>
      </w:divBdr>
      <w:divsChild>
        <w:div w:id="199055293">
          <w:marLeft w:val="0"/>
          <w:marRight w:val="0"/>
          <w:marTop w:val="0"/>
          <w:marBottom w:val="0"/>
          <w:divBdr>
            <w:top w:val="none" w:sz="0" w:space="0" w:color="auto"/>
            <w:left w:val="none" w:sz="0" w:space="0" w:color="auto"/>
            <w:bottom w:val="none" w:sz="0" w:space="0" w:color="auto"/>
            <w:right w:val="none" w:sz="0" w:space="0" w:color="auto"/>
          </w:divBdr>
          <w:divsChild>
            <w:div w:id="51656138">
              <w:marLeft w:val="0"/>
              <w:marRight w:val="0"/>
              <w:marTop w:val="0"/>
              <w:marBottom w:val="0"/>
              <w:divBdr>
                <w:top w:val="none" w:sz="0" w:space="0" w:color="auto"/>
                <w:left w:val="none" w:sz="0" w:space="0" w:color="auto"/>
                <w:bottom w:val="none" w:sz="0" w:space="0" w:color="auto"/>
                <w:right w:val="none" w:sz="0" w:space="0" w:color="auto"/>
              </w:divBdr>
              <w:divsChild>
                <w:div w:id="812215864">
                  <w:marLeft w:val="0"/>
                  <w:marRight w:val="0"/>
                  <w:marTop w:val="0"/>
                  <w:marBottom w:val="0"/>
                  <w:divBdr>
                    <w:top w:val="none" w:sz="0" w:space="0" w:color="auto"/>
                    <w:left w:val="none" w:sz="0" w:space="0" w:color="auto"/>
                    <w:bottom w:val="none" w:sz="0" w:space="0" w:color="auto"/>
                    <w:right w:val="none" w:sz="0" w:space="0" w:color="auto"/>
                  </w:divBdr>
                  <w:divsChild>
                    <w:div w:id="37763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677812">
      <w:bodyDiv w:val="1"/>
      <w:marLeft w:val="0"/>
      <w:marRight w:val="0"/>
      <w:marTop w:val="0"/>
      <w:marBottom w:val="0"/>
      <w:divBdr>
        <w:top w:val="none" w:sz="0" w:space="0" w:color="auto"/>
        <w:left w:val="none" w:sz="0" w:space="0" w:color="auto"/>
        <w:bottom w:val="none" w:sz="0" w:space="0" w:color="auto"/>
        <w:right w:val="none" w:sz="0" w:space="0" w:color="auto"/>
      </w:divBdr>
    </w:div>
    <w:div w:id="710033221">
      <w:bodyDiv w:val="1"/>
      <w:marLeft w:val="0"/>
      <w:marRight w:val="0"/>
      <w:marTop w:val="0"/>
      <w:marBottom w:val="0"/>
      <w:divBdr>
        <w:top w:val="none" w:sz="0" w:space="0" w:color="auto"/>
        <w:left w:val="none" w:sz="0" w:space="0" w:color="auto"/>
        <w:bottom w:val="none" w:sz="0" w:space="0" w:color="auto"/>
        <w:right w:val="none" w:sz="0" w:space="0" w:color="auto"/>
      </w:divBdr>
    </w:div>
    <w:div w:id="715158245">
      <w:bodyDiv w:val="1"/>
      <w:marLeft w:val="0"/>
      <w:marRight w:val="0"/>
      <w:marTop w:val="0"/>
      <w:marBottom w:val="0"/>
      <w:divBdr>
        <w:top w:val="none" w:sz="0" w:space="0" w:color="auto"/>
        <w:left w:val="none" w:sz="0" w:space="0" w:color="auto"/>
        <w:bottom w:val="none" w:sz="0" w:space="0" w:color="auto"/>
        <w:right w:val="none" w:sz="0" w:space="0" w:color="auto"/>
      </w:divBdr>
      <w:divsChild>
        <w:div w:id="228737984">
          <w:marLeft w:val="0"/>
          <w:marRight w:val="0"/>
          <w:marTop w:val="0"/>
          <w:marBottom w:val="0"/>
          <w:divBdr>
            <w:top w:val="none" w:sz="0" w:space="0" w:color="auto"/>
            <w:left w:val="none" w:sz="0" w:space="0" w:color="auto"/>
            <w:bottom w:val="none" w:sz="0" w:space="0" w:color="auto"/>
            <w:right w:val="none" w:sz="0" w:space="0" w:color="auto"/>
          </w:divBdr>
        </w:div>
        <w:div w:id="1403288051">
          <w:marLeft w:val="0"/>
          <w:marRight w:val="0"/>
          <w:marTop w:val="0"/>
          <w:marBottom w:val="0"/>
          <w:divBdr>
            <w:top w:val="none" w:sz="0" w:space="0" w:color="auto"/>
            <w:left w:val="none" w:sz="0" w:space="0" w:color="auto"/>
            <w:bottom w:val="none" w:sz="0" w:space="0" w:color="auto"/>
            <w:right w:val="none" w:sz="0" w:space="0" w:color="auto"/>
          </w:divBdr>
        </w:div>
        <w:div w:id="1959674161">
          <w:marLeft w:val="0"/>
          <w:marRight w:val="0"/>
          <w:marTop w:val="0"/>
          <w:marBottom w:val="0"/>
          <w:divBdr>
            <w:top w:val="none" w:sz="0" w:space="0" w:color="auto"/>
            <w:left w:val="none" w:sz="0" w:space="0" w:color="auto"/>
            <w:bottom w:val="none" w:sz="0" w:space="0" w:color="auto"/>
            <w:right w:val="none" w:sz="0" w:space="0" w:color="auto"/>
          </w:divBdr>
        </w:div>
        <w:div w:id="1987584152">
          <w:marLeft w:val="0"/>
          <w:marRight w:val="0"/>
          <w:marTop w:val="0"/>
          <w:marBottom w:val="0"/>
          <w:divBdr>
            <w:top w:val="none" w:sz="0" w:space="0" w:color="auto"/>
            <w:left w:val="none" w:sz="0" w:space="0" w:color="auto"/>
            <w:bottom w:val="none" w:sz="0" w:space="0" w:color="auto"/>
            <w:right w:val="none" w:sz="0" w:space="0" w:color="auto"/>
          </w:divBdr>
        </w:div>
        <w:div w:id="2111121690">
          <w:marLeft w:val="0"/>
          <w:marRight w:val="0"/>
          <w:marTop w:val="0"/>
          <w:marBottom w:val="0"/>
          <w:divBdr>
            <w:top w:val="none" w:sz="0" w:space="0" w:color="auto"/>
            <w:left w:val="none" w:sz="0" w:space="0" w:color="auto"/>
            <w:bottom w:val="none" w:sz="0" w:space="0" w:color="auto"/>
            <w:right w:val="none" w:sz="0" w:space="0" w:color="auto"/>
          </w:divBdr>
        </w:div>
      </w:divsChild>
    </w:div>
    <w:div w:id="717705917">
      <w:bodyDiv w:val="1"/>
      <w:marLeft w:val="0"/>
      <w:marRight w:val="0"/>
      <w:marTop w:val="0"/>
      <w:marBottom w:val="0"/>
      <w:divBdr>
        <w:top w:val="none" w:sz="0" w:space="0" w:color="auto"/>
        <w:left w:val="none" w:sz="0" w:space="0" w:color="auto"/>
        <w:bottom w:val="none" w:sz="0" w:space="0" w:color="auto"/>
        <w:right w:val="none" w:sz="0" w:space="0" w:color="auto"/>
      </w:divBdr>
    </w:div>
    <w:div w:id="730541303">
      <w:bodyDiv w:val="1"/>
      <w:marLeft w:val="0"/>
      <w:marRight w:val="0"/>
      <w:marTop w:val="0"/>
      <w:marBottom w:val="0"/>
      <w:divBdr>
        <w:top w:val="none" w:sz="0" w:space="0" w:color="auto"/>
        <w:left w:val="none" w:sz="0" w:space="0" w:color="auto"/>
        <w:bottom w:val="none" w:sz="0" w:space="0" w:color="auto"/>
        <w:right w:val="none" w:sz="0" w:space="0" w:color="auto"/>
      </w:divBdr>
      <w:divsChild>
        <w:div w:id="696154630">
          <w:marLeft w:val="0"/>
          <w:marRight w:val="0"/>
          <w:marTop w:val="0"/>
          <w:marBottom w:val="0"/>
          <w:divBdr>
            <w:top w:val="none" w:sz="0" w:space="0" w:color="auto"/>
            <w:left w:val="none" w:sz="0" w:space="0" w:color="auto"/>
            <w:bottom w:val="none" w:sz="0" w:space="0" w:color="auto"/>
            <w:right w:val="none" w:sz="0" w:space="0" w:color="auto"/>
          </w:divBdr>
        </w:div>
        <w:div w:id="1178695759">
          <w:marLeft w:val="0"/>
          <w:marRight w:val="0"/>
          <w:marTop w:val="0"/>
          <w:marBottom w:val="0"/>
          <w:divBdr>
            <w:top w:val="none" w:sz="0" w:space="0" w:color="auto"/>
            <w:left w:val="none" w:sz="0" w:space="0" w:color="auto"/>
            <w:bottom w:val="none" w:sz="0" w:space="0" w:color="auto"/>
            <w:right w:val="none" w:sz="0" w:space="0" w:color="auto"/>
          </w:divBdr>
        </w:div>
        <w:div w:id="1213032391">
          <w:marLeft w:val="0"/>
          <w:marRight w:val="0"/>
          <w:marTop w:val="0"/>
          <w:marBottom w:val="0"/>
          <w:divBdr>
            <w:top w:val="none" w:sz="0" w:space="0" w:color="auto"/>
            <w:left w:val="none" w:sz="0" w:space="0" w:color="auto"/>
            <w:bottom w:val="none" w:sz="0" w:space="0" w:color="auto"/>
            <w:right w:val="none" w:sz="0" w:space="0" w:color="auto"/>
          </w:divBdr>
        </w:div>
        <w:div w:id="1665165514">
          <w:marLeft w:val="0"/>
          <w:marRight w:val="0"/>
          <w:marTop w:val="0"/>
          <w:marBottom w:val="0"/>
          <w:divBdr>
            <w:top w:val="none" w:sz="0" w:space="0" w:color="auto"/>
            <w:left w:val="none" w:sz="0" w:space="0" w:color="auto"/>
            <w:bottom w:val="none" w:sz="0" w:space="0" w:color="auto"/>
            <w:right w:val="none" w:sz="0" w:space="0" w:color="auto"/>
          </w:divBdr>
        </w:div>
        <w:div w:id="1928734281">
          <w:marLeft w:val="0"/>
          <w:marRight w:val="0"/>
          <w:marTop w:val="0"/>
          <w:marBottom w:val="0"/>
          <w:divBdr>
            <w:top w:val="none" w:sz="0" w:space="0" w:color="auto"/>
            <w:left w:val="none" w:sz="0" w:space="0" w:color="auto"/>
            <w:bottom w:val="none" w:sz="0" w:space="0" w:color="auto"/>
            <w:right w:val="none" w:sz="0" w:space="0" w:color="auto"/>
          </w:divBdr>
        </w:div>
      </w:divsChild>
    </w:div>
    <w:div w:id="745886336">
      <w:bodyDiv w:val="1"/>
      <w:marLeft w:val="0"/>
      <w:marRight w:val="0"/>
      <w:marTop w:val="0"/>
      <w:marBottom w:val="0"/>
      <w:divBdr>
        <w:top w:val="none" w:sz="0" w:space="0" w:color="auto"/>
        <w:left w:val="none" w:sz="0" w:space="0" w:color="auto"/>
        <w:bottom w:val="none" w:sz="0" w:space="0" w:color="auto"/>
        <w:right w:val="none" w:sz="0" w:space="0" w:color="auto"/>
      </w:divBdr>
      <w:divsChild>
        <w:div w:id="1901669281">
          <w:marLeft w:val="0"/>
          <w:marRight w:val="0"/>
          <w:marTop w:val="0"/>
          <w:marBottom w:val="0"/>
          <w:divBdr>
            <w:top w:val="none" w:sz="0" w:space="0" w:color="auto"/>
            <w:left w:val="none" w:sz="0" w:space="0" w:color="auto"/>
            <w:bottom w:val="none" w:sz="0" w:space="0" w:color="auto"/>
            <w:right w:val="none" w:sz="0" w:space="0" w:color="auto"/>
          </w:divBdr>
          <w:divsChild>
            <w:div w:id="851722594">
              <w:marLeft w:val="0"/>
              <w:marRight w:val="0"/>
              <w:marTop w:val="0"/>
              <w:marBottom w:val="0"/>
              <w:divBdr>
                <w:top w:val="none" w:sz="0" w:space="0" w:color="auto"/>
                <w:left w:val="none" w:sz="0" w:space="0" w:color="auto"/>
                <w:bottom w:val="none" w:sz="0" w:space="0" w:color="auto"/>
                <w:right w:val="none" w:sz="0" w:space="0" w:color="auto"/>
              </w:divBdr>
              <w:divsChild>
                <w:div w:id="242302668">
                  <w:marLeft w:val="0"/>
                  <w:marRight w:val="0"/>
                  <w:marTop w:val="0"/>
                  <w:marBottom w:val="0"/>
                  <w:divBdr>
                    <w:top w:val="none" w:sz="0" w:space="0" w:color="auto"/>
                    <w:left w:val="none" w:sz="0" w:space="0" w:color="auto"/>
                    <w:bottom w:val="none" w:sz="0" w:space="0" w:color="auto"/>
                    <w:right w:val="none" w:sz="0" w:space="0" w:color="auto"/>
                  </w:divBdr>
                  <w:divsChild>
                    <w:div w:id="110153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506763">
      <w:bodyDiv w:val="1"/>
      <w:marLeft w:val="0"/>
      <w:marRight w:val="0"/>
      <w:marTop w:val="0"/>
      <w:marBottom w:val="0"/>
      <w:divBdr>
        <w:top w:val="none" w:sz="0" w:space="0" w:color="auto"/>
        <w:left w:val="none" w:sz="0" w:space="0" w:color="auto"/>
        <w:bottom w:val="none" w:sz="0" w:space="0" w:color="auto"/>
        <w:right w:val="none" w:sz="0" w:space="0" w:color="auto"/>
      </w:divBdr>
    </w:div>
    <w:div w:id="763258857">
      <w:bodyDiv w:val="1"/>
      <w:marLeft w:val="0"/>
      <w:marRight w:val="0"/>
      <w:marTop w:val="0"/>
      <w:marBottom w:val="0"/>
      <w:divBdr>
        <w:top w:val="none" w:sz="0" w:space="0" w:color="auto"/>
        <w:left w:val="none" w:sz="0" w:space="0" w:color="auto"/>
        <w:bottom w:val="none" w:sz="0" w:space="0" w:color="auto"/>
        <w:right w:val="none" w:sz="0" w:space="0" w:color="auto"/>
      </w:divBdr>
    </w:div>
    <w:div w:id="852577138">
      <w:bodyDiv w:val="1"/>
      <w:marLeft w:val="0"/>
      <w:marRight w:val="0"/>
      <w:marTop w:val="0"/>
      <w:marBottom w:val="0"/>
      <w:divBdr>
        <w:top w:val="none" w:sz="0" w:space="0" w:color="auto"/>
        <w:left w:val="none" w:sz="0" w:space="0" w:color="auto"/>
        <w:bottom w:val="none" w:sz="0" w:space="0" w:color="auto"/>
        <w:right w:val="none" w:sz="0" w:space="0" w:color="auto"/>
      </w:divBdr>
    </w:div>
    <w:div w:id="872155546">
      <w:bodyDiv w:val="1"/>
      <w:marLeft w:val="0"/>
      <w:marRight w:val="0"/>
      <w:marTop w:val="0"/>
      <w:marBottom w:val="0"/>
      <w:divBdr>
        <w:top w:val="none" w:sz="0" w:space="0" w:color="auto"/>
        <w:left w:val="none" w:sz="0" w:space="0" w:color="auto"/>
        <w:bottom w:val="none" w:sz="0" w:space="0" w:color="auto"/>
        <w:right w:val="none" w:sz="0" w:space="0" w:color="auto"/>
      </w:divBdr>
    </w:div>
    <w:div w:id="886142460">
      <w:bodyDiv w:val="1"/>
      <w:marLeft w:val="0"/>
      <w:marRight w:val="0"/>
      <w:marTop w:val="0"/>
      <w:marBottom w:val="0"/>
      <w:divBdr>
        <w:top w:val="none" w:sz="0" w:space="0" w:color="auto"/>
        <w:left w:val="none" w:sz="0" w:space="0" w:color="auto"/>
        <w:bottom w:val="none" w:sz="0" w:space="0" w:color="auto"/>
        <w:right w:val="none" w:sz="0" w:space="0" w:color="auto"/>
      </w:divBdr>
    </w:div>
    <w:div w:id="915675840">
      <w:bodyDiv w:val="1"/>
      <w:marLeft w:val="0"/>
      <w:marRight w:val="0"/>
      <w:marTop w:val="0"/>
      <w:marBottom w:val="0"/>
      <w:divBdr>
        <w:top w:val="none" w:sz="0" w:space="0" w:color="auto"/>
        <w:left w:val="none" w:sz="0" w:space="0" w:color="auto"/>
        <w:bottom w:val="none" w:sz="0" w:space="0" w:color="auto"/>
        <w:right w:val="none" w:sz="0" w:space="0" w:color="auto"/>
      </w:divBdr>
    </w:div>
    <w:div w:id="939027635">
      <w:bodyDiv w:val="1"/>
      <w:marLeft w:val="0"/>
      <w:marRight w:val="0"/>
      <w:marTop w:val="0"/>
      <w:marBottom w:val="0"/>
      <w:divBdr>
        <w:top w:val="none" w:sz="0" w:space="0" w:color="auto"/>
        <w:left w:val="none" w:sz="0" w:space="0" w:color="auto"/>
        <w:bottom w:val="none" w:sz="0" w:space="0" w:color="auto"/>
        <w:right w:val="none" w:sz="0" w:space="0" w:color="auto"/>
      </w:divBdr>
    </w:div>
    <w:div w:id="946891672">
      <w:bodyDiv w:val="1"/>
      <w:marLeft w:val="0"/>
      <w:marRight w:val="0"/>
      <w:marTop w:val="0"/>
      <w:marBottom w:val="0"/>
      <w:divBdr>
        <w:top w:val="none" w:sz="0" w:space="0" w:color="auto"/>
        <w:left w:val="none" w:sz="0" w:space="0" w:color="auto"/>
        <w:bottom w:val="none" w:sz="0" w:space="0" w:color="auto"/>
        <w:right w:val="none" w:sz="0" w:space="0" w:color="auto"/>
      </w:divBdr>
    </w:div>
    <w:div w:id="970284948">
      <w:bodyDiv w:val="1"/>
      <w:marLeft w:val="0"/>
      <w:marRight w:val="0"/>
      <w:marTop w:val="0"/>
      <w:marBottom w:val="0"/>
      <w:divBdr>
        <w:top w:val="none" w:sz="0" w:space="0" w:color="auto"/>
        <w:left w:val="none" w:sz="0" w:space="0" w:color="auto"/>
        <w:bottom w:val="none" w:sz="0" w:space="0" w:color="auto"/>
        <w:right w:val="none" w:sz="0" w:space="0" w:color="auto"/>
      </w:divBdr>
    </w:div>
    <w:div w:id="980882947">
      <w:bodyDiv w:val="1"/>
      <w:marLeft w:val="0"/>
      <w:marRight w:val="0"/>
      <w:marTop w:val="0"/>
      <w:marBottom w:val="0"/>
      <w:divBdr>
        <w:top w:val="none" w:sz="0" w:space="0" w:color="auto"/>
        <w:left w:val="none" w:sz="0" w:space="0" w:color="auto"/>
        <w:bottom w:val="none" w:sz="0" w:space="0" w:color="auto"/>
        <w:right w:val="none" w:sz="0" w:space="0" w:color="auto"/>
      </w:divBdr>
      <w:divsChild>
        <w:div w:id="37584638">
          <w:marLeft w:val="0"/>
          <w:marRight w:val="0"/>
          <w:marTop w:val="0"/>
          <w:marBottom w:val="0"/>
          <w:divBdr>
            <w:top w:val="none" w:sz="0" w:space="0" w:color="auto"/>
            <w:left w:val="none" w:sz="0" w:space="0" w:color="auto"/>
            <w:bottom w:val="none" w:sz="0" w:space="0" w:color="auto"/>
            <w:right w:val="none" w:sz="0" w:space="0" w:color="auto"/>
          </w:divBdr>
        </w:div>
        <w:div w:id="58866079">
          <w:marLeft w:val="0"/>
          <w:marRight w:val="0"/>
          <w:marTop w:val="0"/>
          <w:marBottom w:val="0"/>
          <w:divBdr>
            <w:top w:val="none" w:sz="0" w:space="0" w:color="auto"/>
            <w:left w:val="none" w:sz="0" w:space="0" w:color="auto"/>
            <w:bottom w:val="none" w:sz="0" w:space="0" w:color="auto"/>
            <w:right w:val="none" w:sz="0" w:space="0" w:color="auto"/>
          </w:divBdr>
        </w:div>
        <w:div w:id="58944649">
          <w:marLeft w:val="0"/>
          <w:marRight w:val="0"/>
          <w:marTop w:val="0"/>
          <w:marBottom w:val="0"/>
          <w:divBdr>
            <w:top w:val="none" w:sz="0" w:space="0" w:color="auto"/>
            <w:left w:val="none" w:sz="0" w:space="0" w:color="auto"/>
            <w:bottom w:val="none" w:sz="0" w:space="0" w:color="auto"/>
            <w:right w:val="none" w:sz="0" w:space="0" w:color="auto"/>
          </w:divBdr>
        </w:div>
        <w:div w:id="66533311">
          <w:marLeft w:val="0"/>
          <w:marRight w:val="0"/>
          <w:marTop w:val="0"/>
          <w:marBottom w:val="0"/>
          <w:divBdr>
            <w:top w:val="none" w:sz="0" w:space="0" w:color="auto"/>
            <w:left w:val="none" w:sz="0" w:space="0" w:color="auto"/>
            <w:bottom w:val="none" w:sz="0" w:space="0" w:color="auto"/>
            <w:right w:val="none" w:sz="0" w:space="0" w:color="auto"/>
          </w:divBdr>
        </w:div>
        <w:div w:id="87432130">
          <w:marLeft w:val="0"/>
          <w:marRight w:val="0"/>
          <w:marTop w:val="0"/>
          <w:marBottom w:val="0"/>
          <w:divBdr>
            <w:top w:val="none" w:sz="0" w:space="0" w:color="auto"/>
            <w:left w:val="none" w:sz="0" w:space="0" w:color="auto"/>
            <w:bottom w:val="none" w:sz="0" w:space="0" w:color="auto"/>
            <w:right w:val="none" w:sz="0" w:space="0" w:color="auto"/>
          </w:divBdr>
        </w:div>
        <w:div w:id="102188143">
          <w:marLeft w:val="0"/>
          <w:marRight w:val="0"/>
          <w:marTop w:val="0"/>
          <w:marBottom w:val="0"/>
          <w:divBdr>
            <w:top w:val="none" w:sz="0" w:space="0" w:color="auto"/>
            <w:left w:val="none" w:sz="0" w:space="0" w:color="auto"/>
            <w:bottom w:val="none" w:sz="0" w:space="0" w:color="auto"/>
            <w:right w:val="none" w:sz="0" w:space="0" w:color="auto"/>
          </w:divBdr>
        </w:div>
        <w:div w:id="104737373">
          <w:marLeft w:val="0"/>
          <w:marRight w:val="0"/>
          <w:marTop w:val="0"/>
          <w:marBottom w:val="0"/>
          <w:divBdr>
            <w:top w:val="none" w:sz="0" w:space="0" w:color="auto"/>
            <w:left w:val="none" w:sz="0" w:space="0" w:color="auto"/>
            <w:bottom w:val="none" w:sz="0" w:space="0" w:color="auto"/>
            <w:right w:val="none" w:sz="0" w:space="0" w:color="auto"/>
          </w:divBdr>
        </w:div>
        <w:div w:id="106506593">
          <w:marLeft w:val="0"/>
          <w:marRight w:val="0"/>
          <w:marTop w:val="0"/>
          <w:marBottom w:val="0"/>
          <w:divBdr>
            <w:top w:val="none" w:sz="0" w:space="0" w:color="auto"/>
            <w:left w:val="none" w:sz="0" w:space="0" w:color="auto"/>
            <w:bottom w:val="none" w:sz="0" w:space="0" w:color="auto"/>
            <w:right w:val="none" w:sz="0" w:space="0" w:color="auto"/>
          </w:divBdr>
        </w:div>
        <w:div w:id="160392489">
          <w:marLeft w:val="0"/>
          <w:marRight w:val="0"/>
          <w:marTop w:val="0"/>
          <w:marBottom w:val="0"/>
          <w:divBdr>
            <w:top w:val="none" w:sz="0" w:space="0" w:color="auto"/>
            <w:left w:val="none" w:sz="0" w:space="0" w:color="auto"/>
            <w:bottom w:val="none" w:sz="0" w:space="0" w:color="auto"/>
            <w:right w:val="none" w:sz="0" w:space="0" w:color="auto"/>
          </w:divBdr>
        </w:div>
        <w:div w:id="196429270">
          <w:marLeft w:val="0"/>
          <w:marRight w:val="0"/>
          <w:marTop w:val="0"/>
          <w:marBottom w:val="0"/>
          <w:divBdr>
            <w:top w:val="none" w:sz="0" w:space="0" w:color="auto"/>
            <w:left w:val="none" w:sz="0" w:space="0" w:color="auto"/>
            <w:bottom w:val="none" w:sz="0" w:space="0" w:color="auto"/>
            <w:right w:val="none" w:sz="0" w:space="0" w:color="auto"/>
          </w:divBdr>
        </w:div>
        <w:div w:id="249586131">
          <w:marLeft w:val="0"/>
          <w:marRight w:val="0"/>
          <w:marTop w:val="0"/>
          <w:marBottom w:val="0"/>
          <w:divBdr>
            <w:top w:val="none" w:sz="0" w:space="0" w:color="auto"/>
            <w:left w:val="none" w:sz="0" w:space="0" w:color="auto"/>
            <w:bottom w:val="none" w:sz="0" w:space="0" w:color="auto"/>
            <w:right w:val="none" w:sz="0" w:space="0" w:color="auto"/>
          </w:divBdr>
        </w:div>
        <w:div w:id="253130181">
          <w:marLeft w:val="0"/>
          <w:marRight w:val="0"/>
          <w:marTop w:val="0"/>
          <w:marBottom w:val="0"/>
          <w:divBdr>
            <w:top w:val="none" w:sz="0" w:space="0" w:color="auto"/>
            <w:left w:val="none" w:sz="0" w:space="0" w:color="auto"/>
            <w:bottom w:val="none" w:sz="0" w:space="0" w:color="auto"/>
            <w:right w:val="none" w:sz="0" w:space="0" w:color="auto"/>
          </w:divBdr>
        </w:div>
        <w:div w:id="256862674">
          <w:marLeft w:val="0"/>
          <w:marRight w:val="0"/>
          <w:marTop w:val="0"/>
          <w:marBottom w:val="0"/>
          <w:divBdr>
            <w:top w:val="none" w:sz="0" w:space="0" w:color="auto"/>
            <w:left w:val="none" w:sz="0" w:space="0" w:color="auto"/>
            <w:bottom w:val="none" w:sz="0" w:space="0" w:color="auto"/>
            <w:right w:val="none" w:sz="0" w:space="0" w:color="auto"/>
          </w:divBdr>
        </w:div>
        <w:div w:id="297074970">
          <w:marLeft w:val="0"/>
          <w:marRight w:val="0"/>
          <w:marTop w:val="0"/>
          <w:marBottom w:val="0"/>
          <w:divBdr>
            <w:top w:val="none" w:sz="0" w:space="0" w:color="auto"/>
            <w:left w:val="none" w:sz="0" w:space="0" w:color="auto"/>
            <w:bottom w:val="none" w:sz="0" w:space="0" w:color="auto"/>
            <w:right w:val="none" w:sz="0" w:space="0" w:color="auto"/>
          </w:divBdr>
        </w:div>
        <w:div w:id="297877811">
          <w:marLeft w:val="0"/>
          <w:marRight w:val="0"/>
          <w:marTop w:val="0"/>
          <w:marBottom w:val="0"/>
          <w:divBdr>
            <w:top w:val="none" w:sz="0" w:space="0" w:color="auto"/>
            <w:left w:val="none" w:sz="0" w:space="0" w:color="auto"/>
            <w:bottom w:val="none" w:sz="0" w:space="0" w:color="auto"/>
            <w:right w:val="none" w:sz="0" w:space="0" w:color="auto"/>
          </w:divBdr>
        </w:div>
        <w:div w:id="320817759">
          <w:marLeft w:val="0"/>
          <w:marRight w:val="0"/>
          <w:marTop w:val="0"/>
          <w:marBottom w:val="0"/>
          <w:divBdr>
            <w:top w:val="none" w:sz="0" w:space="0" w:color="auto"/>
            <w:left w:val="none" w:sz="0" w:space="0" w:color="auto"/>
            <w:bottom w:val="none" w:sz="0" w:space="0" w:color="auto"/>
            <w:right w:val="none" w:sz="0" w:space="0" w:color="auto"/>
          </w:divBdr>
        </w:div>
        <w:div w:id="362900264">
          <w:marLeft w:val="0"/>
          <w:marRight w:val="0"/>
          <w:marTop w:val="0"/>
          <w:marBottom w:val="0"/>
          <w:divBdr>
            <w:top w:val="none" w:sz="0" w:space="0" w:color="auto"/>
            <w:left w:val="none" w:sz="0" w:space="0" w:color="auto"/>
            <w:bottom w:val="none" w:sz="0" w:space="0" w:color="auto"/>
            <w:right w:val="none" w:sz="0" w:space="0" w:color="auto"/>
          </w:divBdr>
        </w:div>
        <w:div w:id="440495798">
          <w:marLeft w:val="0"/>
          <w:marRight w:val="0"/>
          <w:marTop w:val="0"/>
          <w:marBottom w:val="0"/>
          <w:divBdr>
            <w:top w:val="none" w:sz="0" w:space="0" w:color="auto"/>
            <w:left w:val="none" w:sz="0" w:space="0" w:color="auto"/>
            <w:bottom w:val="none" w:sz="0" w:space="0" w:color="auto"/>
            <w:right w:val="none" w:sz="0" w:space="0" w:color="auto"/>
          </w:divBdr>
        </w:div>
        <w:div w:id="451289510">
          <w:marLeft w:val="0"/>
          <w:marRight w:val="0"/>
          <w:marTop w:val="0"/>
          <w:marBottom w:val="0"/>
          <w:divBdr>
            <w:top w:val="none" w:sz="0" w:space="0" w:color="auto"/>
            <w:left w:val="none" w:sz="0" w:space="0" w:color="auto"/>
            <w:bottom w:val="none" w:sz="0" w:space="0" w:color="auto"/>
            <w:right w:val="none" w:sz="0" w:space="0" w:color="auto"/>
          </w:divBdr>
        </w:div>
        <w:div w:id="498156046">
          <w:marLeft w:val="0"/>
          <w:marRight w:val="0"/>
          <w:marTop w:val="0"/>
          <w:marBottom w:val="0"/>
          <w:divBdr>
            <w:top w:val="none" w:sz="0" w:space="0" w:color="auto"/>
            <w:left w:val="none" w:sz="0" w:space="0" w:color="auto"/>
            <w:bottom w:val="none" w:sz="0" w:space="0" w:color="auto"/>
            <w:right w:val="none" w:sz="0" w:space="0" w:color="auto"/>
          </w:divBdr>
        </w:div>
        <w:div w:id="558521657">
          <w:marLeft w:val="0"/>
          <w:marRight w:val="0"/>
          <w:marTop w:val="0"/>
          <w:marBottom w:val="0"/>
          <w:divBdr>
            <w:top w:val="none" w:sz="0" w:space="0" w:color="auto"/>
            <w:left w:val="none" w:sz="0" w:space="0" w:color="auto"/>
            <w:bottom w:val="none" w:sz="0" w:space="0" w:color="auto"/>
            <w:right w:val="none" w:sz="0" w:space="0" w:color="auto"/>
          </w:divBdr>
        </w:div>
        <w:div w:id="568882424">
          <w:marLeft w:val="0"/>
          <w:marRight w:val="0"/>
          <w:marTop w:val="0"/>
          <w:marBottom w:val="0"/>
          <w:divBdr>
            <w:top w:val="none" w:sz="0" w:space="0" w:color="auto"/>
            <w:left w:val="none" w:sz="0" w:space="0" w:color="auto"/>
            <w:bottom w:val="none" w:sz="0" w:space="0" w:color="auto"/>
            <w:right w:val="none" w:sz="0" w:space="0" w:color="auto"/>
          </w:divBdr>
        </w:div>
        <w:div w:id="594557783">
          <w:marLeft w:val="0"/>
          <w:marRight w:val="0"/>
          <w:marTop w:val="0"/>
          <w:marBottom w:val="0"/>
          <w:divBdr>
            <w:top w:val="none" w:sz="0" w:space="0" w:color="auto"/>
            <w:left w:val="none" w:sz="0" w:space="0" w:color="auto"/>
            <w:bottom w:val="none" w:sz="0" w:space="0" w:color="auto"/>
            <w:right w:val="none" w:sz="0" w:space="0" w:color="auto"/>
          </w:divBdr>
        </w:div>
        <w:div w:id="600458921">
          <w:marLeft w:val="0"/>
          <w:marRight w:val="0"/>
          <w:marTop w:val="0"/>
          <w:marBottom w:val="0"/>
          <w:divBdr>
            <w:top w:val="none" w:sz="0" w:space="0" w:color="auto"/>
            <w:left w:val="none" w:sz="0" w:space="0" w:color="auto"/>
            <w:bottom w:val="none" w:sz="0" w:space="0" w:color="auto"/>
            <w:right w:val="none" w:sz="0" w:space="0" w:color="auto"/>
          </w:divBdr>
        </w:div>
        <w:div w:id="605962696">
          <w:marLeft w:val="0"/>
          <w:marRight w:val="0"/>
          <w:marTop w:val="0"/>
          <w:marBottom w:val="0"/>
          <w:divBdr>
            <w:top w:val="none" w:sz="0" w:space="0" w:color="auto"/>
            <w:left w:val="none" w:sz="0" w:space="0" w:color="auto"/>
            <w:bottom w:val="none" w:sz="0" w:space="0" w:color="auto"/>
            <w:right w:val="none" w:sz="0" w:space="0" w:color="auto"/>
          </w:divBdr>
        </w:div>
        <w:div w:id="608126628">
          <w:marLeft w:val="0"/>
          <w:marRight w:val="0"/>
          <w:marTop w:val="0"/>
          <w:marBottom w:val="0"/>
          <w:divBdr>
            <w:top w:val="none" w:sz="0" w:space="0" w:color="auto"/>
            <w:left w:val="none" w:sz="0" w:space="0" w:color="auto"/>
            <w:bottom w:val="none" w:sz="0" w:space="0" w:color="auto"/>
            <w:right w:val="none" w:sz="0" w:space="0" w:color="auto"/>
          </w:divBdr>
        </w:div>
        <w:div w:id="616251741">
          <w:marLeft w:val="0"/>
          <w:marRight w:val="0"/>
          <w:marTop w:val="0"/>
          <w:marBottom w:val="0"/>
          <w:divBdr>
            <w:top w:val="none" w:sz="0" w:space="0" w:color="auto"/>
            <w:left w:val="none" w:sz="0" w:space="0" w:color="auto"/>
            <w:bottom w:val="none" w:sz="0" w:space="0" w:color="auto"/>
            <w:right w:val="none" w:sz="0" w:space="0" w:color="auto"/>
          </w:divBdr>
        </w:div>
        <w:div w:id="696850479">
          <w:marLeft w:val="0"/>
          <w:marRight w:val="0"/>
          <w:marTop w:val="0"/>
          <w:marBottom w:val="0"/>
          <w:divBdr>
            <w:top w:val="none" w:sz="0" w:space="0" w:color="auto"/>
            <w:left w:val="none" w:sz="0" w:space="0" w:color="auto"/>
            <w:bottom w:val="none" w:sz="0" w:space="0" w:color="auto"/>
            <w:right w:val="none" w:sz="0" w:space="0" w:color="auto"/>
          </w:divBdr>
        </w:div>
        <w:div w:id="777406257">
          <w:marLeft w:val="0"/>
          <w:marRight w:val="0"/>
          <w:marTop w:val="0"/>
          <w:marBottom w:val="0"/>
          <w:divBdr>
            <w:top w:val="none" w:sz="0" w:space="0" w:color="auto"/>
            <w:left w:val="none" w:sz="0" w:space="0" w:color="auto"/>
            <w:bottom w:val="none" w:sz="0" w:space="0" w:color="auto"/>
            <w:right w:val="none" w:sz="0" w:space="0" w:color="auto"/>
          </w:divBdr>
        </w:div>
        <w:div w:id="810633237">
          <w:marLeft w:val="0"/>
          <w:marRight w:val="0"/>
          <w:marTop w:val="0"/>
          <w:marBottom w:val="0"/>
          <w:divBdr>
            <w:top w:val="none" w:sz="0" w:space="0" w:color="auto"/>
            <w:left w:val="none" w:sz="0" w:space="0" w:color="auto"/>
            <w:bottom w:val="none" w:sz="0" w:space="0" w:color="auto"/>
            <w:right w:val="none" w:sz="0" w:space="0" w:color="auto"/>
          </w:divBdr>
        </w:div>
        <w:div w:id="834804765">
          <w:marLeft w:val="0"/>
          <w:marRight w:val="0"/>
          <w:marTop w:val="0"/>
          <w:marBottom w:val="0"/>
          <w:divBdr>
            <w:top w:val="none" w:sz="0" w:space="0" w:color="auto"/>
            <w:left w:val="none" w:sz="0" w:space="0" w:color="auto"/>
            <w:bottom w:val="none" w:sz="0" w:space="0" w:color="auto"/>
            <w:right w:val="none" w:sz="0" w:space="0" w:color="auto"/>
          </w:divBdr>
        </w:div>
        <w:div w:id="994139770">
          <w:marLeft w:val="0"/>
          <w:marRight w:val="0"/>
          <w:marTop w:val="0"/>
          <w:marBottom w:val="0"/>
          <w:divBdr>
            <w:top w:val="none" w:sz="0" w:space="0" w:color="auto"/>
            <w:left w:val="none" w:sz="0" w:space="0" w:color="auto"/>
            <w:bottom w:val="none" w:sz="0" w:space="0" w:color="auto"/>
            <w:right w:val="none" w:sz="0" w:space="0" w:color="auto"/>
          </w:divBdr>
        </w:div>
        <w:div w:id="1077171945">
          <w:marLeft w:val="0"/>
          <w:marRight w:val="0"/>
          <w:marTop w:val="0"/>
          <w:marBottom w:val="0"/>
          <w:divBdr>
            <w:top w:val="none" w:sz="0" w:space="0" w:color="auto"/>
            <w:left w:val="none" w:sz="0" w:space="0" w:color="auto"/>
            <w:bottom w:val="none" w:sz="0" w:space="0" w:color="auto"/>
            <w:right w:val="none" w:sz="0" w:space="0" w:color="auto"/>
          </w:divBdr>
        </w:div>
        <w:div w:id="1094781420">
          <w:marLeft w:val="0"/>
          <w:marRight w:val="0"/>
          <w:marTop w:val="0"/>
          <w:marBottom w:val="0"/>
          <w:divBdr>
            <w:top w:val="none" w:sz="0" w:space="0" w:color="auto"/>
            <w:left w:val="none" w:sz="0" w:space="0" w:color="auto"/>
            <w:bottom w:val="none" w:sz="0" w:space="0" w:color="auto"/>
            <w:right w:val="none" w:sz="0" w:space="0" w:color="auto"/>
          </w:divBdr>
        </w:div>
        <w:div w:id="1144468220">
          <w:marLeft w:val="0"/>
          <w:marRight w:val="0"/>
          <w:marTop w:val="0"/>
          <w:marBottom w:val="0"/>
          <w:divBdr>
            <w:top w:val="none" w:sz="0" w:space="0" w:color="auto"/>
            <w:left w:val="none" w:sz="0" w:space="0" w:color="auto"/>
            <w:bottom w:val="none" w:sz="0" w:space="0" w:color="auto"/>
            <w:right w:val="none" w:sz="0" w:space="0" w:color="auto"/>
          </w:divBdr>
        </w:div>
        <w:div w:id="1165823854">
          <w:marLeft w:val="0"/>
          <w:marRight w:val="0"/>
          <w:marTop w:val="0"/>
          <w:marBottom w:val="0"/>
          <w:divBdr>
            <w:top w:val="none" w:sz="0" w:space="0" w:color="auto"/>
            <w:left w:val="none" w:sz="0" w:space="0" w:color="auto"/>
            <w:bottom w:val="none" w:sz="0" w:space="0" w:color="auto"/>
            <w:right w:val="none" w:sz="0" w:space="0" w:color="auto"/>
          </w:divBdr>
        </w:div>
        <w:div w:id="1220870877">
          <w:marLeft w:val="0"/>
          <w:marRight w:val="0"/>
          <w:marTop w:val="0"/>
          <w:marBottom w:val="0"/>
          <w:divBdr>
            <w:top w:val="none" w:sz="0" w:space="0" w:color="auto"/>
            <w:left w:val="none" w:sz="0" w:space="0" w:color="auto"/>
            <w:bottom w:val="none" w:sz="0" w:space="0" w:color="auto"/>
            <w:right w:val="none" w:sz="0" w:space="0" w:color="auto"/>
          </w:divBdr>
        </w:div>
        <w:div w:id="1368679566">
          <w:marLeft w:val="0"/>
          <w:marRight w:val="0"/>
          <w:marTop w:val="0"/>
          <w:marBottom w:val="0"/>
          <w:divBdr>
            <w:top w:val="none" w:sz="0" w:space="0" w:color="auto"/>
            <w:left w:val="none" w:sz="0" w:space="0" w:color="auto"/>
            <w:bottom w:val="none" w:sz="0" w:space="0" w:color="auto"/>
            <w:right w:val="none" w:sz="0" w:space="0" w:color="auto"/>
          </w:divBdr>
        </w:div>
        <w:div w:id="1396585927">
          <w:marLeft w:val="0"/>
          <w:marRight w:val="0"/>
          <w:marTop w:val="0"/>
          <w:marBottom w:val="0"/>
          <w:divBdr>
            <w:top w:val="none" w:sz="0" w:space="0" w:color="auto"/>
            <w:left w:val="none" w:sz="0" w:space="0" w:color="auto"/>
            <w:bottom w:val="none" w:sz="0" w:space="0" w:color="auto"/>
            <w:right w:val="none" w:sz="0" w:space="0" w:color="auto"/>
          </w:divBdr>
        </w:div>
        <w:div w:id="1416824386">
          <w:marLeft w:val="0"/>
          <w:marRight w:val="0"/>
          <w:marTop w:val="0"/>
          <w:marBottom w:val="0"/>
          <w:divBdr>
            <w:top w:val="none" w:sz="0" w:space="0" w:color="auto"/>
            <w:left w:val="none" w:sz="0" w:space="0" w:color="auto"/>
            <w:bottom w:val="none" w:sz="0" w:space="0" w:color="auto"/>
            <w:right w:val="none" w:sz="0" w:space="0" w:color="auto"/>
          </w:divBdr>
        </w:div>
        <w:div w:id="1467161795">
          <w:marLeft w:val="0"/>
          <w:marRight w:val="0"/>
          <w:marTop w:val="0"/>
          <w:marBottom w:val="0"/>
          <w:divBdr>
            <w:top w:val="none" w:sz="0" w:space="0" w:color="auto"/>
            <w:left w:val="none" w:sz="0" w:space="0" w:color="auto"/>
            <w:bottom w:val="none" w:sz="0" w:space="0" w:color="auto"/>
            <w:right w:val="none" w:sz="0" w:space="0" w:color="auto"/>
          </w:divBdr>
        </w:div>
        <w:div w:id="1653866916">
          <w:marLeft w:val="0"/>
          <w:marRight w:val="0"/>
          <w:marTop w:val="0"/>
          <w:marBottom w:val="0"/>
          <w:divBdr>
            <w:top w:val="none" w:sz="0" w:space="0" w:color="auto"/>
            <w:left w:val="none" w:sz="0" w:space="0" w:color="auto"/>
            <w:bottom w:val="none" w:sz="0" w:space="0" w:color="auto"/>
            <w:right w:val="none" w:sz="0" w:space="0" w:color="auto"/>
          </w:divBdr>
        </w:div>
        <w:div w:id="1679772921">
          <w:marLeft w:val="0"/>
          <w:marRight w:val="0"/>
          <w:marTop w:val="0"/>
          <w:marBottom w:val="0"/>
          <w:divBdr>
            <w:top w:val="none" w:sz="0" w:space="0" w:color="auto"/>
            <w:left w:val="none" w:sz="0" w:space="0" w:color="auto"/>
            <w:bottom w:val="none" w:sz="0" w:space="0" w:color="auto"/>
            <w:right w:val="none" w:sz="0" w:space="0" w:color="auto"/>
          </w:divBdr>
        </w:div>
        <w:div w:id="1708751099">
          <w:marLeft w:val="0"/>
          <w:marRight w:val="0"/>
          <w:marTop w:val="0"/>
          <w:marBottom w:val="0"/>
          <w:divBdr>
            <w:top w:val="none" w:sz="0" w:space="0" w:color="auto"/>
            <w:left w:val="none" w:sz="0" w:space="0" w:color="auto"/>
            <w:bottom w:val="none" w:sz="0" w:space="0" w:color="auto"/>
            <w:right w:val="none" w:sz="0" w:space="0" w:color="auto"/>
          </w:divBdr>
        </w:div>
        <w:div w:id="1739596880">
          <w:marLeft w:val="0"/>
          <w:marRight w:val="0"/>
          <w:marTop w:val="0"/>
          <w:marBottom w:val="0"/>
          <w:divBdr>
            <w:top w:val="none" w:sz="0" w:space="0" w:color="auto"/>
            <w:left w:val="none" w:sz="0" w:space="0" w:color="auto"/>
            <w:bottom w:val="none" w:sz="0" w:space="0" w:color="auto"/>
            <w:right w:val="none" w:sz="0" w:space="0" w:color="auto"/>
          </w:divBdr>
        </w:div>
        <w:div w:id="1800563644">
          <w:marLeft w:val="0"/>
          <w:marRight w:val="0"/>
          <w:marTop w:val="0"/>
          <w:marBottom w:val="0"/>
          <w:divBdr>
            <w:top w:val="none" w:sz="0" w:space="0" w:color="auto"/>
            <w:left w:val="none" w:sz="0" w:space="0" w:color="auto"/>
            <w:bottom w:val="none" w:sz="0" w:space="0" w:color="auto"/>
            <w:right w:val="none" w:sz="0" w:space="0" w:color="auto"/>
          </w:divBdr>
        </w:div>
        <w:div w:id="1835535988">
          <w:marLeft w:val="0"/>
          <w:marRight w:val="0"/>
          <w:marTop w:val="0"/>
          <w:marBottom w:val="0"/>
          <w:divBdr>
            <w:top w:val="none" w:sz="0" w:space="0" w:color="auto"/>
            <w:left w:val="none" w:sz="0" w:space="0" w:color="auto"/>
            <w:bottom w:val="none" w:sz="0" w:space="0" w:color="auto"/>
            <w:right w:val="none" w:sz="0" w:space="0" w:color="auto"/>
          </w:divBdr>
        </w:div>
        <w:div w:id="1895197909">
          <w:marLeft w:val="0"/>
          <w:marRight w:val="0"/>
          <w:marTop w:val="0"/>
          <w:marBottom w:val="0"/>
          <w:divBdr>
            <w:top w:val="none" w:sz="0" w:space="0" w:color="auto"/>
            <w:left w:val="none" w:sz="0" w:space="0" w:color="auto"/>
            <w:bottom w:val="none" w:sz="0" w:space="0" w:color="auto"/>
            <w:right w:val="none" w:sz="0" w:space="0" w:color="auto"/>
          </w:divBdr>
        </w:div>
        <w:div w:id="1907568471">
          <w:marLeft w:val="0"/>
          <w:marRight w:val="0"/>
          <w:marTop w:val="0"/>
          <w:marBottom w:val="0"/>
          <w:divBdr>
            <w:top w:val="none" w:sz="0" w:space="0" w:color="auto"/>
            <w:left w:val="none" w:sz="0" w:space="0" w:color="auto"/>
            <w:bottom w:val="none" w:sz="0" w:space="0" w:color="auto"/>
            <w:right w:val="none" w:sz="0" w:space="0" w:color="auto"/>
          </w:divBdr>
        </w:div>
        <w:div w:id="1924027171">
          <w:marLeft w:val="0"/>
          <w:marRight w:val="0"/>
          <w:marTop w:val="0"/>
          <w:marBottom w:val="0"/>
          <w:divBdr>
            <w:top w:val="none" w:sz="0" w:space="0" w:color="auto"/>
            <w:left w:val="none" w:sz="0" w:space="0" w:color="auto"/>
            <w:bottom w:val="none" w:sz="0" w:space="0" w:color="auto"/>
            <w:right w:val="none" w:sz="0" w:space="0" w:color="auto"/>
          </w:divBdr>
        </w:div>
        <w:div w:id="1942880921">
          <w:marLeft w:val="0"/>
          <w:marRight w:val="0"/>
          <w:marTop w:val="0"/>
          <w:marBottom w:val="0"/>
          <w:divBdr>
            <w:top w:val="none" w:sz="0" w:space="0" w:color="auto"/>
            <w:left w:val="none" w:sz="0" w:space="0" w:color="auto"/>
            <w:bottom w:val="none" w:sz="0" w:space="0" w:color="auto"/>
            <w:right w:val="none" w:sz="0" w:space="0" w:color="auto"/>
          </w:divBdr>
        </w:div>
        <w:div w:id="2008510065">
          <w:marLeft w:val="0"/>
          <w:marRight w:val="0"/>
          <w:marTop w:val="0"/>
          <w:marBottom w:val="0"/>
          <w:divBdr>
            <w:top w:val="none" w:sz="0" w:space="0" w:color="auto"/>
            <w:left w:val="none" w:sz="0" w:space="0" w:color="auto"/>
            <w:bottom w:val="none" w:sz="0" w:space="0" w:color="auto"/>
            <w:right w:val="none" w:sz="0" w:space="0" w:color="auto"/>
          </w:divBdr>
        </w:div>
        <w:div w:id="2008749298">
          <w:marLeft w:val="0"/>
          <w:marRight w:val="0"/>
          <w:marTop w:val="0"/>
          <w:marBottom w:val="0"/>
          <w:divBdr>
            <w:top w:val="none" w:sz="0" w:space="0" w:color="auto"/>
            <w:left w:val="none" w:sz="0" w:space="0" w:color="auto"/>
            <w:bottom w:val="none" w:sz="0" w:space="0" w:color="auto"/>
            <w:right w:val="none" w:sz="0" w:space="0" w:color="auto"/>
          </w:divBdr>
        </w:div>
        <w:div w:id="2075079943">
          <w:marLeft w:val="0"/>
          <w:marRight w:val="0"/>
          <w:marTop w:val="0"/>
          <w:marBottom w:val="0"/>
          <w:divBdr>
            <w:top w:val="none" w:sz="0" w:space="0" w:color="auto"/>
            <w:left w:val="none" w:sz="0" w:space="0" w:color="auto"/>
            <w:bottom w:val="none" w:sz="0" w:space="0" w:color="auto"/>
            <w:right w:val="none" w:sz="0" w:space="0" w:color="auto"/>
          </w:divBdr>
        </w:div>
        <w:div w:id="2091151964">
          <w:marLeft w:val="0"/>
          <w:marRight w:val="0"/>
          <w:marTop w:val="0"/>
          <w:marBottom w:val="0"/>
          <w:divBdr>
            <w:top w:val="none" w:sz="0" w:space="0" w:color="auto"/>
            <w:left w:val="none" w:sz="0" w:space="0" w:color="auto"/>
            <w:bottom w:val="none" w:sz="0" w:space="0" w:color="auto"/>
            <w:right w:val="none" w:sz="0" w:space="0" w:color="auto"/>
          </w:divBdr>
        </w:div>
        <w:div w:id="2146503314">
          <w:marLeft w:val="0"/>
          <w:marRight w:val="0"/>
          <w:marTop w:val="0"/>
          <w:marBottom w:val="0"/>
          <w:divBdr>
            <w:top w:val="none" w:sz="0" w:space="0" w:color="auto"/>
            <w:left w:val="none" w:sz="0" w:space="0" w:color="auto"/>
            <w:bottom w:val="none" w:sz="0" w:space="0" w:color="auto"/>
            <w:right w:val="none" w:sz="0" w:space="0" w:color="auto"/>
          </w:divBdr>
        </w:div>
      </w:divsChild>
    </w:div>
    <w:div w:id="984704139">
      <w:bodyDiv w:val="1"/>
      <w:marLeft w:val="0"/>
      <w:marRight w:val="0"/>
      <w:marTop w:val="0"/>
      <w:marBottom w:val="0"/>
      <w:divBdr>
        <w:top w:val="none" w:sz="0" w:space="0" w:color="auto"/>
        <w:left w:val="none" w:sz="0" w:space="0" w:color="auto"/>
        <w:bottom w:val="none" w:sz="0" w:space="0" w:color="auto"/>
        <w:right w:val="none" w:sz="0" w:space="0" w:color="auto"/>
      </w:divBdr>
      <w:divsChild>
        <w:div w:id="1095516193">
          <w:marLeft w:val="0"/>
          <w:marRight w:val="0"/>
          <w:marTop w:val="0"/>
          <w:marBottom w:val="0"/>
          <w:divBdr>
            <w:top w:val="none" w:sz="0" w:space="0" w:color="auto"/>
            <w:left w:val="none" w:sz="0" w:space="0" w:color="auto"/>
            <w:bottom w:val="none" w:sz="0" w:space="0" w:color="auto"/>
            <w:right w:val="none" w:sz="0" w:space="0" w:color="auto"/>
          </w:divBdr>
        </w:div>
        <w:div w:id="1120148801">
          <w:marLeft w:val="0"/>
          <w:marRight w:val="0"/>
          <w:marTop w:val="0"/>
          <w:marBottom w:val="0"/>
          <w:divBdr>
            <w:top w:val="none" w:sz="0" w:space="0" w:color="auto"/>
            <w:left w:val="none" w:sz="0" w:space="0" w:color="auto"/>
            <w:bottom w:val="none" w:sz="0" w:space="0" w:color="auto"/>
            <w:right w:val="none" w:sz="0" w:space="0" w:color="auto"/>
          </w:divBdr>
        </w:div>
        <w:div w:id="1343119198">
          <w:marLeft w:val="0"/>
          <w:marRight w:val="0"/>
          <w:marTop w:val="0"/>
          <w:marBottom w:val="0"/>
          <w:divBdr>
            <w:top w:val="none" w:sz="0" w:space="0" w:color="auto"/>
            <w:left w:val="none" w:sz="0" w:space="0" w:color="auto"/>
            <w:bottom w:val="none" w:sz="0" w:space="0" w:color="auto"/>
            <w:right w:val="none" w:sz="0" w:space="0" w:color="auto"/>
          </w:divBdr>
        </w:div>
        <w:div w:id="1781878479">
          <w:marLeft w:val="0"/>
          <w:marRight w:val="0"/>
          <w:marTop w:val="0"/>
          <w:marBottom w:val="0"/>
          <w:divBdr>
            <w:top w:val="none" w:sz="0" w:space="0" w:color="auto"/>
            <w:left w:val="none" w:sz="0" w:space="0" w:color="auto"/>
            <w:bottom w:val="none" w:sz="0" w:space="0" w:color="auto"/>
            <w:right w:val="none" w:sz="0" w:space="0" w:color="auto"/>
          </w:divBdr>
        </w:div>
        <w:div w:id="2037923766">
          <w:marLeft w:val="0"/>
          <w:marRight w:val="0"/>
          <w:marTop w:val="0"/>
          <w:marBottom w:val="0"/>
          <w:divBdr>
            <w:top w:val="none" w:sz="0" w:space="0" w:color="auto"/>
            <w:left w:val="none" w:sz="0" w:space="0" w:color="auto"/>
            <w:bottom w:val="none" w:sz="0" w:space="0" w:color="auto"/>
            <w:right w:val="none" w:sz="0" w:space="0" w:color="auto"/>
          </w:divBdr>
        </w:div>
      </w:divsChild>
    </w:div>
    <w:div w:id="996804543">
      <w:bodyDiv w:val="1"/>
      <w:marLeft w:val="0"/>
      <w:marRight w:val="0"/>
      <w:marTop w:val="0"/>
      <w:marBottom w:val="0"/>
      <w:divBdr>
        <w:top w:val="none" w:sz="0" w:space="0" w:color="auto"/>
        <w:left w:val="none" w:sz="0" w:space="0" w:color="auto"/>
        <w:bottom w:val="none" w:sz="0" w:space="0" w:color="auto"/>
        <w:right w:val="none" w:sz="0" w:space="0" w:color="auto"/>
      </w:divBdr>
    </w:div>
    <w:div w:id="998115184">
      <w:bodyDiv w:val="1"/>
      <w:marLeft w:val="0"/>
      <w:marRight w:val="0"/>
      <w:marTop w:val="0"/>
      <w:marBottom w:val="0"/>
      <w:divBdr>
        <w:top w:val="none" w:sz="0" w:space="0" w:color="auto"/>
        <w:left w:val="none" w:sz="0" w:space="0" w:color="auto"/>
        <w:bottom w:val="none" w:sz="0" w:space="0" w:color="auto"/>
        <w:right w:val="none" w:sz="0" w:space="0" w:color="auto"/>
      </w:divBdr>
    </w:div>
    <w:div w:id="1021081093">
      <w:bodyDiv w:val="1"/>
      <w:marLeft w:val="0"/>
      <w:marRight w:val="0"/>
      <w:marTop w:val="0"/>
      <w:marBottom w:val="0"/>
      <w:divBdr>
        <w:top w:val="none" w:sz="0" w:space="0" w:color="auto"/>
        <w:left w:val="none" w:sz="0" w:space="0" w:color="auto"/>
        <w:bottom w:val="none" w:sz="0" w:space="0" w:color="auto"/>
        <w:right w:val="none" w:sz="0" w:space="0" w:color="auto"/>
      </w:divBdr>
    </w:div>
    <w:div w:id="1025449187">
      <w:bodyDiv w:val="1"/>
      <w:marLeft w:val="0"/>
      <w:marRight w:val="0"/>
      <w:marTop w:val="0"/>
      <w:marBottom w:val="0"/>
      <w:divBdr>
        <w:top w:val="none" w:sz="0" w:space="0" w:color="auto"/>
        <w:left w:val="none" w:sz="0" w:space="0" w:color="auto"/>
        <w:bottom w:val="none" w:sz="0" w:space="0" w:color="auto"/>
        <w:right w:val="none" w:sz="0" w:space="0" w:color="auto"/>
      </w:divBdr>
    </w:div>
    <w:div w:id="1116750918">
      <w:bodyDiv w:val="1"/>
      <w:marLeft w:val="0"/>
      <w:marRight w:val="0"/>
      <w:marTop w:val="0"/>
      <w:marBottom w:val="0"/>
      <w:divBdr>
        <w:top w:val="none" w:sz="0" w:space="0" w:color="auto"/>
        <w:left w:val="none" w:sz="0" w:space="0" w:color="auto"/>
        <w:bottom w:val="none" w:sz="0" w:space="0" w:color="auto"/>
        <w:right w:val="none" w:sz="0" w:space="0" w:color="auto"/>
      </w:divBdr>
    </w:div>
    <w:div w:id="1130048143">
      <w:bodyDiv w:val="1"/>
      <w:marLeft w:val="0"/>
      <w:marRight w:val="0"/>
      <w:marTop w:val="0"/>
      <w:marBottom w:val="0"/>
      <w:divBdr>
        <w:top w:val="none" w:sz="0" w:space="0" w:color="auto"/>
        <w:left w:val="none" w:sz="0" w:space="0" w:color="auto"/>
        <w:bottom w:val="none" w:sz="0" w:space="0" w:color="auto"/>
        <w:right w:val="none" w:sz="0" w:space="0" w:color="auto"/>
      </w:divBdr>
      <w:divsChild>
        <w:div w:id="1425149065">
          <w:marLeft w:val="0"/>
          <w:marRight w:val="0"/>
          <w:marTop w:val="0"/>
          <w:marBottom w:val="0"/>
          <w:divBdr>
            <w:top w:val="none" w:sz="0" w:space="0" w:color="auto"/>
            <w:left w:val="none" w:sz="0" w:space="0" w:color="auto"/>
            <w:bottom w:val="none" w:sz="0" w:space="0" w:color="auto"/>
            <w:right w:val="none" w:sz="0" w:space="0" w:color="auto"/>
          </w:divBdr>
          <w:divsChild>
            <w:div w:id="1302078315">
              <w:marLeft w:val="0"/>
              <w:marRight w:val="0"/>
              <w:marTop w:val="0"/>
              <w:marBottom w:val="0"/>
              <w:divBdr>
                <w:top w:val="none" w:sz="0" w:space="0" w:color="auto"/>
                <w:left w:val="none" w:sz="0" w:space="0" w:color="auto"/>
                <w:bottom w:val="none" w:sz="0" w:space="0" w:color="auto"/>
                <w:right w:val="none" w:sz="0" w:space="0" w:color="auto"/>
              </w:divBdr>
              <w:divsChild>
                <w:div w:id="229539280">
                  <w:marLeft w:val="0"/>
                  <w:marRight w:val="0"/>
                  <w:marTop w:val="0"/>
                  <w:marBottom w:val="0"/>
                  <w:divBdr>
                    <w:top w:val="none" w:sz="0" w:space="0" w:color="auto"/>
                    <w:left w:val="none" w:sz="0" w:space="0" w:color="auto"/>
                    <w:bottom w:val="none" w:sz="0" w:space="0" w:color="auto"/>
                    <w:right w:val="none" w:sz="0" w:space="0" w:color="auto"/>
                  </w:divBdr>
                  <w:divsChild>
                    <w:div w:id="2096244239">
                      <w:marLeft w:val="0"/>
                      <w:marRight w:val="0"/>
                      <w:marTop w:val="0"/>
                      <w:marBottom w:val="0"/>
                      <w:divBdr>
                        <w:top w:val="none" w:sz="0" w:space="0" w:color="auto"/>
                        <w:left w:val="none" w:sz="0" w:space="0" w:color="auto"/>
                        <w:bottom w:val="none" w:sz="0" w:space="0" w:color="auto"/>
                        <w:right w:val="none" w:sz="0" w:space="0" w:color="auto"/>
                      </w:divBdr>
                      <w:divsChild>
                        <w:div w:id="497379152">
                          <w:marLeft w:val="0"/>
                          <w:marRight w:val="0"/>
                          <w:marTop w:val="0"/>
                          <w:marBottom w:val="0"/>
                          <w:divBdr>
                            <w:top w:val="none" w:sz="0" w:space="0" w:color="auto"/>
                            <w:left w:val="none" w:sz="0" w:space="0" w:color="auto"/>
                            <w:bottom w:val="none" w:sz="0" w:space="0" w:color="auto"/>
                            <w:right w:val="none" w:sz="0" w:space="0" w:color="auto"/>
                          </w:divBdr>
                        </w:div>
                        <w:div w:id="128785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350348">
      <w:bodyDiv w:val="1"/>
      <w:marLeft w:val="0"/>
      <w:marRight w:val="0"/>
      <w:marTop w:val="0"/>
      <w:marBottom w:val="0"/>
      <w:divBdr>
        <w:top w:val="none" w:sz="0" w:space="0" w:color="auto"/>
        <w:left w:val="none" w:sz="0" w:space="0" w:color="auto"/>
        <w:bottom w:val="none" w:sz="0" w:space="0" w:color="auto"/>
        <w:right w:val="none" w:sz="0" w:space="0" w:color="auto"/>
      </w:divBdr>
    </w:div>
    <w:div w:id="1180852344">
      <w:bodyDiv w:val="1"/>
      <w:marLeft w:val="0"/>
      <w:marRight w:val="0"/>
      <w:marTop w:val="0"/>
      <w:marBottom w:val="0"/>
      <w:divBdr>
        <w:top w:val="none" w:sz="0" w:space="0" w:color="auto"/>
        <w:left w:val="none" w:sz="0" w:space="0" w:color="auto"/>
        <w:bottom w:val="none" w:sz="0" w:space="0" w:color="auto"/>
        <w:right w:val="none" w:sz="0" w:space="0" w:color="auto"/>
      </w:divBdr>
    </w:div>
    <w:div w:id="1183282498">
      <w:bodyDiv w:val="1"/>
      <w:marLeft w:val="0"/>
      <w:marRight w:val="0"/>
      <w:marTop w:val="0"/>
      <w:marBottom w:val="0"/>
      <w:divBdr>
        <w:top w:val="none" w:sz="0" w:space="0" w:color="auto"/>
        <w:left w:val="none" w:sz="0" w:space="0" w:color="auto"/>
        <w:bottom w:val="none" w:sz="0" w:space="0" w:color="auto"/>
        <w:right w:val="none" w:sz="0" w:space="0" w:color="auto"/>
      </w:divBdr>
    </w:div>
    <w:div w:id="1184517461">
      <w:bodyDiv w:val="1"/>
      <w:marLeft w:val="0"/>
      <w:marRight w:val="0"/>
      <w:marTop w:val="0"/>
      <w:marBottom w:val="0"/>
      <w:divBdr>
        <w:top w:val="none" w:sz="0" w:space="0" w:color="auto"/>
        <w:left w:val="none" w:sz="0" w:space="0" w:color="auto"/>
        <w:bottom w:val="none" w:sz="0" w:space="0" w:color="auto"/>
        <w:right w:val="none" w:sz="0" w:space="0" w:color="auto"/>
      </w:divBdr>
      <w:divsChild>
        <w:div w:id="74719293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195465499">
      <w:bodyDiv w:val="1"/>
      <w:marLeft w:val="0"/>
      <w:marRight w:val="0"/>
      <w:marTop w:val="0"/>
      <w:marBottom w:val="0"/>
      <w:divBdr>
        <w:top w:val="none" w:sz="0" w:space="0" w:color="auto"/>
        <w:left w:val="none" w:sz="0" w:space="0" w:color="auto"/>
        <w:bottom w:val="none" w:sz="0" w:space="0" w:color="auto"/>
        <w:right w:val="none" w:sz="0" w:space="0" w:color="auto"/>
      </w:divBdr>
    </w:div>
    <w:div w:id="1196117580">
      <w:bodyDiv w:val="1"/>
      <w:marLeft w:val="0"/>
      <w:marRight w:val="0"/>
      <w:marTop w:val="0"/>
      <w:marBottom w:val="0"/>
      <w:divBdr>
        <w:top w:val="none" w:sz="0" w:space="0" w:color="auto"/>
        <w:left w:val="none" w:sz="0" w:space="0" w:color="auto"/>
        <w:bottom w:val="none" w:sz="0" w:space="0" w:color="auto"/>
        <w:right w:val="none" w:sz="0" w:space="0" w:color="auto"/>
      </w:divBdr>
      <w:divsChild>
        <w:div w:id="105085202">
          <w:marLeft w:val="0"/>
          <w:marRight w:val="0"/>
          <w:marTop w:val="0"/>
          <w:marBottom w:val="0"/>
          <w:divBdr>
            <w:top w:val="none" w:sz="0" w:space="0" w:color="auto"/>
            <w:left w:val="none" w:sz="0" w:space="0" w:color="auto"/>
            <w:bottom w:val="none" w:sz="0" w:space="0" w:color="auto"/>
            <w:right w:val="none" w:sz="0" w:space="0" w:color="auto"/>
          </w:divBdr>
        </w:div>
        <w:div w:id="1099564592">
          <w:marLeft w:val="0"/>
          <w:marRight w:val="0"/>
          <w:marTop w:val="0"/>
          <w:marBottom w:val="0"/>
          <w:divBdr>
            <w:top w:val="none" w:sz="0" w:space="0" w:color="auto"/>
            <w:left w:val="none" w:sz="0" w:space="0" w:color="auto"/>
            <w:bottom w:val="none" w:sz="0" w:space="0" w:color="auto"/>
            <w:right w:val="none" w:sz="0" w:space="0" w:color="auto"/>
          </w:divBdr>
        </w:div>
        <w:div w:id="1699353021">
          <w:marLeft w:val="0"/>
          <w:marRight w:val="0"/>
          <w:marTop w:val="0"/>
          <w:marBottom w:val="0"/>
          <w:divBdr>
            <w:top w:val="none" w:sz="0" w:space="0" w:color="auto"/>
            <w:left w:val="none" w:sz="0" w:space="0" w:color="auto"/>
            <w:bottom w:val="none" w:sz="0" w:space="0" w:color="auto"/>
            <w:right w:val="none" w:sz="0" w:space="0" w:color="auto"/>
          </w:divBdr>
        </w:div>
        <w:div w:id="1872188143">
          <w:marLeft w:val="0"/>
          <w:marRight w:val="0"/>
          <w:marTop w:val="0"/>
          <w:marBottom w:val="0"/>
          <w:divBdr>
            <w:top w:val="none" w:sz="0" w:space="0" w:color="auto"/>
            <w:left w:val="none" w:sz="0" w:space="0" w:color="auto"/>
            <w:bottom w:val="none" w:sz="0" w:space="0" w:color="auto"/>
            <w:right w:val="none" w:sz="0" w:space="0" w:color="auto"/>
          </w:divBdr>
        </w:div>
        <w:div w:id="2082091632">
          <w:marLeft w:val="0"/>
          <w:marRight w:val="0"/>
          <w:marTop w:val="0"/>
          <w:marBottom w:val="0"/>
          <w:divBdr>
            <w:top w:val="none" w:sz="0" w:space="0" w:color="auto"/>
            <w:left w:val="none" w:sz="0" w:space="0" w:color="auto"/>
            <w:bottom w:val="none" w:sz="0" w:space="0" w:color="auto"/>
            <w:right w:val="none" w:sz="0" w:space="0" w:color="auto"/>
          </w:divBdr>
        </w:div>
      </w:divsChild>
    </w:div>
    <w:div w:id="1227687940">
      <w:bodyDiv w:val="1"/>
      <w:marLeft w:val="0"/>
      <w:marRight w:val="0"/>
      <w:marTop w:val="0"/>
      <w:marBottom w:val="0"/>
      <w:divBdr>
        <w:top w:val="none" w:sz="0" w:space="0" w:color="auto"/>
        <w:left w:val="none" w:sz="0" w:space="0" w:color="auto"/>
        <w:bottom w:val="none" w:sz="0" w:space="0" w:color="auto"/>
        <w:right w:val="none" w:sz="0" w:space="0" w:color="auto"/>
      </w:divBdr>
    </w:div>
    <w:div w:id="1247806748">
      <w:bodyDiv w:val="1"/>
      <w:marLeft w:val="0"/>
      <w:marRight w:val="0"/>
      <w:marTop w:val="0"/>
      <w:marBottom w:val="0"/>
      <w:divBdr>
        <w:top w:val="none" w:sz="0" w:space="0" w:color="auto"/>
        <w:left w:val="none" w:sz="0" w:space="0" w:color="auto"/>
        <w:bottom w:val="none" w:sz="0" w:space="0" w:color="auto"/>
        <w:right w:val="none" w:sz="0" w:space="0" w:color="auto"/>
      </w:divBdr>
    </w:div>
    <w:div w:id="1275745987">
      <w:bodyDiv w:val="1"/>
      <w:marLeft w:val="0"/>
      <w:marRight w:val="0"/>
      <w:marTop w:val="0"/>
      <w:marBottom w:val="0"/>
      <w:divBdr>
        <w:top w:val="none" w:sz="0" w:space="0" w:color="auto"/>
        <w:left w:val="none" w:sz="0" w:space="0" w:color="auto"/>
        <w:bottom w:val="none" w:sz="0" w:space="0" w:color="auto"/>
        <w:right w:val="none" w:sz="0" w:space="0" w:color="auto"/>
      </w:divBdr>
    </w:div>
    <w:div w:id="1282687645">
      <w:bodyDiv w:val="1"/>
      <w:marLeft w:val="0"/>
      <w:marRight w:val="0"/>
      <w:marTop w:val="0"/>
      <w:marBottom w:val="0"/>
      <w:divBdr>
        <w:top w:val="none" w:sz="0" w:space="0" w:color="auto"/>
        <w:left w:val="none" w:sz="0" w:space="0" w:color="auto"/>
        <w:bottom w:val="none" w:sz="0" w:space="0" w:color="auto"/>
        <w:right w:val="none" w:sz="0" w:space="0" w:color="auto"/>
      </w:divBdr>
    </w:div>
    <w:div w:id="1291589475">
      <w:bodyDiv w:val="1"/>
      <w:marLeft w:val="0"/>
      <w:marRight w:val="0"/>
      <w:marTop w:val="0"/>
      <w:marBottom w:val="0"/>
      <w:divBdr>
        <w:top w:val="none" w:sz="0" w:space="0" w:color="auto"/>
        <w:left w:val="none" w:sz="0" w:space="0" w:color="auto"/>
        <w:bottom w:val="none" w:sz="0" w:space="0" w:color="auto"/>
        <w:right w:val="none" w:sz="0" w:space="0" w:color="auto"/>
      </w:divBdr>
    </w:div>
    <w:div w:id="1295598760">
      <w:bodyDiv w:val="1"/>
      <w:marLeft w:val="0"/>
      <w:marRight w:val="0"/>
      <w:marTop w:val="0"/>
      <w:marBottom w:val="0"/>
      <w:divBdr>
        <w:top w:val="none" w:sz="0" w:space="0" w:color="auto"/>
        <w:left w:val="none" w:sz="0" w:space="0" w:color="auto"/>
        <w:bottom w:val="none" w:sz="0" w:space="0" w:color="auto"/>
        <w:right w:val="none" w:sz="0" w:space="0" w:color="auto"/>
      </w:divBdr>
    </w:div>
    <w:div w:id="1327633513">
      <w:bodyDiv w:val="1"/>
      <w:marLeft w:val="0"/>
      <w:marRight w:val="0"/>
      <w:marTop w:val="0"/>
      <w:marBottom w:val="0"/>
      <w:divBdr>
        <w:top w:val="none" w:sz="0" w:space="0" w:color="auto"/>
        <w:left w:val="none" w:sz="0" w:space="0" w:color="auto"/>
        <w:bottom w:val="none" w:sz="0" w:space="0" w:color="auto"/>
        <w:right w:val="none" w:sz="0" w:space="0" w:color="auto"/>
      </w:divBdr>
    </w:div>
    <w:div w:id="1331910744">
      <w:bodyDiv w:val="1"/>
      <w:marLeft w:val="0"/>
      <w:marRight w:val="0"/>
      <w:marTop w:val="0"/>
      <w:marBottom w:val="0"/>
      <w:divBdr>
        <w:top w:val="none" w:sz="0" w:space="0" w:color="auto"/>
        <w:left w:val="none" w:sz="0" w:space="0" w:color="auto"/>
        <w:bottom w:val="none" w:sz="0" w:space="0" w:color="auto"/>
        <w:right w:val="none" w:sz="0" w:space="0" w:color="auto"/>
      </w:divBdr>
    </w:div>
    <w:div w:id="1358969365">
      <w:bodyDiv w:val="1"/>
      <w:marLeft w:val="0"/>
      <w:marRight w:val="0"/>
      <w:marTop w:val="0"/>
      <w:marBottom w:val="0"/>
      <w:divBdr>
        <w:top w:val="none" w:sz="0" w:space="0" w:color="auto"/>
        <w:left w:val="none" w:sz="0" w:space="0" w:color="auto"/>
        <w:bottom w:val="none" w:sz="0" w:space="0" w:color="auto"/>
        <w:right w:val="none" w:sz="0" w:space="0" w:color="auto"/>
      </w:divBdr>
      <w:divsChild>
        <w:div w:id="175465661">
          <w:marLeft w:val="0"/>
          <w:marRight w:val="0"/>
          <w:marTop w:val="0"/>
          <w:marBottom w:val="0"/>
          <w:divBdr>
            <w:top w:val="none" w:sz="0" w:space="0" w:color="auto"/>
            <w:left w:val="none" w:sz="0" w:space="0" w:color="auto"/>
            <w:bottom w:val="none" w:sz="0" w:space="0" w:color="auto"/>
            <w:right w:val="none" w:sz="0" w:space="0" w:color="auto"/>
          </w:divBdr>
        </w:div>
        <w:div w:id="1929805166">
          <w:marLeft w:val="0"/>
          <w:marRight w:val="0"/>
          <w:marTop w:val="0"/>
          <w:marBottom w:val="0"/>
          <w:divBdr>
            <w:top w:val="none" w:sz="0" w:space="0" w:color="auto"/>
            <w:left w:val="none" w:sz="0" w:space="0" w:color="auto"/>
            <w:bottom w:val="none" w:sz="0" w:space="0" w:color="auto"/>
            <w:right w:val="none" w:sz="0" w:space="0" w:color="auto"/>
          </w:divBdr>
        </w:div>
      </w:divsChild>
    </w:div>
    <w:div w:id="1362121701">
      <w:bodyDiv w:val="1"/>
      <w:marLeft w:val="0"/>
      <w:marRight w:val="0"/>
      <w:marTop w:val="0"/>
      <w:marBottom w:val="0"/>
      <w:divBdr>
        <w:top w:val="none" w:sz="0" w:space="0" w:color="auto"/>
        <w:left w:val="none" w:sz="0" w:space="0" w:color="auto"/>
        <w:bottom w:val="none" w:sz="0" w:space="0" w:color="auto"/>
        <w:right w:val="none" w:sz="0" w:space="0" w:color="auto"/>
      </w:divBdr>
      <w:divsChild>
        <w:div w:id="221067160">
          <w:marLeft w:val="0"/>
          <w:marRight w:val="0"/>
          <w:marTop w:val="0"/>
          <w:marBottom w:val="0"/>
          <w:divBdr>
            <w:top w:val="none" w:sz="0" w:space="0" w:color="auto"/>
            <w:left w:val="none" w:sz="0" w:space="0" w:color="auto"/>
            <w:bottom w:val="none" w:sz="0" w:space="0" w:color="auto"/>
            <w:right w:val="none" w:sz="0" w:space="0" w:color="auto"/>
          </w:divBdr>
        </w:div>
        <w:div w:id="436602907">
          <w:marLeft w:val="0"/>
          <w:marRight w:val="0"/>
          <w:marTop w:val="0"/>
          <w:marBottom w:val="0"/>
          <w:divBdr>
            <w:top w:val="none" w:sz="0" w:space="0" w:color="auto"/>
            <w:left w:val="none" w:sz="0" w:space="0" w:color="auto"/>
            <w:bottom w:val="none" w:sz="0" w:space="0" w:color="auto"/>
            <w:right w:val="none" w:sz="0" w:space="0" w:color="auto"/>
          </w:divBdr>
        </w:div>
        <w:div w:id="1222641748">
          <w:marLeft w:val="0"/>
          <w:marRight w:val="0"/>
          <w:marTop w:val="0"/>
          <w:marBottom w:val="0"/>
          <w:divBdr>
            <w:top w:val="none" w:sz="0" w:space="0" w:color="auto"/>
            <w:left w:val="none" w:sz="0" w:space="0" w:color="auto"/>
            <w:bottom w:val="none" w:sz="0" w:space="0" w:color="auto"/>
            <w:right w:val="none" w:sz="0" w:space="0" w:color="auto"/>
          </w:divBdr>
        </w:div>
        <w:div w:id="1725175742">
          <w:marLeft w:val="0"/>
          <w:marRight w:val="0"/>
          <w:marTop w:val="0"/>
          <w:marBottom w:val="0"/>
          <w:divBdr>
            <w:top w:val="none" w:sz="0" w:space="0" w:color="auto"/>
            <w:left w:val="none" w:sz="0" w:space="0" w:color="auto"/>
            <w:bottom w:val="none" w:sz="0" w:space="0" w:color="auto"/>
            <w:right w:val="none" w:sz="0" w:space="0" w:color="auto"/>
          </w:divBdr>
        </w:div>
        <w:div w:id="1980647488">
          <w:marLeft w:val="0"/>
          <w:marRight w:val="0"/>
          <w:marTop w:val="0"/>
          <w:marBottom w:val="0"/>
          <w:divBdr>
            <w:top w:val="none" w:sz="0" w:space="0" w:color="auto"/>
            <w:left w:val="none" w:sz="0" w:space="0" w:color="auto"/>
            <w:bottom w:val="none" w:sz="0" w:space="0" w:color="auto"/>
            <w:right w:val="none" w:sz="0" w:space="0" w:color="auto"/>
          </w:divBdr>
        </w:div>
      </w:divsChild>
    </w:div>
    <w:div w:id="1365788588">
      <w:bodyDiv w:val="1"/>
      <w:marLeft w:val="0"/>
      <w:marRight w:val="0"/>
      <w:marTop w:val="0"/>
      <w:marBottom w:val="0"/>
      <w:divBdr>
        <w:top w:val="none" w:sz="0" w:space="0" w:color="auto"/>
        <w:left w:val="none" w:sz="0" w:space="0" w:color="auto"/>
        <w:bottom w:val="none" w:sz="0" w:space="0" w:color="auto"/>
        <w:right w:val="none" w:sz="0" w:space="0" w:color="auto"/>
      </w:divBdr>
    </w:div>
    <w:div w:id="1424229189">
      <w:bodyDiv w:val="1"/>
      <w:marLeft w:val="0"/>
      <w:marRight w:val="0"/>
      <w:marTop w:val="0"/>
      <w:marBottom w:val="0"/>
      <w:divBdr>
        <w:top w:val="none" w:sz="0" w:space="0" w:color="auto"/>
        <w:left w:val="none" w:sz="0" w:space="0" w:color="auto"/>
        <w:bottom w:val="none" w:sz="0" w:space="0" w:color="auto"/>
        <w:right w:val="none" w:sz="0" w:space="0" w:color="auto"/>
      </w:divBdr>
    </w:div>
    <w:div w:id="1431122993">
      <w:bodyDiv w:val="1"/>
      <w:marLeft w:val="0"/>
      <w:marRight w:val="0"/>
      <w:marTop w:val="0"/>
      <w:marBottom w:val="0"/>
      <w:divBdr>
        <w:top w:val="none" w:sz="0" w:space="0" w:color="auto"/>
        <w:left w:val="none" w:sz="0" w:space="0" w:color="auto"/>
        <w:bottom w:val="none" w:sz="0" w:space="0" w:color="auto"/>
        <w:right w:val="none" w:sz="0" w:space="0" w:color="auto"/>
      </w:divBdr>
    </w:div>
    <w:div w:id="1441878037">
      <w:bodyDiv w:val="1"/>
      <w:marLeft w:val="0"/>
      <w:marRight w:val="0"/>
      <w:marTop w:val="0"/>
      <w:marBottom w:val="0"/>
      <w:divBdr>
        <w:top w:val="none" w:sz="0" w:space="0" w:color="auto"/>
        <w:left w:val="none" w:sz="0" w:space="0" w:color="auto"/>
        <w:bottom w:val="none" w:sz="0" w:space="0" w:color="auto"/>
        <w:right w:val="none" w:sz="0" w:space="0" w:color="auto"/>
      </w:divBdr>
    </w:div>
    <w:div w:id="1456832034">
      <w:bodyDiv w:val="1"/>
      <w:marLeft w:val="0"/>
      <w:marRight w:val="0"/>
      <w:marTop w:val="0"/>
      <w:marBottom w:val="0"/>
      <w:divBdr>
        <w:top w:val="none" w:sz="0" w:space="0" w:color="auto"/>
        <w:left w:val="none" w:sz="0" w:space="0" w:color="auto"/>
        <w:bottom w:val="none" w:sz="0" w:space="0" w:color="auto"/>
        <w:right w:val="none" w:sz="0" w:space="0" w:color="auto"/>
      </w:divBdr>
    </w:div>
    <w:div w:id="1474181836">
      <w:bodyDiv w:val="1"/>
      <w:marLeft w:val="0"/>
      <w:marRight w:val="0"/>
      <w:marTop w:val="0"/>
      <w:marBottom w:val="0"/>
      <w:divBdr>
        <w:top w:val="none" w:sz="0" w:space="0" w:color="auto"/>
        <w:left w:val="none" w:sz="0" w:space="0" w:color="auto"/>
        <w:bottom w:val="none" w:sz="0" w:space="0" w:color="auto"/>
        <w:right w:val="none" w:sz="0" w:space="0" w:color="auto"/>
      </w:divBdr>
    </w:div>
    <w:div w:id="1515807871">
      <w:bodyDiv w:val="1"/>
      <w:marLeft w:val="0"/>
      <w:marRight w:val="0"/>
      <w:marTop w:val="0"/>
      <w:marBottom w:val="0"/>
      <w:divBdr>
        <w:top w:val="none" w:sz="0" w:space="0" w:color="auto"/>
        <w:left w:val="none" w:sz="0" w:space="0" w:color="auto"/>
        <w:bottom w:val="none" w:sz="0" w:space="0" w:color="auto"/>
        <w:right w:val="none" w:sz="0" w:space="0" w:color="auto"/>
      </w:divBdr>
    </w:div>
    <w:div w:id="1550074300">
      <w:bodyDiv w:val="1"/>
      <w:marLeft w:val="0"/>
      <w:marRight w:val="0"/>
      <w:marTop w:val="0"/>
      <w:marBottom w:val="0"/>
      <w:divBdr>
        <w:top w:val="none" w:sz="0" w:space="0" w:color="auto"/>
        <w:left w:val="none" w:sz="0" w:space="0" w:color="auto"/>
        <w:bottom w:val="none" w:sz="0" w:space="0" w:color="auto"/>
        <w:right w:val="none" w:sz="0" w:space="0" w:color="auto"/>
      </w:divBdr>
    </w:div>
    <w:div w:id="1553426133">
      <w:bodyDiv w:val="1"/>
      <w:marLeft w:val="0"/>
      <w:marRight w:val="0"/>
      <w:marTop w:val="0"/>
      <w:marBottom w:val="0"/>
      <w:divBdr>
        <w:top w:val="none" w:sz="0" w:space="0" w:color="auto"/>
        <w:left w:val="none" w:sz="0" w:space="0" w:color="auto"/>
        <w:bottom w:val="none" w:sz="0" w:space="0" w:color="auto"/>
        <w:right w:val="none" w:sz="0" w:space="0" w:color="auto"/>
      </w:divBdr>
    </w:div>
    <w:div w:id="1647737492">
      <w:bodyDiv w:val="1"/>
      <w:marLeft w:val="0"/>
      <w:marRight w:val="0"/>
      <w:marTop w:val="0"/>
      <w:marBottom w:val="0"/>
      <w:divBdr>
        <w:top w:val="none" w:sz="0" w:space="0" w:color="auto"/>
        <w:left w:val="none" w:sz="0" w:space="0" w:color="auto"/>
        <w:bottom w:val="none" w:sz="0" w:space="0" w:color="auto"/>
        <w:right w:val="none" w:sz="0" w:space="0" w:color="auto"/>
      </w:divBdr>
    </w:div>
    <w:div w:id="1649476513">
      <w:bodyDiv w:val="1"/>
      <w:marLeft w:val="0"/>
      <w:marRight w:val="0"/>
      <w:marTop w:val="0"/>
      <w:marBottom w:val="0"/>
      <w:divBdr>
        <w:top w:val="none" w:sz="0" w:space="0" w:color="auto"/>
        <w:left w:val="none" w:sz="0" w:space="0" w:color="auto"/>
        <w:bottom w:val="none" w:sz="0" w:space="0" w:color="auto"/>
        <w:right w:val="none" w:sz="0" w:space="0" w:color="auto"/>
      </w:divBdr>
      <w:divsChild>
        <w:div w:id="116262989">
          <w:marLeft w:val="0"/>
          <w:marRight w:val="0"/>
          <w:marTop w:val="0"/>
          <w:marBottom w:val="0"/>
          <w:divBdr>
            <w:top w:val="none" w:sz="0" w:space="0" w:color="auto"/>
            <w:left w:val="none" w:sz="0" w:space="0" w:color="auto"/>
            <w:bottom w:val="none" w:sz="0" w:space="0" w:color="auto"/>
            <w:right w:val="none" w:sz="0" w:space="0" w:color="auto"/>
          </w:divBdr>
        </w:div>
        <w:div w:id="218178534">
          <w:marLeft w:val="0"/>
          <w:marRight w:val="0"/>
          <w:marTop w:val="0"/>
          <w:marBottom w:val="0"/>
          <w:divBdr>
            <w:top w:val="none" w:sz="0" w:space="0" w:color="auto"/>
            <w:left w:val="none" w:sz="0" w:space="0" w:color="auto"/>
            <w:bottom w:val="none" w:sz="0" w:space="0" w:color="auto"/>
            <w:right w:val="none" w:sz="0" w:space="0" w:color="auto"/>
          </w:divBdr>
        </w:div>
        <w:div w:id="345600768">
          <w:marLeft w:val="0"/>
          <w:marRight w:val="0"/>
          <w:marTop w:val="0"/>
          <w:marBottom w:val="0"/>
          <w:divBdr>
            <w:top w:val="none" w:sz="0" w:space="0" w:color="auto"/>
            <w:left w:val="none" w:sz="0" w:space="0" w:color="auto"/>
            <w:bottom w:val="none" w:sz="0" w:space="0" w:color="auto"/>
            <w:right w:val="none" w:sz="0" w:space="0" w:color="auto"/>
          </w:divBdr>
        </w:div>
        <w:div w:id="1165364495">
          <w:marLeft w:val="0"/>
          <w:marRight w:val="0"/>
          <w:marTop w:val="0"/>
          <w:marBottom w:val="0"/>
          <w:divBdr>
            <w:top w:val="none" w:sz="0" w:space="0" w:color="auto"/>
            <w:left w:val="none" w:sz="0" w:space="0" w:color="auto"/>
            <w:bottom w:val="none" w:sz="0" w:space="0" w:color="auto"/>
            <w:right w:val="none" w:sz="0" w:space="0" w:color="auto"/>
          </w:divBdr>
        </w:div>
        <w:div w:id="1809711835">
          <w:marLeft w:val="0"/>
          <w:marRight w:val="0"/>
          <w:marTop w:val="0"/>
          <w:marBottom w:val="0"/>
          <w:divBdr>
            <w:top w:val="none" w:sz="0" w:space="0" w:color="auto"/>
            <w:left w:val="none" w:sz="0" w:space="0" w:color="auto"/>
            <w:bottom w:val="none" w:sz="0" w:space="0" w:color="auto"/>
            <w:right w:val="none" w:sz="0" w:space="0" w:color="auto"/>
          </w:divBdr>
        </w:div>
      </w:divsChild>
    </w:div>
    <w:div w:id="1661032446">
      <w:bodyDiv w:val="1"/>
      <w:marLeft w:val="0"/>
      <w:marRight w:val="0"/>
      <w:marTop w:val="0"/>
      <w:marBottom w:val="0"/>
      <w:divBdr>
        <w:top w:val="none" w:sz="0" w:space="0" w:color="auto"/>
        <w:left w:val="none" w:sz="0" w:space="0" w:color="auto"/>
        <w:bottom w:val="none" w:sz="0" w:space="0" w:color="auto"/>
        <w:right w:val="none" w:sz="0" w:space="0" w:color="auto"/>
      </w:divBdr>
    </w:div>
    <w:div w:id="1677688638">
      <w:bodyDiv w:val="1"/>
      <w:marLeft w:val="0"/>
      <w:marRight w:val="0"/>
      <w:marTop w:val="0"/>
      <w:marBottom w:val="0"/>
      <w:divBdr>
        <w:top w:val="none" w:sz="0" w:space="0" w:color="auto"/>
        <w:left w:val="none" w:sz="0" w:space="0" w:color="auto"/>
        <w:bottom w:val="none" w:sz="0" w:space="0" w:color="auto"/>
        <w:right w:val="none" w:sz="0" w:space="0" w:color="auto"/>
      </w:divBdr>
    </w:div>
    <w:div w:id="1678077224">
      <w:bodyDiv w:val="1"/>
      <w:marLeft w:val="0"/>
      <w:marRight w:val="0"/>
      <w:marTop w:val="0"/>
      <w:marBottom w:val="0"/>
      <w:divBdr>
        <w:top w:val="none" w:sz="0" w:space="0" w:color="auto"/>
        <w:left w:val="none" w:sz="0" w:space="0" w:color="auto"/>
        <w:bottom w:val="none" w:sz="0" w:space="0" w:color="auto"/>
        <w:right w:val="none" w:sz="0" w:space="0" w:color="auto"/>
      </w:divBdr>
    </w:div>
    <w:div w:id="1684239064">
      <w:bodyDiv w:val="1"/>
      <w:marLeft w:val="0"/>
      <w:marRight w:val="0"/>
      <w:marTop w:val="0"/>
      <w:marBottom w:val="0"/>
      <w:divBdr>
        <w:top w:val="none" w:sz="0" w:space="0" w:color="auto"/>
        <w:left w:val="none" w:sz="0" w:space="0" w:color="auto"/>
        <w:bottom w:val="none" w:sz="0" w:space="0" w:color="auto"/>
        <w:right w:val="none" w:sz="0" w:space="0" w:color="auto"/>
      </w:divBdr>
    </w:div>
    <w:div w:id="1730037093">
      <w:bodyDiv w:val="1"/>
      <w:marLeft w:val="0"/>
      <w:marRight w:val="0"/>
      <w:marTop w:val="0"/>
      <w:marBottom w:val="0"/>
      <w:divBdr>
        <w:top w:val="none" w:sz="0" w:space="0" w:color="auto"/>
        <w:left w:val="none" w:sz="0" w:space="0" w:color="auto"/>
        <w:bottom w:val="none" w:sz="0" w:space="0" w:color="auto"/>
        <w:right w:val="none" w:sz="0" w:space="0" w:color="auto"/>
      </w:divBdr>
      <w:divsChild>
        <w:div w:id="48459673">
          <w:marLeft w:val="0"/>
          <w:marRight w:val="0"/>
          <w:marTop w:val="0"/>
          <w:marBottom w:val="0"/>
          <w:divBdr>
            <w:top w:val="none" w:sz="0" w:space="0" w:color="auto"/>
            <w:left w:val="none" w:sz="0" w:space="0" w:color="auto"/>
            <w:bottom w:val="none" w:sz="0" w:space="0" w:color="auto"/>
            <w:right w:val="none" w:sz="0" w:space="0" w:color="auto"/>
          </w:divBdr>
        </w:div>
        <w:div w:id="1814718470">
          <w:marLeft w:val="0"/>
          <w:marRight w:val="0"/>
          <w:marTop w:val="0"/>
          <w:marBottom w:val="0"/>
          <w:divBdr>
            <w:top w:val="none" w:sz="0" w:space="0" w:color="auto"/>
            <w:left w:val="none" w:sz="0" w:space="0" w:color="auto"/>
            <w:bottom w:val="none" w:sz="0" w:space="0" w:color="auto"/>
            <w:right w:val="none" w:sz="0" w:space="0" w:color="auto"/>
          </w:divBdr>
        </w:div>
      </w:divsChild>
    </w:div>
    <w:div w:id="1730885167">
      <w:bodyDiv w:val="1"/>
      <w:marLeft w:val="0"/>
      <w:marRight w:val="0"/>
      <w:marTop w:val="0"/>
      <w:marBottom w:val="0"/>
      <w:divBdr>
        <w:top w:val="none" w:sz="0" w:space="0" w:color="auto"/>
        <w:left w:val="none" w:sz="0" w:space="0" w:color="auto"/>
        <w:bottom w:val="none" w:sz="0" w:space="0" w:color="auto"/>
        <w:right w:val="none" w:sz="0" w:space="0" w:color="auto"/>
      </w:divBdr>
      <w:divsChild>
        <w:div w:id="1747654450">
          <w:marLeft w:val="0"/>
          <w:marRight w:val="0"/>
          <w:marTop w:val="0"/>
          <w:marBottom w:val="0"/>
          <w:divBdr>
            <w:top w:val="none" w:sz="0" w:space="0" w:color="auto"/>
            <w:left w:val="none" w:sz="0" w:space="0" w:color="auto"/>
            <w:bottom w:val="none" w:sz="0" w:space="0" w:color="auto"/>
            <w:right w:val="none" w:sz="0" w:space="0" w:color="auto"/>
          </w:divBdr>
          <w:divsChild>
            <w:div w:id="1184981001">
              <w:marLeft w:val="0"/>
              <w:marRight w:val="0"/>
              <w:marTop w:val="0"/>
              <w:marBottom w:val="0"/>
              <w:divBdr>
                <w:top w:val="none" w:sz="0" w:space="0" w:color="auto"/>
                <w:left w:val="none" w:sz="0" w:space="0" w:color="auto"/>
                <w:bottom w:val="none" w:sz="0" w:space="0" w:color="auto"/>
                <w:right w:val="none" w:sz="0" w:space="0" w:color="auto"/>
              </w:divBdr>
              <w:divsChild>
                <w:div w:id="646251368">
                  <w:marLeft w:val="0"/>
                  <w:marRight w:val="0"/>
                  <w:marTop w:val="0"/>
                  <w:marBottom w:val="0"/>
                  <w:divBdr>
                    <w:top w:val="none" w:sz="0" w:space="0" w:color="auto"/>
                    <w:left w:val="none" w:sz="0" w:space="0" w:color="auto"/>
                    <w:bottom w:val="none" w:sz="0" w:space="0" w:color="auto"/>
                    <w:right w:val="none" w:sz="0" w:space="0" w:color="auto"/>
                  </w:divBdr>
                  <w:divsChild>
                    <w:div w:id="59334470">
                      <w:marLeft w:val="0"/>
                      <w:marRight w:val="0"/>
                      <w:marTop w:val="0"/>
                      <w:marBottom w:val="0"/>
                      <w:divBdr>
                        <w:top w:val="none" w:sz="0" w:space="0" w:color="auto"/>
                        <w:left w:val="none" w:sz="0" w:space="0" w:color="auto"/>
                        <w:bottom w:val="none" w:sz="0" w:space="0" w:color="auto"/>
                        <w:right w:val="none" w:sz="0" w:space="0" w:color="auto"/>
                      </w:divBdr>
                      <w:divsChild>
                        <w:div w:id="1312754001">
                          <w:marLeft w:val="0"/>
                          <w:marRight w:val="0"/>
                          <w:marTop w:val="0"/>
                          <w:marBottom w:val="0"/>
                          <w:divBdr>
                            <w:top w:val="none" w:sz="0" w:space="0" w:color="auto"/>
                            <w:left w:val="none" w:sz="0" w:space="0" w:color="auto"/>
                            <w:bottom w:val="none" w:sz="0" w:space="0" w:color="auto"/>
                            <w:right w:val="none" w:sz="0" w:space="0" w:color="auto"/>
                          </w:divBdr>
                        </w:div>
                        <w:div w:id="1688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287167">
      <w:bodyDiv w:val="1"/>
      <w:marLeft w:val="0"/>
      <w:marRight w:val="0"/>
      <w:marTop w:val="0"/>
      <w:marBottom w:val="0"/>
      <w:divBdr>
        <w:top w:val="none" w:sz="0" w:space="0" w:color="auto"/>
        <w:left w:val="none" w:sz="0" w:space="0" w:color="auto"/>
        <w:bottom w:val="none" w:sz="0" w:space="0" w:color="auto"/>
        <w:right w:val="none" w:sz="0" w:space="0" w:color="auto"/>
      </w:divBdr>
    </w:div>
    <w:div w:id="1781072604">
      <w:bodyDiv w:val="1"/>
      <w:marLeft w:val="0"/>
      <w:marRight w:val="0"/>
      <w:marTop w:val="0"/>
      <w:marBottom w:val="0"/>
      <w:divBdr>
        <w:top w:val="none" w:sz="0" w:space="0" w:color="auto"/>
        <w:left w:val="none" w:sz="0" w:space="0" w:color="auto"/>
        <w:bottom w:val="none" w:sz="0" w:space="0" w:color="auto"/>
        <w:right w:val="none" w:sz="0" w:space="0" w:color="auto"/>
      </w:divBdr>
    </w:div>
    <w:div w:id="1785733392">
      <w:bodyDiv w:val="1"/>
      <w:marLeft w:val="0"/>
      <w:marRight w:val="0"/>
      <w:marTop w:val="0"/>
      <w:marBottom w:val="0"/>
      <w:divBdr>
        <w:top w:val="none" w:sz="0" w:space="0" w:color="auto"/>
        <w:left w:val="none" w:sz="0" w:space="0" w:color="auto"/>
        <w:bottom w:val="none" w:sz="0" w:space="0" w:color="auto"/>
        <w:right w:val="none" w:sz="0" w:space="0" w:color="auto"/>
      </w:divBdr>
    </w:div>
    <w:div w:id="1816947231">
      <w:bodyDiv w:val="1"/>
      <w:marLeft w:val="0"/>
      <w:marRight w:val="0"/>
      <w:marTop w:val="0"/>
      <w:marBottom w:val="0"/>
      <w:divBdr>
        <w:top w:val="none" w:sz="0" w:space="0" w:color="auto"/>
        <w:left w:val="none" w:sz="0" w:space="0" w:color="auto"/>
        <w:bottom w:val="none" w:sz="0" w:space="0" w:color="auto"/>
        <w:right w:val="none" w:sz="0" w:space="0" w:color="auto"/>
      </w:divBdr>
    </w:div>
    <w:div w:id="1819879280">
      <w:bodyDiv w:val="1"/>
      <w:marLeft w:val="0"/>
      <w:marRight w:val="0"/>
      <w:marTop w:val="0"/>
      <w:marBottom w:val="0"/>
      <w:divBdr>
        <w:top w:val="none" w:sz="0" w:space="0" w:color="auto"/>
        <w:left w:val="none" w:sz="0" w:space="0" w:color="auto"/>
        <w:bottom w:val="none" w:sz="0" w:space="0" w:color="auto"/>
        <w:right w:val="none" w:sz="0" w:space="0" w:color="auto"/>
      </w:divBdr>
    </w:div>
    <w:div w:id="1821725126">
      <w:bodyDiv w:val="1"/>
      <w:marLeft w:val="0"/>
      <w:marRight w:val="0"/>
      <w:marTop w:val="0"/>
      <w:marBottom w:val="0"/>
      <w:divBdr>
        <w:top w:val="none" w:sz="0" w:space="0" w:color="auto"/>
        <w:left w:val="none" w:sz="0" w:space="0" w:color="auto"/>
        <w:bottom w:val="none" w:sz="0" w:space="0" w:color="auto"/>
        <w:right w:val="none" w:sz="0" w:space="0" w:color="auto"/>
      </w:divBdr>
    </w:div>
    <w:div w:id="1822192004">
      <w:bodyDiv w:val="1"/>
      <w:marLeft w:val="0"/>
      <w:marRight w:val="0"/>
      <w:marTop w:val="0"/>
      <w:marBottom w:val="0"/>
      <w:divBdr>
        <w:top w:val="none" w:sz="0" w:space="0" w:color="auto"/>
        <w:left w:val="none" w:sz="0" w:space="0" w:color="auto"/>
        <w:bottom w:val="none" w:sz="0" w:space="0" w:color="auto"/>
        <w:right w:val="none" w:sz="0" w:space="0" w:color="auto"/>
      </w:divBdr>
      <w:divsChild>
        <w:div w:id="513345303">
          <w:marLeft w:val="0"/>
          <w:marRight w:val="0"/>
          <w:marTop w:val="0"/>
          <w:marBottom w:val="0"/>
          <w:divBdr>
            <w:top w:val="none" w:sz="0" w:space="0" w:color="auto"/>
            <w:left w:val="none" w:sz="0" w:space="0" w:color="auto"/>
            <w:bottom w:val="none" w:sz="0" w:space="0" w:color="auto"/>
            <w:right w:val="none" w:sz="0" w:space="0" w:color="auto"/>
          </w:divBdr>
          <w:divsChild>
            <w:div w:id="390734881">
              <w:marLeft w:val="0"/>
              <w:marRight w:val="0"/>
              <w:marTop w:val="0"/>
              <w:marBottom w:val="0"/>
              <w:divBdr>
                <w:top w:val="none" w:sz="0" w:space="0" w:color="auto"/>
                <w:left w:val="none" w:sz="0" w:space="0" w:color="auto"/>
                <w:bottom w:val="none" w:sz="0" w:space="0" w:color="auto"/>
                <w:right w:val="none" w:sz="0" w:space="0" w:color="auto"/>
              </w:divBdr>
            </w:div>
          </w:divsChild>
        </w:div>
        <w:div w:id="875699805">
          <w:marLeft w:val="0"/>
          <w:marRight w:val="0"/>
          <w:marTop w:val="0"/>
          <w:marBottom w:val="0"/>
          <w:divBdr>
            <w:top w:val="none" w:sz="0" w:space="0" w:color="auto"/>
            <w:left w:val="none" w:sz="0" w:space="0" w:color="auto"/>
            <w:bottom w:val="none" w:sz="0" w:space="0" w:color="auto"/>
            <w:right w:val="none" w:sz="0" w:space="0" w:color="auto"/>
          </w:divBdr>
          <w:divsChild>
            <w:div w:id="840586561">
              <w:marLeft w:val="0"/>
              <w:marRight w:val="0"/>
              <w:marTop w:val="0"/>
              <w:marBottom w:val="0"/>
              <w:divBdr>
                <w:top w:val="none" w:sz="0" w:space="0" w:color="auto"/>
                <w:left w:val="none" w:sz="0" w:space="0" w:color="auto"/>
                <w:bottom w:val="none" w:sz="0" w:space="0" w:color="auto"/>
                <w:right w:val="none" w:sz="0" w:space="0" w:color="auto"/>
              </w:divBdr>
              <w:divsChild>
                <w:div w:id="1540163182">
                  <w:marLeft w:val="0"/>
                  <w:marRight w:val="0"/>
                  <w:marTop w:val="0"/>
                  <w:marBottom w:val="0"/>
                  <w:divBdr>
                    <w:top w:val="none" w:sz="0" w:space="0" w:color="auto"/>
                    <w:left w:val="none" w:sz="0" w:space="0" w:color="auto"/>
                    <w:bottom w:val="none" w:sz="0" w:space="0" w:color="auto"/>
                    <w:right w:val="none" w:sz="0" w:space="0" w:color="auto"/>
                  </w:divBdr>
                  <w:divsChild>
                    <w:div w:id="20804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787728">
      <w:bodyDiv w:val="1"/>
      <w:marLeft w:val="0"/>
      <w:marRight w:val="0"/>
      <w:marTop w:val="0"/>
      <w:marBottom w:val="0"/>
      <w:divBdr>
        <w:top w:val="none" w:sz="0" w:space="0" w:color="auto"/>
        <w:left w:val="none" w:sz="0" w:space="0" w:color="auto"/>
        <w:bottom w:val="none" w:sz="0" w:space="0" w:color="auto"/>
        <w:right w:val="none" w:sz="0" w:space="0" w:color="auto"/>
      </w:divBdr>
    </w:div>
    <w:div w:id="1849950791">
      <w:bodyDiv w:val="1"/>
      <w:marLeft w:val="0"/>
      <w:marRight w:val="0"/>
      <w:marTop w:val="0"/>
      <w:marBottom w:val="0"/>
      <w:divBdr>
        <w:top w:val="none" w:sz="0" w:space="0" w:color="auto"/>
        <w:left w:val="none" w:sz="0" w:space="0" w:color="auto"/>
        <w:bottom w:val="none" w:sz="0" w:space="0" w:color="auto"/>
        <w:right w:val="none" w:sz="0" w:space="0" w:color="auto"/>
      </w:divBdr>
      <w:divsChild>
        <w:div w:id="215971654">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874689505">
      <w:bodyDiv w:val="1"/>
      <w:marLeft w:val="0"/>
      <w:marRight w:val="0"/>
      <w:marTop w:val="0"/>
      <w:marBottom w:val="0"/>
      <w:divBdr>
        <w:top w:val="none" w:sz="0" w:space="0" w:color="auto"/>
        <w:left w:val="none" w:sz="0" w:space="0" w:color="auto"/>
        <w:bottom w:val="none" w:sz="0" w:space="0" w:color="auto"/>
        <w:right w:val="none" w:sz="0" w:space="0" w:color="auto"/>
      </w:divBdr>
      <w:divsChild>
        <w:div w:id="26949562">
          <w:marLeft w:val="0"/>
          <w:marRight w:val="0"/>
          <w:marTop w:val="0"/>
          <w:marBottom w:val="0"/>
          <w:divBdr>
            <w:top w:val="none" w:sz="0" w:space="0" w:color="auto"/>
            <w:left w:val="none" w:sz="0" w:space="0" w:color="auto"/>
            <w:bottom w:val="none" w:sz="0" w:space="0" w:color="auto"/>
            <w:right w:val="none" w:sz="0" w:space="0" w:color="auto"/>
          </w:divBdr>
        </w:div>
        <w:div w:id="41905200">
          <w:marLeft w:val="0"/>
          <w:marRight w:val="0"/>
          <w:marTop w:val="0"/>
          <w:marBottom w:val="0"/>
          <w:divBdr>
            <w:top w:val="none" w:sz="0" w:space="0" w:color="auto"/>
            <w:left w:val="none" w:sz="0" w:space="0" w:color="auto"/>
            <w:bottom w:val="none" w:sz="0" w:space="0" w:color="auto"/>
            <w:right w:val="none" w:sz="0" w:space="0" w:color="auto"/>
          </w:divBdr>
        </w:div>
        <w:div w:id="94520894">
          <w:marLeft w:val="0"/>
          <w:marRight w:val="0"/>
          <w:marTop w:val="0"/>
          <w:marBottom w:val="0"/>
          <w:divBdr>
            <w:top w:val="none" w:sz="0" w:space="0" w:color="auto"/>
            <w:left w:val="none" w:sz="0" w:space="0" w:color="auto"/>
            <w:bottom w:val="none" w:sz="0" w:space="0" w:color="auto"/>
            <w:right w:val="none" w:sz="0" w:space="0" w:color="auto"/>
          </w:divBdr>
        </w:div>
        <w:div w:id="94791751">
          <w:marLeft w:val="0"/>
          <w:marRight w:val="0"/>
          <w:marTop w:val="0"/>
          <w:marBottom w:val="0"/>
          <w:divBdr>
            <w:top w:val="none" w:sz="0" w:space="0" w:color="auto"/>
            <w:left w:val="none" w:sz="0" w:space="0" w:color="auto"/>
            <w:bottom w:val="none" w:sz="0" w:space="0" w:color="auto"/>
            <w:right w:val="none" w:sz="0" w:space="0" w:color="auto"/>
          </w:divBdr>
        </w:div>
        <w:div w:id="169377406">
          <w:marLeft w:val="0"/>
          <w:marRight w:val="0"/>
          <w:marTop w:val="0"/>
          <w:marBottom w:val="0"/>
          <w:divBdr>
            <w:top w:val="none" w:sz="0" w:space="0" w:color="auto"/>
            <w:left w:val="none" w:sz="0" w:space="0" w:color="auto"/>
            <w:bottom w:val="none" w:sz="0" w:space="0" w:color="auto"/>
            <w:right w:val="none" w:sz="0" w:space="0" w:color="auto"/>
          </w:divBdr>
        </w:div>
        <w:div w:id="198402388">
          <w:marLeft w:val="0"/>
          <w:marRight w:val="0"/>
          <w:marTop w:val="0"/>
          <w:marBottom w:val="0"/>
          <w:divBdr>
            <w:top w:val="none" w:sz="0" w:space="0" w:color="auto"/>
            <w:left w:val="none" w:sz="0" w:space="0" w:color="auto"/>
            <w:bottom w:val="none" w:sz="0" w:space="0" w:color="auto"/>
            <w:right w:val="none" w:sz="0" w:space="0" w:color="auto"/>
          </w:divBdr>
        </w:div>
        <w:div w:id="201409817">
          <w:marLeft w:val="0"/>
          <w:marRight w:val="0"/>
          <w:marTop w:val="0"/>
          <w:marBottom w:val="0"/>
          <w:divBdr>
            <w:top w:val="none" w:sz="0" w:space="0" w:color="auto"/>
            <w:left w:val="none" w:sz="0" w:space="0" w:color="auto"/>
            <w:bottom w:val="none" w:sz="0" w:space="0" w:color="auto"/>
            <w:right w:val="none" w:sz="0" w:space="0" w:color="auto"/>
          </w:divBdr>
        </w:div>
        <w:div w:id="221983194">
          <w:marLeft w:val="0"/>
          <w:marRight w:val="0"/>
          <w:marTop w:val="0"/>
          <w:marBottom w:val="0"/>
          <w:divBdr>
            <w:top w:val="none" w:sz="0" w:space="0" w:color="auto"/>
            <w:left w:val="none" w:sz="0" w:space="0" w:color="auto"/>
            <w:bottom w:val="none" w:sz="0" w:space="0" w:color="auto"/>
            <w:right w:val="none" w:sz="0" w:space="0" w:color="auto"/>
          </w:divBdr>
        </w:div>
        <w:div w:id="256212607">
          <w:marLeft w:val="0"/>
          <w:marRight w:val="0"/>
          <w:marTop w:val="0"/>
          <w:marBottom w:val="0"/>
          <w:divBdr>
            <w:top w:val="none" w:sz="0" w:space="0" w:color="auto"/>
            <w:left w:val="none" w:sz="0" w:space="0" w:color="auto"/>
            <w:bottom w:val="none" w:sz="0" w:space="0" w:color="auto"/>
            <w:right w:val="none" w:sz="0" w:space="0" w:color="auto"/>
          </w:divBdr>
        </w:div>
        <w:div w:id="308946407">
          <w:marLeft w:val="0"/>
          <w:marRight w:val="0"/>
          <w:marTop w:val="0"/>
          <w:marBottom w:val="0"/>
          <w:divBdr>
            <w:top w:val="none" w:sz="0" w:space="0" w:color="auto"/>
            <w:left w:val="none" w:sz="0" w:space="0" w:color="auto"/>
            <w:bottom w:val="none" w:sz="0" w:space="0" w:color="auto"/>
            <w:right w:val="none" w:sz="0" w:space="0" w:color="auto"/>
          </w:divBdr>
        </w:div>
        <w:div w:id="342702928">
          <w:marLeft w:val="0"/>
          <w:marRight w:val="0"/>
          <w:marTop w:val="0"/>
          <w:marBottom w:val="0"/>
          <w:divBdr>
            <w:top w:val="none" w:sz="0" w:space="0" w:color="auto"/>
            <w:left w:val="none" w:sz="0" w:space="0" w:color="auto"/>
            <w:bottom w:val="none" w:sz="0" w:space="0" w:color="auto"/>
            <w:right w:val="none" w:sz="0" w:space="0" w:color="auto"/>
          </w:divBdr>
        </w:div>
        <w:div w:id="429011667">
          <w:marLeft w:val="0"/>
          <w:marRight w:val="0"/>
          <w:marTop w:val="0"/>
          <w:marBottom w:val="0"/>
          <w:divBdr>
            <w:top w:val="none" w:sz="0" w:space="0" w:color="auto"/>
            <w:left w:val="none" w:sz="0" w:space="0" w:color="auto"/>
            <w:bottom w:val="none" w:sz="0" w:space="0" w:color="auto"/>
            <w:right w:val="none" w:sz="0" w:space="0" w:color="auto"/>
          </w:divBdr>
        </w:div>
        <w:div w:id="472331057">
          <w:marLeft w:val="0"/>
          <w:marRight w:val="0"/>
          <w:marTop w:val="0"/>
          <w:marBottom w:val="0"/>
          <w:divBdr>
            <w:top w:val="none" w:sz="0" w:space="0" w:color="auto"/>
            <w:left w:val="none" w:sz="0" w:space="0" w:color="auto"/>
            <w:bottom w:val="none" w:sz="0" w:space="0" w:color="auto"/>
            <w:right w:val="none" w:sz="0" w:space="0" w:color="auto"/>
          </w:divBdr>
        </w:div>
        <w:div w:id="559367266">
          <w:marLeft w:val="0"/>
          <w:marRight w:val="0"/>
          <w:marTop w:val="0"/>
          <w:marBottom w:val="0"/>
          <w:divBdr>
            <w:top w:val="none" w:sz="0" w:space="0" w:color="auto"/>
            <w:left w:val="none" w:sz="0" w:space="0" w:color="auto"/>
            <w:bottom w:val="none" w:sz="0" w:space="0" w:color="auto"/>
            <w:right w:val="none" w:sz="0" w:space="0" w:color="auto"/>
          </w:divBdr>
        </w:div>
        <w:div w:id="561522287">
          <w:marLeft w:val="0"/>
          <w:marRight w:val="0"/>
          <w:marTop w:val="0"/>
          <w:marBottom w:val="0"/>
          <w:divBdr>
            <w:top w:val="none" w:sz="0" w:space="0" w:color="auto"/>
            <w:left w:val="none" w:sz="0" w:space="0" w:color="auto"/>
            <w:bottom w:val="none" w:sz="0" w:space="0" w:color="auto"/>
            <w:right w:val="none" w:sz="0" w:space="0" w:color="auto"/>
          </w:divBdr>
        </w:div>
        <w:div w:id="625963536">
          <w:marLeft w:val="0"/>
          <w:marRight w:val="0"/>
          <w:marTop w:val="0"/>
          <w:marBottom w:val="0"/>
          <w:divBdr>
            <w:top w:val="none" w:sz="0" w:space="0" w:color="auto"/>
            <w:left w:val="none" w:sz="0" w:space="0" w:color="auto"/>
            <w:bottom w:val="none" w:sz="0" w:space="0" w:color="auto"/>
            <w:right w:val="none" w:sz="0" w:space="0" w:color="auto"/>
          </w:divBdr>
        </w:div>
        <w:div w:id="671031354">
          <w:marLeft w:val="0"/>
          <w:marRight w:val="0"/>
          <w:marTop w:val="0"/>
          <w:marBottom w:val="0"/>
          <w:divBdr>
            <w:top w:val="none" w:sz="0" w:space="0" w:color="auto"/>
            <w:left w:val="none" w:sz="0" w:space="0" w:color="auto"/>
            <w:bottom w:val="none" w:sz="0" w:space="0" w:color="auto"/>
            <w:right w:val="none" w:sz="0" w:space="0" w:color="auto"/>
          </w:divBdr>
        </w:div>
        <w:div w:id="679624978">
          <w:marLeft w:val="0"/>
          <w:marRight w:val="0"/>
          <w:marTop w:val="0"/>
          <w:marBottom w:val="0"/>
          <w:divBdr>
            <w:top w:val="none" w:sz="0" w:space="0" w:color="auto"/>
            <w:left w:val="none" w:sz="0" w:space="0" w:color="auto"/>
            <w:bottom w:val="none" w:sz="0" w:space="0" w:color="auto"/>
            <w:right w:val="none" w:sz="0" w:space="0" w:color="auto"/>
          </w:divBdr>
        </w:div>
        <w:div w:id="702831151">
          <w:marLeft w:val="0"/>
          <w:marRight w:val="0"/>
          <w:marTop w:val="0"/>
          <w:marBottom w:val="0"/>
          <w:divBdr>
            <w:top w:val="none" w:sz="0" w:space="0" w:color="auto"/>
            <w:left w:val="none" w:sz="0" w:space="0" w:color="auto"/>
            <w:bottom w:val="none" w:sz="0" w:space="0" w:color="auto"/>
            <w:right w:val="none" w:sz="0" w:space="0" w:color="auto"/>
          </w:divBdr>
        </w:div>
        <w:div w:id="809908741">
          <w:marLeft w:val="0"/>
          <w:marRight w:val="0"/>
          <w:marTop w:val="0"/>
          <w:marBottom w:val="0"/>
          <w:divBdr>
            <w:top w:val="none" w:sz="0" w:space="0" w:color="auto"/>
            <w:left w:val="none" w:sz="0" w:space="0" w:color="auto"/>
            <w:bottom w:val="none" w:sz="0" w:space="0" w:color="auto"/>
            <w:right w:val="none" w:sz="0" w:space="0" w:color="auto"/>
          </w:divBdr>
        </w:div>
        <w:div w:id="861741601">
          <w:marLeft w:val="0"/>
          <w:marRight w:val="0"/>
          <w:marTop w:val="0"/>
          <w:marBottom w:val="0"/>
          <w:divBdr>
            <w:top w:val="none" w:sz="0" w:space="0" w:color="auto"/>
            <w:left w:val="none" w:sz="0" w:space="0" w:color="auto"/>
            <w:bottom w:val="none" w:sz="0" w:space="0" w:color="auto"/>
            <w:right w:val="none" w:sz="0" w:space="0" w:color="auto"/>
          </w:divBdr>
        </w:div>
        <w:div w:id="878400658">
          <w:marLeft w:val="0"/>
          <w:marRight w:val="0"/>
          <w:marTop w:val="0"/>
          <w:marBottom w:val="0"/>
          <w:divBdr>
            <w:top w:val="none" w:sz="0" w:space="0" w:color="auto"/>
            <w:left w:val="none" w:sz="0" w:space="0" w:color="auto"/>
            <w:bottom w:val="none" w:sz="0" w:space="0" w:color="auto"/>
            <w:right w:val="none" w:sz="0" w:space="0" w:color="auto"/>
          </w:divBdr>
        </w:div>
        <w:div w:id="932785151">
          <w:marLeft w:val="0"/>
          <w:marRight w:val="0"/>
          <w:marTop w:val="0"/>
          <w:marBottom w:val="0"/>
          <w:divBdr>
            <w:top w:val="none" w:sz="0" w:space="0" w:color="auto"/>
            <w:left w:val="none" w:sz="0" w:space="0" w:color="auto"/>
            <w:bottom w:val="none" w:sz="0" w:space="0" w:color="auto"/>
            <w:right w:val="none" w:sz="0" w:space="0" w:color="auto"/>
          </w:divBdr>
        </w:div>
        <w:div w:id="987589806">
          <w:marLeft w:val="0"/>
          <w:marRight w:val="0"/>
          <w:marTop w:val="0"/>
          <w:marBottom w:val="0"/>
          <w:divBdr>
            <w:top w:val="none" w:sz="0" w:space="0" w:color="auto"/>
            <w:left w:val="none" w:sz="0" w:space="0" w:color="auto"/>
            <w:bottom w:val="none" w:sz="0" w:space="0" w:color="auto"/>
            <w:right w:val="none" w:sz="0" w:space="0" w:color="auto"/>
          </w:divBdr>
        </w:div>
        <w:div w:id="990643787">
          <w:marLeft w:val="0"/>
          <w:marRight w:val="0"/>
          <w:marTop w:val="0"/>
          <w:marBottom w:val="0"/>
          <w:divBdr>
            <w:top w:val="none" w:sz="0" w:space="0" w:color="auto"/>
            <w:left w:val="none" w:sz="0" w:space="0" w:color="auto"/>
            <w:bottom w:val="none" w:sz="0" w:space="0" w:color="auto"/>
            <w:right w:val="none" w:sz="0" w:space="0" w:color="auto"/>
          </w:divBdr>
        </w:div>
        <w:div w:id="1111583992">
          <w:marLeft w:val="0"/>
          <w:marRight w:val="0"/>
          <w:marTop w:val="0"/>
          <w:marBottom w:val="0"/>
          <w:divBdr>
            <w:top w:val="none" w:sz="0" w:space="0" w:color="auto"/>
            <w:left w:val="none" w:sz="0" w:space="0" w:color="auto"/>
            <w:bottom w:val="none" w:sz="0" w:space="0" w:color="auto"/>
            <w:right w:val="none" w:sz="0" w:space="0" w:color="auto"/>
          </w:divBdr>
        </w:div>
        <w:div w:id="1119377693">
          <w:marLeft w:val="0"/>
          <w:marRight w:val="0"/>
          <w:marTop w:val="0"/>
          <w:marBottom w:val="0"/>
          <w:divBdr>
            <w:top w:val="none" w:sz="0" w:space="0" w:color="auto"/>
            <w:left w:val="none" w:sz="0" w:space="0" w:color="auto"/>
            <w:bottom w:val="none" w:sz="0" w:space="0" w:color="auto"/>
            <w:right w:val="none" w:sz="0" w:space="0" w:color="auto"/>
          </w:divBdr>
        </w:div>
        <w:div w:id="1153258325">
          <w:marLeft w:val="0"/>
          <w:marRight w:val="0"/>
          <w:marTop w:val="0"/>
          <w:marBottom w:val="0"/>
          <w:divBdr>
            <w:top w:val="none" w:sz="0" w:space="0" w:color="auto"/>
            <w:left w:val="none" w:sz="0" w:space="0" w:color="auto"/>
            <w:bottom w:val="none" w:sz="0" w:space="0" w:color="auto"/>
            <w:right w:val="none" w:sz="0" w:space="0" w:color="auto"/>
          </w:divBdr>
        </w:div>
        <w:div w:id="1164011618">
          <w:marLeft w:val="0"/>
          <w:marRight w:val="0"/>
          <w:marTop w:val="0"/>
          <w:marBottom w:val="0"/>
          <w:divBdr>
            <w:top w:val="none" w:sz="0" w:space="0" w:color="auto"/>
            <w:left w:val="none" w:sz="0" w:space="0" w:color="auto"/>
            <w:bottom w:val="none" w:sz="0" w:space="0" w:color="auto"/>
            <w:right w:val="none" w:sz="0" w:space="0" w:color="auto"/>
          </w:divBdr>
        </w:div>
        <w:div w:id="1190417477">
          <w:marLeft w:val="0"/>
          <w:marRight w:val="0"/>
          <w:marTop w:val="0"/>
          <w:marBottom w:val="0"/>
          <w:divBdr>
            <w:top w:val="none" w:sz="0" w:space="0" w:color="auto"/>
            <w:left w:val="none" w:sz="0" w:space="0" w:color="auto"/>
            <w:bottom w:val="none" w:sz="0" w:space="0" w:color="auto"/>
            <w:right w:val="none" w:sz="0" w:space="0" w:color="auto"/>
          </w:divBdr>
        </w:div>
        <w:div w:id="1205752075">
          <w:marLeft w:val="0"/>
          <w:marRight w:val="0"/>
          <w:marTop w:val="0"/>
          <w:marBottom w:val="0"/>
          <w:divBdr>
            <w:top w:val="none" w:sz="0" w:space="0" w:color="auto"/>
            <w:left w:val="none" w:sz="0" w:space="0" w:color="auto"/>
            <w:bottom w:val="none" w:sz="0" w:space="0" w:color="auto"/>
            <w:right w:val="none" w:sz="0" w:space="0" w:color="auto"/>
          </w:divBdr>
        </w:div>
        <w:div w:id="1330673291">
          <w:marLeft w:val="0"/>
          <w:marRight w:val="0"/>
          <w:marTop w:val="0"/>
          <w:marBottom w:val="0"/>
          <w:divBdr>
            <w:top w:val="none" w:sz="0" w:space="0" w:color="auto"/>
            <w:left w:val="none" w:sz="0" w:space="0" w:color="auto"/>
            <w:bottom w:val="none" w:sz="0" w:space="0" w:color="auto"/>
            <w:right w:val="none" w:sz="0" w:space="0" w:color="auto"/>
          </w:divBdr>
        </w:div>
        <w:div w:id="1363551708">
          <w:marLeft w:val="0"/>
          <w:marRight w:val="0"/>
          <w:marTop w:val="0"/>
          <w:marBottom w:val="0"/>
          <w:divBdr>
            <w:top w:val="none" w:sz="0" w:space="0" w:color="auto"/>
            <w:left w:val="none" w:sz="0" w:space="0" w:color="auto"/>
            <w:bottom w:val="none" w:sz="0" w:space="0" w:color="auto"/>
            <w:right w:val="none" w:sz="0" w:space="0" w:color="auto"/>
          </w:divBdr>
        </w:div>
        <w:div w:id="1449591552">
          <w:marLeft w:val="0"/>
          <w:marRight w:val="0"/>
          <w:marTop w:val="0"/>
          <w:marBottom w:val="0"/>
          <w:divBdr>
            <w:top w:val="none" w:sz="0" w:space="0" w:color="auto"/>
            <w:left w:val="none" w:sz="0" w:space="0" w:color="auto"/>
            <w:bottom w:val="none" w:sz="0" w:space="0" w:color="auto"/>
            <w:right w:val="none" w:sz="0" w:space="0" w:color="auto"/>
          </w:divBdr>
        </w:div>
        <w:div w:id="1455514375">
          <w:marLeft w:val="0"/>
          <w:marRight w:val="0"/>
          <w:marTop w:val="0"/>
          <w:marBottom w:val="0"/>
          <w:divBdr>
            <w:top w:val="none" w:sz="0" w:space="0" w:color="auto"/>
            <w:left w:val="none" w:sz="0" w:space="0" w:color="auto"/>
            <w:bottom w:val="none" w:sz="0" w:space="0" w:color="auto"/>
            <w:right w:val="none" w:sz="0" w:space="0" w:color="auto"/>
          </w:divBdr>
        </w:div>
        <w:div w:id="1478572519">
          <w:marLeft w:val="0"/>
          <w:marRight w:val="0"/>
          <w:marTop w:val="0"/>
          <w:marBottom w:val="0"/>
          <w:divBdr>
            <w:top w:val="none" w:sz="0" w:space="0" w:color="auto"/>
            <w:left w:val="none" w:sz="0" w:space="0" w:color="auto"/>
            <w:bottom w:val="none" w:sz="0" w:space="0" w:color="auto"/>
            <w:right w:val="none" w:sz="0" w:space="0" w:color="auto"/>
          </w:divBdr>
        </w:div>
        <w:div w:id="1569997087">
          <w:marLeft w:val="0"/>
          <w:marRight w:val="0"/>
          <w:marTop w:val="0"/>
          <w:marBottom w:val="0"/>
          <w:divBdr>
            <w:top w:val="none" w:sz="0" w:space="0" w:color="auto"/>
            <w:left w:val="none" w:sz="0" w:space="0" w:color="auto"/>
            <w:bottom w:val="none" w:sz="0" w:space="0" w:color="auto"/>
            <w:right w:val="none" w:sz="0" w:space="0" w:color="auto"/>
          </w:divBdr>
        </w:div>
        <w:div w:id="1577548284">
          <w:marLeft w:val="0"/>
          <w:marRight w:val="0"/>
          <w:marTop w:val="0"/>
          <w:marBottom w:val="0"/>
          <w:divBdr>
            <w:top w:val="none" w:sz="0" w:space="0" w:color="auto"/>
            <w:left w:val="none" w:sz="0" w:space="0" w:color="auto"/>
            <w:bottom w:val="none" w:sz="0" w:space="0" w:color="auto"/>
            <w:right w:val="none" w:sz="0" w:space="0" w:color="auto"/>
          </w:divBdr>
        </w:div>
        <w:div w:id="1649018664">
          <w:marLeft w:val="0"/>
          <w:marRight w:val="0"/>
          <w:marTop w:val="0"/>
          <w:marBottom w:val="0"/>
          <w:divBdr>
            <w:top w:val="none" w:sz="0" w:space="0" w:color="auto"/>
            <w:left w:val="none" w:sz="0" w:space="0" w:color="auto"/>
            <w:bottom w:val="none" w:sz="0" w:space="0" w:color="auto"/>
            <w:right w:val="none" w:sz="0" w:space="0" w:color="auto"/>
          </w:divBdr>
        </w:div>
        <w:div w:id="1708752702">
          <w:marLeft w:val="0"/>
          <w:marRight w:val="0"/>
          <w:marTop w:val="0"/>
          <w:marBottom w:val="0"/>
          <w:divBdr>
            <w:top w:val="none" w:sz="0" w:space="0" w:color="auto"/>
            <w:left w:val="none" w:sz="0" w:space="0" w:color="auto"/>
            <w:bottom w:val="none" w:sz="0" w:space="0" w:color="auto"/>
            <w:right w:val="none" w:sz="0" w:space="0" w:color="auto"/>
          </w:divBdr>
        </w:div>
        <w:div w:id="1721512508">
          <w:marLeft w:val="0"/>
          <w:marRight w:val="0"/>
          <w:marTop w:val="0"/>
          <w:marBottom w:val="0"/>
          <w:divBdr>
            <w:top w:val="none" w:sz="0" w:space="0" w:color="auto"/>
            <w:left w:val="none" w:sz="0" w:space="0" w:color="auto"/>
            <w:bottom w:val="none" w:sz="0" w:space="0" w:color="auto"/>
            <w:right w:val="none" w:sz="0" w:space="0" w:color="auto"/>
          </w:divBdr>
        </w:div>
        <w:div w:id="1726878671">
          <w:marLeft w:val="0"/>
          <w:marRight w:val="0"/>
          <w:marTop w:val="0"/>
          <w:marBottom w:val="0"/>
          <w:divBdr>
            <w:top w:val="none" w:sz="0" w:space="0" w:color="auto"/>
            <w:left w:val="none" w:sz="0" w:space="0" w:color="auto"/>
            <w:bottom w:val="none" w:sz="0" w:space="0" w:color="auto"/>
            <w:right w:val="none" w:sz="0" w:space="0" w:color="auto"/>
          </w:divBdr>
        </w:div>
        <w:div w:id="1727029784">
          <w:marLeft w:val="0"/>
          <w:marRight w:val="0"/>
          <w:marTop w:val="0"/>
          <w:marBottom w:val="0"/>
          <w:divBdr>
            <w:top w:val="none" w:sz="0" w:space="0" w:color="auto"/>
            <w:left w:val="none" w:sz="0" w:space="0" w:color="auto"/>
            <w:bottom w:val="none" w:sz="0" w:space="0" w:color="auto"/>
            <w:right w:val="none" w:sz="0" w:space="0" w:color="auto"/>
          </w:divBdr>
        </w:div>
        <w:div w:id="1804081385">
          <w:marLeft w:val="0"/>
          <w:marRight w:val="0"/>
          <w:marTop w:val="0"/>
          <w:marBottom w:val="0"/>
          <w:divBdr>
            <w:top w:val="none" w:sz="0" w:space="0" w:color="auto"/>
            <w:left w:val="none" w:sz="0" w:space="0" w:color="auto"/>
            <w:bottom w:val="none" w:sz="0" w:space="0" w:color="auto"/>
            <w:right w:val="none" w:sz="0" w:space="0" w:color="auto"/>
          </w:divBdr>
        </w:div>
        <w:div w:id="1821920923">
          <w:marLeft w:val="0"/>
          <w:marRight w:val="0"/>
          <w:marTop w:val="0"/>
          <w:marBottom w:val="0"/>
          <w:divBdr>
            <w:top w:val="none" w:sz="0" w:space="0" w:color="auto"/>
            <w:left w:val="none" w:sz="0" w:space="0" w:color="auto"/>
            <w:bottom w:val="none" w:sz="0" w:space="0" w:color="auto"/>
            <w:right w:val="none" w:sz="0" w:space="0" w:color="auto"/>
          </w:divBdr>
        </w:div>
        <w:div w:id="1828009089">
          <w:marLeft w:val="0"/>
          <w:marRight w:val="0"/>
          <w:marTop w:val="0"/>
          <w:marBottom w:val="0"/>
          <w:divBdr>
            <w:top w:val="none" w:sz="0" w:space="0" w:color="auto"/>
            <w:left w:val="none" w:sz="0" w:space="0" w:color="auto"/>
            <w:bottom w:val="none" w:sz="0" w:space="0" w:color="auto"/>
            <w:right w:val="none" w:sz="0" w:space="0" w:color="auto"/>
          </w:divBdr>
        </w:div>
        <w:div w:id="1843155629">
          <w:marLeft w:val="0"/>
          <w:marRight w:val="0"/>
          <w:marTop w:val="0"/>
          <w:marBottom w:val="0"/>
          <w:divBdr>
            <w:top w:val="none" w:sz="0" w:space="0" w:color="auto"/>
            <w:left w:val="none" w:sz="0" w:space="0" w:color="auto"/>
            <w:bottom w:val="none" w:sz="0" w:space="0" w:color="auto"/>
            <w:right w:val="none" w:sz="0" w:space="0" w:color="auto"/>
          </w:divBdr>
        </w:div>
        <w:div w:id="1852181805">
          <w:marLeft w:val="0"/>
          <w:marRight w:val="0"/>
          <w:marTop w:val="0"/>
          <w:marBottom w:val="0"/>
          <w:divBdr>
            <w:top w:val="none" w:sz="0" w:space="0" w:color="auto"/>
            <w:left w:val="none" w:sz="0" w:space="0" w:color="auto"/>
            <w:bottom w:val="none" w:sz="0" w:space="0" w:color="auto"/>
            <w:right w:val="none" w:sz="0" w:space="0" w:color="auto"/>
          </w:divBdr>
        </w:div>
        <w:div w:id="1859000292">
          <w:marLeft w:val="0"/>
          <w:marRight w:val="0"/>
          <w:marTop w:val="0"/>
          <w:marBottom w:val="0"/>
          <w:divBdr>
            <w:top w:val="none" w:sz="0" w:space="0" w:color="auto"/>
            <w:left w:val="none" w:sz="0" w:space="0" w:color="auto"/>
            <w:bottom w:val="none" w:sz="0" w:space="0" w:color="auto"/>
            <w:right w:val="none" w:sz="0" w:space="0" w:color="auto"/>
          </w:divBdr>
        </w:div>
        <w:div w:id="1886867479">
          <w:marLeft w:val="0"/>
          <w:marRight w:val="0"/>
          <w:marTop w:val="0"/>
          <w:marBottom w:val="0"/>
          <w:divBdr>
            <w:top w:val="none" w:sz="0" w:space="0" w:color="auto"/>
            <w:left w:val="none" w:sz="0" w:space="0" w:color="auto"/>
            <w:bottom w:val="none" w:sz="0" w:space="0" w:color="auto"/>
            <w:right w:val="none" w:sz="0" w:space="0" w:color="auto"/>
          </w:divBdr>
        </w:div>
        <w:div w:id="1888952578">
          <w:marLeft w:val="0"/>
          <w:marRight w:val="0"/>
          <w:marTop w:val="0"/>
          <w:marBottom w:val="0"/>
          <w:divBdr>
            <w:top w:val="none" w:sz="0" w:space="0" w:color="auto"/>
            <w:left w:val="none" w:sz="0" w:space="0" w:color="auto"/>
            <w:bottom w:val="none" w:sz="0" w:space="0" w:color="auto"/>
            <w:right w:val="none" w:sz="0" w:space="0" w:color="auto"/>
          </w:divBdr>
        </w:div>
        <w:div w:id="1952278228">
          <w:marLeft w:val="0"/>
          <w:marRight w:val="0"/>
          <w:marTop w:val="0"/>
          <w:marBottom w:val="0"/>
          <w:divBdr>
            <w:top w:val="none" w:sz="0" w:space="0" w:color="auto"/>
            <w:left w:val="none" w:sz="0" w:space="0" w:color="auto"/>
            <w:bottom w:val="none" w:sz="0" w:space="0" w:color="auto"/>
            <w:right w:val="none" w:sz="0" w:space="0" w:color="auto"/>
          </w:divBdr>
        </w:div>
        <w:div w:id="1955988106">
          <w:marLeft w:val="0"/>
          <w:marRight w:val="0"/>
          <w:marTop w:val="0"/>
          <w:marBottom w:val="0"/>
          <w:divBdr>
            <w:top w:val="none" w:sz="0" w:space="0" w:color="auto"/>
            <w:left w:val="none" w:sz="0" w:space="0" w:color="auto"/>
            <w:bottom w:val="none" w:sz="0" w:space="0" w:color="auto"/>
            <w:right w:val="none" w:sz="0" w:space="0" w:color="auto"/>
          </w:divBdr>
        </w:div>
        <w:div w:id="2046716490">
          <w:marLeft w:val="0"/>
          <w:marRight w:val="0"/>
          <w:marTop w:val="0"/>
          <w:marBottom w:val="0"/>
          <w:divBdr>
            <w:top w:val="none" w:sz="0" w:space="0" w:color="auto"/>
            <w:left w:val="none" w:sz="0" w:space="0" w:color="auto"/>
            <w:bottom w:val="none" w:sz="0" w:space="0" w:color="auto"/>
            <w:right w:val="none" w:sz="0" w:space="0" w:color="auto"/>
          </w:divBdr>
        </w:div>
        <w:div w:id="2067534536">
          <w:marLeft w:val="0"/>
          <w:marRight w:val="0"/>
          <w:marTop w:val="0"/>
          <w:marBottom w:val="0"/>
          <w:divBdr>
            <w:top w:val="none" w:sz="0" w:space="0" w:color="auto"/>
            <w:left w:val="none" w:sz="0" w:space="0" w:color="auto"/>
            <w:bottom w:val="none" w:sz="0" w:space="0" w:color="auto"/>
            <w:right w:val="none" w:sz="0" w:space="0" w:color="auto"/>
          </w:divBdr>
        </w:div>
        <w:div w:id="2089962744">
          <w:marLeft w:val="0"/>
          <w:marRight w:val="0"/>
          <w:marTop w:val="0"/>
          <w:marBottom w:val="0"/>
          <w:divBdr>
            <w:top w:val="none" w:sz="0" w:space="0" w:color="auto"/>
            <w:left w:val="none" w:sz="0" w:space="0" w:color="auto"/>
            <w:bottom w:val="none" w:sz="0" w:space="0" w:color="auto"/>
            <w:right w:val="none" w:sz="0" w:space="0" w:color="auto"/>
          </w:divBdr>
        </w:div>
      </w:divsChild>
    </w:div>
    <w:div w:id="1879703671">
      <w:bodyDiv w:val="1"/>
      <w:marLeft w:val="0"/>
      <w:marRight w:val="0"/>
      <w:marTop w:val="0"/>
      <w:marBottom w:val="0"/>
      <w:divBdr>
        <w:top w:val="none" w:sz="0" w:space="0" w:color="auto"/>
        <w:left w:val="none" w:sz="0" w:space="0" w:color="auto"/>
        <w:bottom w:val="none" w:sz="0" w:space="0" w:color="auto"/>
        <w:right w:val="none" w:sz="0" w:space="0" w:color="auto"/>
      </w:divBdr>
    </w:div>
    <w:div w:id="1880314971">
      <w:bodyDiv w:val="1"/>
      <w:marLeft w:val="0"/>
      <w:marRight w:val="0"/>
      <w:marTop w:val="0"/>
      <w:marBottom w:val="0"/>
      <w:divBdr>
        <w:top w:val="none" w:sz="0" w:space="0" w:color="auto"/>
        <w:left w:val="none" w:sz="0" w:space="0" w:color="auto"/>
        <w:bottom w:val="none" w:sz="0" w:space="0" w:color="auto"/>
        <w:right w:val="none" w:sz="0" w:space="0" w:color="auto"/>
      </w:divBdr>
    </w:div>
    <w:div w:id="1895267146">
      <w:bodyDiv w:val="1"/>
      <w:marLeft w:val="0"/>
      <w:marRight w:val="0"/>
      <w:marTop w:val="0"/>
      <w:marBottom w:val="0"/>
      <w:divBdr>
        <w:top w:val="none" w:sz="0" w:space="0" w:color="auto"/>
        <w:left w:val="none" w:sz="0" w:space="0" w:color="auto"/>
        <w:bottom w:val="none" w:sz="0" w:space="0" w:color="auto"/>
        <w:right w:val="none" w:sz="0" w:space="0" w:color="auto"/>
      </w:divBdr>
    </w:div>
    <w:div w:id="1924414582">
      <w:bodyDiv w:val="1"/>
      <w:marLeft w:val="0"/>
      <w:marRight w:val="0"/>
      <w:marTop w:val="0"/>
      <w:marBottom w:val="0"/>
      <w:divBdr>
        <w:top w:val="none" w:sz="0" w:space="0" w:color="auto"/>
        <w:left w:val="none" w:sz="0" w:space="0" w:color="auto"/>
        <w:bottom w:val="none" w:sz="0" w:space="0" w:color="auto"/>
        <w:right w:val="none" w:sz="0" w:space="0" w:color="auto"/>
      </w:divBdr>
    </w:div>
    <w:div w:id="1932733227">
      <w:bodyDiv w:val="1"/>
      <w:marLeft w:val="0"/>
      <w:marRight w:val="0"/>
      <w:marTop w:val="0"/>
      <w:marBottom w:val="0"/>
      <w:divBdr>
        <w:top w:val="none" w:sz="0" w:space="0" w:color="auto"/>
        <w:left w:val="none" w:sz="0" w:space="0" w:color="auto"/>
        <w:bottom w:val="none" w:sz="0" w:space="0" w:color="auto"/>
        <w:right w:val="none" w:sz="0" w:space="0" w:color="auto"/>
      </w:divBdr>
    </w:div>
    <w:div w:id="1938363290">
      <w:bodyDiv w:val="1"/>
      <w:marLeft w:val="0"/>
      <w:marRight w:val="0"/>
      <w:marTop w:val="0"/>
      <w:marBottom w:val="0"/>
      <w:divBdr>
        <w:top w:val="none" w:sz="0" w:space="0" w:color="auto"/>
        <w:left w:val="none" w:sz="0" w:space="0" w:color="auto"/>
        <w:bottom w:val="none" w:sz="0" w:space="0" w:color="auto"/>
        <w:right w:val="none" w:sz="0" w:space="0" w:color="auto"/>
      </w:divBdr>
    </w:div>
    <w:div w:id="1946113066">
      <w:bodyDiv w:val="1"/>
      <w:marLeft w:val="0"/>
      <w:marRight w:val="0"/>
      <w:marTop w:val="0"/>
      <w:marBottom w:val="0"/>
      <w:divBdr>
        <w:top w:val="none" w:sz="0" w:space="0" w:color="auto"/>
        <w:left w:val="none" w:sz="0" w:space="0" w:color="auto"/>
        <w:bottom w:val="none" w:sz="0" w:space="0" w:color="auto"/>
        <w:right w:val="none" w:sz="0" w:space="0" w:color="auto"/>
      </w:divBdr>
    </w:div>
    <w:div w:id="1960793483">
      <w:bodyDiv w:val="1"/>
      <w:marLeft w:val="0"/>
      <w:marRight w:val="0"/>
      <w:marTop w:val="0"/>
      <w:marBottom w:val="0"/>
      <w:divBdr>
        <w:top w:val="none" w:sz="0" w:space="0" w:color="auto"/>
        <w:left w:val="none" w:sz="0" w:space="0" w:color="auto"/>
        <w:bottom w:val="none" w:sz="0" w:space="0" w:color="auto"/>
        <w:right w:val="none" w:sz="0" w:space="0" w:color="auto"/>
      </w:divBdr>
    </w:div>
    <w:div w:id="1969510323">
      <w:bodyDiv w:val="1"/>
      <w:marLeft w:val="0"/>
      <w:marRight w:val="0"/>
      <w:marTop w:val="0"/>
      <w:marBottom w:val="0"/>
      <w:divBdr>
        <w:top w:val="none" w:sz="0" w:space="0" w:color="auto"/>
        <w:left w:val="none" w:sz="0" w:space="0" w:color="auto"/>
        <w:bottom w:val="none" w:sz="0" w:space="0" w:color="auto"/>
        <w:right w:val="none" w:sz="0" w:space="0" w:color="auto"/>
      </w:divBdr>
    </w:div>
    <w:div w:id="1983150236">
      <w:bodyDiv w:val="1"/>
      <w:marLeft w:val="0"/>
      <w:marRight w:val="0"/>
      <w:marTop w:val="0"/>
      <w:marBottom w:val="0"/>
      <w:divBdr>
        <w:top w:val="none" w:sz="0" w:space="0" w:color="auto"/>
        <w:left w:val="none" w:sz="0" w:space="0" w:color="auto"/>
        <w:bottom w:val="none" w:sz="0" w:space="0" w:color="auto"/>
        <w:right w:val="none" w:sz="0" w:space="0" w:color="auto"/>
      </w:divBdr>
    </w:div>
    <w:div w:id="2021659776">
      <w:bodyDiv w:val="1"/>
      <w:marLeft w:val="0"/>
      <w:marRight w:val="0"/>
      <w:marTop w:val="0"/>
      <w:marBottom w:val="0"/>
      <w:divBdr>
        <w:top w:val="none" w:sz="0" w:space="0" w:color="auto"/>
        <w:left w:val="none" w:sz="0" w:space="0" w:color="auto"/>
        <w:bottom w:val="none" w:sz="0" w:space="0" w:color="auto"/>
        <w:right w:val="none" w:sz="0" w:space="0" w:color="auto"/>
      </w:divBdr>
      <w:divsChild>
        <w:div w:id="158891966">
          <w:marLeft w:val="0"/>
          <w:marRight w:val="0"/>
          <w:marTop w:val="0"/>
          <w:marBottom w:val="0"/>
          <w:divBdr>
            <w:top w:val="none" w:sz="0" w:space="0" w:color="auto"/>
            <w:left w:val="none" w:sz="0" w:space="0" w:color="auto"/>
            <w:bottom w:val="none" w:sz="0" w:space="0" w:color="auto"/>
            <w:right w:val="none" w:sz="0" w:space="0" w:color="auto"/>
          </w:divBdr>
          <w:divsChild>
            <w:div w:id="1418088931">
              <w:marLeft w:val="0"/>
              <w:marRight w:val="0"/>
              <w:marTop w:val="0"/>
              <w:marBottom w:val="0"/>
              <w:divBdr>
                <w:top w:val="none" w:sz="0" w:space="0" w:color="auto"/>
                <w:left w:val="none" w:sz="0" w:space="0" w:color="auto"/>
                <w:bottom w:val="none" w:sz="0" w:space="0" w:color="auto"/>
                <w:right w:val="none" w:sz="0" w:space="0" w:color="auto"/>
              </w:divBdr>
              <w:divsChild>
                <w:div w:id="38360479">
                  <w:marLeft w:val="0"/>
                  <w:marRight w:val="0"/>
                  <w:marTop w:val="0"/>
                  <w:marBottom w:val="0"/>
                  <w:divBdr>
                    <w:top w:val="none" w:sz="0" w:space="0" w:color="auto"/>
                    <w:left w:val="none" w:sz="0" w:space="0" w:color="auto"/>
                    <w:bottom w:val="none" w:sz="0" w:space="0" w:color="auto"/>
                    <w:right w:val="none" w:sz="0" w:space="0" w:color="auto"/>
                  </w:divBdr>
                  <w:divsChild>
                    <w:div w:id="97166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052427">
      <w:bodyDiv w:val="1"/>
      <w:marLeft w:val="0"/>
      <w:marRight w:val="0"/>
      <w:marTop w:val="0"/>
      <w:marBottom w:val="0"/>
      <w:divBdr>
        <w:top w:val="none" w:sz="0" w:space="0" w:color="auto"/>
        <w:left w:val="none" w:sz="0" w:space="0" w:color="auto"/>
        <w:bottom w:val="none" w:sz="0" w:space="0" w:color="auto"/>
        <w:right w:val="none" w:sz="0" w:space="0" w:color="auto"/>
      </w:divBdr>
      <w:divsChild>
        <w:div w:id="696778920">
          <w:marLeft w:val="0"/>
          <w:marRight w:val="0"/>
          <w:marTop w:val="0"/>
          <w:marBottom w:val="0"/>
          <w:divBdr>
            <w:top w:val="none" w:sz="0" w:space="0" w:color="auto"/>
            <w:left w:val="none" w:sz="0" w:space="0" w:color="auto"/>
            <w:bottom w:val="none" w:sz="0" w:space="0" w:color="auto"/>
            <w:right w:val="none" w:sz="0" w:space="0" w:color="auto"/>
          </w:divBdr>
        </w:div>
      </w:divsChild>
    </w:div>
    <w:div w:id="2034261265">
      <w:bodyDiv w:val="1"/>
      <w:marLeft w:val="0"/>
      <w:marRight w:val="0"/>
      <w:marTop w:val="0"/>
      <w:marBottom w:val="0"/>
      <w:divBdr>
        <w:top w:val="none" w:sz="0" w:space="0" w:color="auto"/>
        <w:left w:val="none" w:sz="0" w:space="0" w:color="auto"/>
        <w:bottom w:val="none" w:sz="0" w:space="0" w:color="auto"/>
        <w:right w:val="none" w:sz="0" w:space="0" w:color="auto"/>
      </w:divBdr>
    </w:div>
    <w:div w:id="2046099636">
      <w:bodyDiv w:val="1"/>
      <w:marLeft w:val="0"/>
      <w:marRight w:val="0"/>
      <w:marTop w:val="0"/>
      <w:marBottom w:val="0"/>
      <w:divBdr>
        <w:top w:val="none" w:sz="0" w:space="0" w:color="auto"/>
        <w:left w:val="none" w:sz="0" w:space="0" w:color="auto"/>
        <w:bottom w:val="none" w:sz="0" w:space="0" w:color="auto"/>
        <w:right w:val="none" w:sz="0" w:space="0" w:color="auto"/>
      </w:divBdr>
    </w:div>
    <w:div w:id="2065058820">
      <w:bodyDiv w:val="1"/>
      <w:marLeft w:val="0"/>
      <w:marRight w:val="0"/>
      <w:marTop w:val="0"/>
      <w:marBottom w:val="0"/>
      <w:divBdr>
        <w:top w:val="none" w:sz="0" w:space="0" w:color="auto"/>
        <w:left w:val="none" w:sz="0" w:space="0" w:color="auto"/>
        <w:bottom w:val="none" w:sz="0" w:space="0" w:color="auto"/>
        <w:right w:val="none" w:sz="0" w:space="0" w:color="auto"/>
      </w:divBdr>
    </w:div>
    <w:div w:id="2065134127">
      <w:bodyDiv w:val="1"/>
      <w:marLeft w:val="0"/>
      <w:marRight w:val="0"/>
      <w:marTop w:val="0"/>
      <w:marBottom w:val="0"/>
      <w:divBdr>
        <w:top w:val="none" w:sz="0" w:space="0" w:color="auto"/>
        <w:left w:val="none" w:sz="0" w:space="0" w:color="auto"/>
        <w:bottom w:val="none" w:sz="0" w:space="0" w:color="auto"/>
        <w:right w:val="none" w:sz="0" w:space="0" w:color="auto"/>
      </w:divBdr>
    </w:div>
    <w:div w:id="2111853752">
      <w:bodyDiv w:val="1"/>
      <w:marLeft w:val="0"/>
      <w:marRight w:val="0"/>
      <w:marTop w:val="0"/>
      <w:marBottom w:val="0"/>
      <w:divBdr>
        <w:top w:val="none" w:sz="0" w:space="0" w:color="auto"/>
        <w:left w:val="none" w:sz="0" w:space="0" w:color="auto"/>
        <w:bottom w:val="none" w:sz="0" w:space="0" w:color="auto"/>
        <w:right w:val="none" w:sz="0" w:space="0" w:color="auto"/>
      </w:divBdr>
    </w:div>
    <w:div w:id="213104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52/ajprenal.2000.278.4.F585" TargetMode="External"/><Relationship Id="rId299" Type="http://schemas.openxmlformats.org/officeDocument/2006/relationships/hyperlink" Target="https://doi.org/10.1186/s12889-017-4451-0" TargetMode="External"/><Relationship Id="rId21" Type="http://schemas.openxmlformats.org/officeDocument/2006/relationships/hyperlink" Target="https://www.eatforhealth.gov.au/nutrient-reference-values/glossary" TargetMode="External"/><Relationship Id="rId63" Type="http://schemas.openxmlformats.org/officeDocument/2006/relationships/hyperlink" Target="https://www.abs.gov.au/statistics/health/food-and-nutrition/usual-nutrient-intakes/2023" TargetMode="External"/><Relationship Id="rId159" Type="http://schemas.openxmlformats.org/officeDocument/2006/relationships/hyperlink" Target="https://doi.org/10.1093/advances/nmab036" TargetMode="External"/><Relationship Id="rId324" Type="http://schemas.openxmlformats.org/officeDocument/2006/relationships/hyperlink" Target="https://doi.org/10.1161/hypertensionaha.115.05851" TargetMode="External"/><Relationship Id="rId366" Type="http://schemas.openxmlformats.org/officeDocument/2006/relationships/hyperlink" Target="https://doi.org/10.1159/000484355" TargetMode="External"/><Relationship Id="rId170" Type="http://schemas.openxmlformats.org/officeDocument/2006/relationships/hyperlink" Target="https://doi.org/10.1111/j.1651-2227.1981.tb05540.x" TargetMode="External"/><Relationship Id="rId226" Type="http://schemas.openxmlformats.org/officeDocument/2006/relationships/hyperlink" Target="https://www.foodstandards.gov.au/sites/default/files/consumer/nutrition/salthowmuch/Documents/Salt_Intake_5.pdf" TargetMode="External"/><Relationship Id="rId268" Type="http://schemas.openxmlformats.org/officeDocument/2006/relationships/hyperlink" Target="https://doi.org/10.1161/circulationaha.107.730366" TargetMode="External"/><Relationship Id="rId32" Type="http://schemas.openxmlformats.org/officeDocument/2006/relationships/hyperlink" Target="https://www.eatforhealth.gov.au/nutrient-reference-values/glossary" TargetMode="External"/><Relationship Id="rId74" Type="http://schemas.openxmlformats.org/officeDocument/2006/relationships/hyperlink" Target="https://doi.org/10.1093/advances/nmz134" TargetMode="External"/><Relationship Id="rId128" Type="http://schemas.openxmlformats.org/officeDocument/2006/relationships/hyperlink" Target="https://doi.org/10.1093/ajcn/35.3.527" TargetMode="External"/><Relationship Id="rId335" Type="http://schemas.openxmlformats.org/officeDocument/2006/relationships/hyperlink" Target="https://doi.org/10.1186/s12889-015-2686-1" TargetMode="External"/><Relationship Id="rId377" Type="http://schemas.openxmlformats.org/officeDocument/2006/relationships/hyperlink" Target="https://doi.org/10.1186/s12963-023-00301-1" TargetMode="External"/><Relationship Id="rId5" Type="http://schemas.openxmlformats.org/officeDocument/2006/relationships/customXml" Target="../customXml/item5.xml"/><Relationship Id="rId181" Type="http://schemas.openxmlformats.org/officeDocument/2006/relationships/hyperlink" Target="https://doi.org/10.1111/j.1440-1797.2011.01550.x" TargetMode="External"/><Relationship Id="rId237" Type="http://schemas.openxmlformats.org/officeDocument/2006/relationships/hyperlink" Target="https://doi.org/10.1097/00004872-199203000-00013" TargetMode="External"/><Relationship Id="rId279" Type="http://schemas.openxmlformats.org/officeDocument/2006/relationships/hyperlink" Target="https://doi.org/10.1093/jn/117.6.1154" TargetMode="External"/><Relationship Id="rId43" Type="http://schemas.openxmlformats.org/officeDocument/2006/relationships/hyperlink" Target="https://www.eatforhealth.gov.au/nutrient-reference-values/glossary" TargetMode="External"/><Relationship Id="rId139" Type="http://schemas.openxmlformats.org/officeDocument/2006/relationships/hyperlink" Target="https://doi.org/10.2174/1573402111666150530204136" TargetMode="External"/><Relationship Id="rId290" Type="http://schemas.openxmlformats.org/officeDocument/2006/relationships/hyperlink" Target="https://www.foodstandards.gov.au/consumer/labelling/Health-Star-Rating-System" TargetMode="External"/><Relationship Id="rId304" Type="http://schemas.openxmlformats.org/officeDocument/2006/relationships/hyperlink" Target="https://www.health.qld.gov.au/__data/assets/pdf_file/0030/156288/qh-nutrition-standards.pdf" TargetMode="External"/><Relationship Id="rId346" Type="http://schemas.openxmlformats.org/officeDocument/2006/relationships/hyperlink" Target="https://www.nhmrc.gov.au/sites/default/files/documents/attachments/publications/policy-on-the-disclosure-of-interests-requirements.pdf" TargetMode="External"/><Relationship Id="rId85" Type="http://schemas.openxmlformats.org/officeDocument/2006/relationships/hyperlink" Target="https://doi.org/10.1038/s41430-025-01647-5" TargetMode="External"/><Relationship Id="rId150" Type="http://schemas.openxmlformats.org/officeDocument/2006/relationships/hyperlink" Target="https://doi.org/10.3390/nu9080918" TargetMode="External"/><Relationship Id="rId192" Type="http://schemas.openxmlformats.org/officeDocument/2006/relationships/hyperlink" Target="https://www.who.int/publications/i/item/9789241504836" TargetMode="External"/><Relationship Id="rId206" Type="http://schemas.openxmlformats.org/officeDocument/2006/relationships/hyperlink" Target="https://efsa.onlinelibrary.wiley.com/doi/10.2903/j.efsa.2019.5778" TargetMode="External"/><Relationship Id="rId248" Type="http://schemas.openxmlformats.org/officeDocument/2006/relationships/hyperlink" Target="https://www.abs.gov.au/statistics/health/health-conditions-and-risks/hypertension-and-high-measured-blood-pressure/latest-release" TargetMode="External"/><Relationship Id="rId12" Type="http://schemas.openxmlformats.org/officeDocument/2006/relationships/header" Target="header1.xml"/><Relationship Id="rId108" Type="http://schemas.openxmlformats.org/officeDocument/2006/relationships/hyperlink" Target="https://doi.org/10.1002/14651858.CD004022.pub5" TargetMode="External"/><Relationship Id="rId315" Type="http://schemas.openxmlformats.org/officeDocument/2006/relationships/hyperlink" Target="https://doi.org/10.29219/fnr.v68.10319" TargetMode="External"/><Relationship Id="rId357" Type="http://schemas.openxmlformats.org/officeDocument/2006/relationships/hyperlink" Target="https://doi.org/10.1111/jch.13958" TargetMode="External"/><Relationship Id="rId54" Type="http://schemas.openxmlformats.org/officeDocument/2006/relationships/image" Target="media/image6.emf"/><Relationship Id="rId96" Type="http://schemas.openxmlformats.org/officeDocument/2006/relationships/hyperlink" Target="https://doi.org/https://doi.org/10.1016/j.pmedr.2022.101927" TargetMode="External"/><Relationship Id="rId161" Type="http://schemas.openxmlformats.org/officeDocument/2006/relationships/hyperlink" Target="https://doi.org/10.1017/s1368980017004104" TargetMode="External"/><Relationship Id="rId217" Type="http://schemas.openxmlformats.org/officeDocument/2006/relationships/header" Target="header6.xml"/><Relationship Id="rId259" Type="http://schemas.openxmlformats.org/officeDocument/2006/relationships/hyperlink" Target="https://doi.org/https://doi.org/10.5694/j.1326-5377.1997.tb123189.x" TargetMode="External"/><Relationship Id="rId23" Type="http://schemas.openxmlformats.org/officeDocument/2006/relationships/hyperlink" Target="https://www.eatforhealth.gov.au/nutrient-reference-values/glossary" TargetMode="External"/><Relationship Id="rId119" Type="http://schemas.openxmlformats.org/officeDocument/2006/relationships/hyperlink" Target="https://doi.org/10.1002/14651858.CD006763.pub3" TargetMode="External"/><Relationship Id="rId270" Type="http://schemas.openxmlformats.org/officeDocument/2006/relationships/hyperlink" Target="https://doi.org/10.1017/S0007114522001295" TargetMode="External"/><Relationship Id="rId326" Type="http://schemas.openxmlformats.org/officeDocument/2006/relationships/hyperlink" Target="https://ranzcog.edu.au/wp-content/uploads/SOMANZ-Hypertensive-Disorders-Pregnancy.pdf" TargetMode="External"/><Relationship Id="rId65" Type="http://schemas.openxmlformats.org/officeDocument/2006/relationships/hyperlink" Target="https://www.healthstarrating.gov.au/monitoring-and-reviews/proposal-mandating-hsr-system" TargetMode="External"/><Relationship Id="rId130" Type="http://schemas.openxmlformats.org/officeDocument/2006/relationships/hyperlink" Target="https://doi.org/10.1016/j.kint.2016.07.012" TargetMode="External"/><Relationship Id="rId368" Type="http://schemas.openxmlformats.org/officeDocument/2006/relationships/hyperlink" Target="https://doi.org/10.5114/aoms/209720" TargetMode="External"/><Relationship Id="rId172" Type="http://schemas.openxmlformats.org/officeDocument/2006/relationships/hyperlink" Target="https://doi.org/10.1056/nejm200101043440101" TargetMode="External"/><Relationship Id="rId228" Type="http://schemas.openxmlformats.org/officeDocument/2006/relationships/hyperlink" Target="https://doi.org/https://doi.org/10.2903/j.efsa.2019.5778" TargetMode="External"/><Relationship Id="rId281" Type="http://schemas.openxmlformats.org/officeDocument/2006/relationships/hyperlink" Target="https://doi.org/10.2196/43675" TargetMode="External"/><Relationship Id="rId337" Type="http://schemas.openxmlformats.org/officeDocument/2006/relationships/hyperlink" Target="https://doi.org/10.1111/j.1753-6405.2008.00279.x" TargetMode="External"/><Relationship Id="rId34" Type="http://schemas.openxmlformats.org/officeDocument/2006/relationships/hyperlink" Target="https://www.eatforhealth.gov.au/nutrient-reference-values/glossary" TargetMode="External"/><Relationship Id="rId76" Type="http://schemas.openxmlformats.org/officeDocument/2006/relationships/hyperlink" Target="https://doi.org/10.1017/s000711452000032x" TargetMode="External"/><Relationship Id="rId141" Type="http://schemas.openxmlformats.org/officeDocument/2006/relationships/hyperlink" Target="https://doi.org/10.1097/spc.0000000000000404" TargetMode="External"/><Relationship Id="rId379" Type="http://schemas.openxmlformats.org/officeDocument/2006/relationships/hyperlink" Target="https://www.who.int/news-room/fact-sheets/detail/sodium-reduction" TargetMode="External"/><Relationship Id="rId7" Type="http://schemas.openxmlformats.org/officeDocument/2006/relationships/styles" Target="styles.xml"/><Relationship Id="rId183" Type="http://schemas.openxmlformats.org/officeDocument/2006/relationships/hyperlink" Target="https://www.health.govt.nz/system/files/2011-10/a-focus-on-nutrition-v2.pdf" TargetMode="External"/><Relationship Id="rId239" Type="http://schemas.openxmlformats.org/officeDocument/2006/relationships/hyperlink" Target="https://doi.org/10.1159/000484355" TargetMode="External"/><Relationship Id="rId250" Type="http://schemas.openxmlformats.org/officeDocument/2006/relationships/hyperlink" Target="https://www.abs.gov.au/statistics/health/food-and-nutrition/food-and-nutrients/2023" TargetMode="External"/><Relationship Id="rId292" Type="http://schemas.openxmlformats.org/officeDocument/2006/relationships/hyperlink" Target="https://www.foodstandards.gov.au/consumer/nutrition/sodium-salt/sodiumhowmuch" TargetMode="External"/><Relationship Id="rId306" Type="http://schemas.openxmlformats.org/officeDocument/2006/relationships/hyperlink" Target="https://doi.org/10.1017/s0007114508088041" TargetMode="External"/><Relationship Id="rId45" Type="http://schemas.openxmlformats.org/officeDocument/2006/relationships/header" Target="header4.xml"/><Relationship Id="rId87" Type="http://schemas.openxmlformats.org/officeDocument/2006/relationships/hyperlink" Target="https://doi.org/10.1097/00005176-198411000-00014" TargetMode="External"/><Relationship Id="rId110" Type="http://schemas.openxmlformats.org/officeDocument/2006/relationships/hyperlink" Target="https://doi.org/10.1136/bmjopen-2012-002106" TargetMode="External"/><Relationship Id="rId348" Type="http://schemas.openxmlformats.org/officeDocument/2006/relationships/hyperlink" Target="https://www.mpi.govt.nz/dmsdocument/43663-2016-NZ-Total-Diet-Study-without-Appendices-report-" TargetMode="External"/><Relationship Id="rId152" Type="http://schemas.openxmlformats.org/officeDocument/2006/relationships/hyperlink" Target="https://www.mdpi.com/2072-6643/17/22/3627" TargetMode="External"/><Relationship Id="rId194" Type="http://schemas.openxmlformats.org/officeDocument/2006/relationships/hyperlink" Target="https://doi.org/10.3967/bes2022.119" TargetMode="External"/><Relationship Id="rId208" Type="http://schemas.openxmlformats.org/officeDocument/2006/relationships/hyperlink" Target="https://efsa.onlinelibrary.wiley.com/doi/10.2903/j.efsa.2019.5778" TargetMode="External"/><Relationship Id="rId261" Type="http://schemas.openxmlformats.org/officeDocument/2006/relationships/hyperlink" Target="https://doi.org/10.1007/s13668-018-0239-9" TargetMode="External"/><Relationship Id="rId14" Type="http://schemas.openxmlformats.org/officeDocument/2006/relationships/footer" Target="footer1.xml"/><Relationship Id="rId56" Type="http://schemas.openxmlformats.org/officeDocument/2006/relationships/hyperlink" Target="https://www.aihw.gov.au/reports/burden-of-disease/australian-burden-of-disease-study-2024" TargetMode="External"/><Relationship Id="rId317" Type="http://schemas.openxmlformats.org/officeDocument/2006/relationships/hyperlink" Target="https://doi.org/10.3390/nu10060720" TargetMode="External"/><Relationship Id="rId359" Type="http://schemas.openxmlformats.org/officeDocument/2006/relationships/hyperlink" Target="https://doi.org/10.1186/s12937-021-00734-0" TargetMode="External"/><Relationship Id="rId98" Type="http://schemas.openxmlformats.org/officeDocument/2006/relationships/hyperlink" Target="https://doi.org/10.1161/circulationaha.120.050371" TargetMode="External"/><Relationship Id="rId121" Type="http://schemas.openxmlformats.org/officeDocument/2006/relationships/hyperlink" Target="https://doi.org/10.1016/0300-9629(93)90005-o" TargetMode="External"/><Relationship Id="rId163" Type="http://schemas.openxmlformats.org/officeDocument/2006/relationships/hyperlink" Target="https://doi.org/10.1136/bmjopen-2015-008698" TargetMode="External"/><Relationship Id="rId219" Type="http://schemas.openxmlformats.org/officeDocument/2006/relationships/hyperlink" Target="https://www.eatforhealth.gov.au/nutrient-reference-values/glossary" TargetMode="External"/><Relationship Id="rId370" Type="http://schemas.openxmlformats.org/officeDocument/2006/relationships/hyperlink" Target="https://doi.org/10.1016/j.beem.2017.10.008" TargetMode="External"/><Relationship Id="rId230" Type="http://schemas.openxmlformats.org/officeDocument/2006/relationships/hyperlink" Target="https://doi.org/10.1016/j.pcad.2009.12.006" TargetMode="External"/><Relationship Id="rId25" Type="http://schemas.openxmlformats.org/officeDocument/2006/relationships/hyperlink" Target="https://www.eatforhealth.gov.au/nutrient-reference-values/glossary" TargetMode="External"/><Relationship Id="rId67" Type="http://schemas.openxmlformats.org/officeDocument/2006/relationships/hyperlink" Target="https://www.aihw.gov.au/reports/risk-factors/hypertension/" TargetMode="External"/><Relationship Id="rId272" Type="http://schemas.openxmlformats.org/officeDocument/2006/relationships/hyperlink" Target="https://doi.org/10.1136/bmjnph-2020-000173" TargetMode="External"/><Relationship Id="rId328" Type="http://schemas.openxmlformats.org/officeDocument/2006/relationships/hyperlink" Target="https://doi.org/10.3390/nu13041138" TargetMode="External"/><Relationship Id="rId132" Type="http://schemas.openxmlformats.org/officeDocument/2006/relationships/hyperlink" Target="https://doi.org/10.5694/mja17.00394" TargetMode="External"/><Relationship Id="rId174" Type="http://schemas.openxmlformats.org/officeDocument/2006/relationships/hyperlink" Target="https://doi.org/10.4178/epih/e2014009" TargetMode="External"/><Relationship Id="rId381" Type="http://schemas.openxmlformats.org/officeDocument/2006/relationships/hyperlink" Target="https://www.who.int/health-topics/cardiovascular-diseases" TargetMode="External"/><Relationship Id="rId241" Type="http://schemas.openxmlformats.org/officeDocument/2006/relationships/hyperlink" Target="https://doi.org/10.1111/j.1440-1797.2011.01550.x" TargetMode="External"/><Relationship Id="rId36" Type="http://schemas.openxmlformats.org/officeDocument/2006/relationships/hyperlink" Target="https://www.eatforhealth.gov.au/nutrient-reference-values/glossary" TargetMode="External"/><Relationship Id="rId283" Type="http://schemas.openxmlformats.org/officeDocument/2006/relationships/hyperlink" Target="https://doi.org/10.1016/j.pmedr.2022.101927" TargetMode="External"/><Relationship Id="rId339" Type="http://schemas.openxmlformats.org/officeDocument/2006/relationships/hyperlink" Target="https://doi.org/10.1017/s1368980018002112" TargetMode="External"/><Relationship Id="rId78" Type="http://schemas.openxmlformats.org/officeDocument/2006/relationships/hyperlink" Target="https://doi.org/10.1016/0378-3782(84)90096-3" TargetMode="External"/><Relationship Id="rId101" Type="http://schemas.openxmlformats.org/officeDocument/2006/relationships/hyperlink" Target="https://www.foodstandards.gov.au/consumer/our-safe-food-supply/processed-foods" TargetMode="External"/><Relationship Id="rId143" Type="http://schemas.openxmlformats.org/officeDocument/2006/relationships/hyperlink" Target="https://doi.org/10.3390/nu7115439" TargetMode="External"/><Relationship Id="rId185" Type="http://schemas.openxmlformats.org/officeDocument/2006/relationships/hyperlink" Target="https://doi.org/10.3389/fnut.2022.1065710" TargetMode="External"/><Relationship Id="rId350" Type="http://schemas.openxmlformats.org/officeDocument/2006/relationships/hyperlink" Target="https://aci.health.nsw.gov.au/projects/nutrition-standards/adult/nutrient-goals" TargetMode="External"/><Relationship Id="rId9" Type="http://schemas.openxmlformats.org/officeDocument/2006/relationships/webSettings" Target="webSettings.xml"/><Relationship Id="rId210" Type="http://schemas.openxmlformats.org/officeDocument/2006/relationships/hyperlink" Target="https://efsa.onlinelibrary.wiley.com/doi/10.2903/j.efsa.2019.5778" TargetMode="External"/><Relationship Id="rId252" Type="http://schemas.openxmlformats.org/officeDocument/2006/relationships/hyperlink" Target="https://www.abs.gov.au/articles/healthy-food-partnership-reformulation-program-wave-1-four-year-progress" TargetMode="External"/><Relationship Id="rId294" Type="http://schemas.openxmlformats.org/officeDocument/2006/relationships/hyperlink" Target="https://doi.org/10.1093/ajcn/37.1.61" TargetMode="External"/><Relationship Id="rId308" Type="http://schemas.openxmlformats.org/officeDocument/2006/relationships/hyperlink" Target="https://doi.org/10.1093/ajcn/40.4.786" TargetMode="External"/><Relationship Id="rId47" Type="http://schemas.openxmlformats.org/officeDocument/2006/relationships/header" Target="header5.xml"/><Relationship Id="rId68" Type="http://schemas.openxmlformats.org/officeDocument/2006/relationships/hyperlink" Target="https://doi.org/10.1371/journal.pmed.1003427" TargetMode="External"/><Relationship Id="rId89" Type="http://schemas.openxmlformats.org/officeDocument/2006/relationships/hyperlink" Target="https://doi.org/10.1016/j.hlc.2017.04.010" TargetMode="External"/><Relationship Id="rId112" Type="http://schemas.openxmlformats.org/officeDocument/2006/relationships/hyperlink" Target="https://doi.org/10.1038/s41440-025-02489-1" TargetMode="External"/><Relationship Id="rId133" Type="http://schemas.openxmlformats.org/officeDocument/2006/relationships/hyperlink" Target="https://doi.org/10.1186/1479-5868-11-47" TargetMode="External"/><Relationship Id="rId154" Type="http://schemas.openxmlformats.org/officeDocument/2006/relationships/hyperlink" Target="https://doi.org/10.1016/s1054-139x(97)00036-0" TargetMode="External"/><Relationship Id="rId175" Type="http://schemas.openxmlformats.org/officeDocument/2006/relationships/hyperlink" Target="https://doi.org/10.3945/ajcn.111.014282" TargetMode="External"/><Relationship Id="rId340" Type="http://schemas.openxmlformats.org/officeDocument/2006/relationships/hyperlink" Target="https://www.mdpi.com/2072-6643/17/22/3627" TargetMode="External"/><Relationship Id="rId361" Type="http://schemas.openxmlformats.org/officeDocument/2006/relationships/hyperlink" Target="https://doi.org/10.1097/00004872-199203000-00013" TargetMode="External"/><Relationship Id="rId196" Type="http://schemas.openxmlformats.org/officeDocument/2006/relationships/hyperlink" Target="https://nhmrc.sharepoint.com/:b:/s/restrans/EeiXGitA0PhKmPIQsTAp4yIBSKab5eXhD8dLncVPL3DzEw?e=ga1W44" TargetMode="External"/><Relationship Id="rId200" Type="http://schemas.openxmlformats.org/officeDocument/2006/relationships/hyperlink" Target="https://aus01.safelinks.protection.outlook.com/?url=https%3A%2F%2Fwww.efsa.europa.eu%2Fen%2Fhowwework%2Findependentscience&amp;data=05%7C02%7Cnrv%40nhmrc.gov.au%7C44e49109fe8e4e1b400b08dc288a1916%7C402fca06dc9c412f9bf91a335a4671f7%7C0%7C0%7C638429820841719390%7CUnknown%7CTWFpbGZsb3d8eyJWIjoiMC4wLjAwMDAiLCJQIjoiV2luMzIiLCJBTiI6Ik1haWwiLCJXVCI6Mn0%3D%7C0%7C%7C%7C&amp;sdata=qYMXQ8%2B1bGkN6Sw2v2%2FDAs3CDDvFF8UpyGA4GXOaj%2BE%3D&amp;reserved=0" TargetMode="External"/><Relationship Id="rId382" Type="http://schemas.openxmlformats.org/officeDocument/2006/relationships/hyperlink" Target="https://doi.org/10.3967/bes2022.119" TargetMode="External"/><Relationship Id="rId16" Type="http://schemas.openxmlformats.org/officeDocument/2006/relationships/header" Target="header3.xml"/><Relationship Id="rId221" Type="http://schemas.openxmlformats.org/officeDocument/2006/relationships/hyperlink" Target="https://www.eatforhealth.gov.au/nutrient-reference-values/glossary" TargetMode="External"/><Relationship Id="rId242" Type="http://schemas.openxmlformats.org/officeDocument/2006/relationships/hyperlink" Target="https://www.eatforhealth.gov.au/nutrient-reference-values/glossary" TargetMode="External"/><Relationship Id="rId263" Type="http://schemas.openxmlformats.org/officeDocument/2006/relationships/hyperlink" Target="https://doi.org/10.6027/nord2023-003" TargetMode="External"/><Relationship Id="rId284" Type="http://schemas.openxmlformats.org/officeDocument/2006/relationships/hyperlink" Target="https://doi.org/https://doi.org/10.1016/j.pmedr.2022.101927" TargetMode="External"/><Relationship Id="rId319" Type="http://schemas.openxmlformats.org/officeDocument/2006/relationships/hyperlink" Target="https://doi.org/10.3177/jnsv.51.161" TargetMode="External"/><Relationship Id="rId37" Type="http://schemas.openxmlformats.org/officeDocument/2006/relationships/hyperlink" Target="https://www.eatforhealth.gov.au/nutrient-reference-values/glossary" TargetMode="External"/><Relationship Id="rId58" Type="http://schemas.openxmlformats.org/officeDocument/2006/relationships/hyperlink" Target="https://doi.org/10.1093/ajcn/54.1.69" TargetMode="External"/><Relationship Id="rId79" Type="http://schemas.openxmlformats.org/officeDocument/2006/relationships/hyperlink" Target="https://doi.org/10.1111/jch.13551" TargetMode="External"/><Relationship Id="rId102" Type="http://schemas.openxmlformats.org/officeDocument/2006/relationships/hyperlink" Target="https://www.foodstandards.gov.au/consumer/labelling/Health-Star-Rating-System" TargetMode="External"/><Relationship Id="rId123" Type="http://schemas.openxmlformats.org/officeDocument/2006/relationships/hyperlink" Target="https://doi.org/10.1136/bmj.m315" TargetMode="External"/><Relationship Id="rId144" Type="http://schemas.openxmlformats.org/officeDocument/2006/relationships/hyperlink" Target="https://doi.org/10.1038/jhh.2014.10" TargetMode="External"/><Relationship Id="rId330" Type="http://schemas.openxmlformats.org/officeDocument/2006/relationships/hyperlink" Target="https://doi.org/10.1007/s00424-015-1690-8" TargetMode="External"/><Relationship Id="rId90" Type="http://schemas.openxmlformats.org/officeDocument/2006/relationships/hyperlink" Target="https://doi.org/10.1161/hyp.0000000000000047" TargetMode="External"/><Relationship Id="rId165" Type="http://schemas.openxmlformats.org/officeDocument/2006/relationships/hyperlink" Target="https://doi.org/10.1210/jc.2003-031446" TargetMode="External"/><Relationship Id="rId186" Type="http://schemas.openxmlformats.org/officeDocument/2006/relationships/hyperlink" Target="https://doi.org/10.1007/s00394-022-02864-5" TargetMode="External"/><Relationship Id="rId351" Type="http://schemas.openxmlformats.org/officeDocument/2006/relationships/hyperlink" Target="https://doi.org/10.1136/bmjopen-2015-008698" TargetMode="External"/><Relationship Id="rId372" Type="http://schemas.openxmlformats.org/officeDocument/2006/relationships/hyperlink" Target="https://doi.org/10.1016/s0899-9007(97)00187-1" TargetMode="External"/><Relationship Id="rId211" Type="http://schemas.openxmlformats.org/officeDocument/2006/relationships/hyperlink" Target="https://efsa.onlinelibrary.wiley.com/doi/10.2903/j.efsa.2019.5778" TargetMode="External"/><Relationship Id="rId232" Type="http://schemas.openxmlformats.org/officeDocument/2006/relationships/hyperlink" Target="https://www.ncbi.nlm.nih.gov/sites/books/NBK545445/" TargetMode="External"/><Relationship Id="rId253" Type="http://schemas.openxmlformats.org/officeDocument/2006/relationships/hyperlink" Target="https://www.healthstarrating.gov.au/monitoring-and-reviews/proposal-mandating-hsr-system" TargetMode="External"/><Relationship Id="rId274" Type="http://schemas.openxmlformats.org/officeDocument/2006/relationships/hyperlink" Target="https://www.eatforhealth.gov.au/sites/default/files/2022-10/2017_Sodium_SD2_-_Statistical_Analyses.pdf" TargetMode="External"/><Relationship Id="rId295" Type="http://schemas.openxmlformats.org/officeDocument/2006/relationships/hyperlink" Target="https://doi.org/10.1017/jns.2024.35" TargetMode="External"/><Relationship Id="rId309" Type="http://schemas.openxmlformats.org/officeDocument/2006/relationships/hyperlink" Target="https://doi.org/10.1016/0300-9629(93)90005-o" TargetMode="External"/><Relationship Id="rId27" Type="http://schemas.openxmlformats.org/officeDocument/2006/relationships/hyperlink" Target="https://www.eatforhealth.gov.au/nutrient-reference-values/glossary" TargetMode="External"/><Relationship Id="rId48" Type="http://schemas.openxmlformats.org/officeDocument/2006/relationships/image" Target="media/image3.png"/><Relationship Id="rId69" Type="http://schemas.openxmlformats.org/officeDocument/2006/relationships/hyperlink" Target="https://doi.org/10.1016/j.clnu.2010.08.003" TargetMode="External"/><Relationship Id="rId113" Type="http://schemas.openxmlformats.org/officeDocument/2006/relationships/hyperlink" Target="https://doi.org/10.1136/bmjopen-2017-016639" TargetMode="External"/><Relationship Id="rId134" Type="http://schemas.openxmlformats.org/officeDocument/2006/relationships/hyperlink" Target="https://doi.org/10.3390/nu15092092" TargetMode="External"/><Relationship Id="rId320" Type="http://schemas.openxmlformats.org/officeDocument/2006/relationships/hyperlink" Target="https://doi.org/10.5694/mja17.00394" TargetMode="External"/><Relationship Id="rId80" Type="http://schemas.openxmlformats.org/officeDocument/2006/relationships/hyperlink" Target="https://doi.org/10.1161/circulationaha.107.730366" TargetMode="External"/><Relationship Id="rId155" Type="http://schemas.openxmlformats.org/officeDocument/2006/relationships/hyperlink" Target="https://www.ncbi.nlm.nih.gov/sites/books/NBK545445/" TargetMode="External"/><Relationship Id="rId176" Type="http://schemas.openxmlformats.org/officeDocument/2006/relationships/hyperlink" Target="https://doi.org/doi:10.1056/NEJMra1404489" TargetMode="External"/><Relationship Id="rId197" Type="http://schemas.openxmlformats.org/officeDocument/2006/relationships/hyperlink" Target="https://strokefoundation.org.au/media/ubgc3y2n/final-key-findings-report.pdf" TargetMode="External"/><Relationship Id="rId341" Type="http://schemas.openxmlformats.org/officeDocument/2006/relationships/hyperlink" Target="https://doi.org/10.1097/hjh.0000000000003699" TargetMode="External"/><Relationship Id="rId362" Type="http://schemas.openxmlformats.org/officeDocument/2006/relationships/hyperlink" Target="https://doi.org/10.4178/epih/e2014009" TargetMode="External"/><Relationship Id="rId383" Type="http://schemas.openxmlformats.org/officeDocument/2006/relationships/header" Target="header7.xml"/><Relationship Id="rId201" Type="http://schemas.openxmlformats.org/officeDocument/2006/relationships/hyperlink" Target="https://aus01.safelinks.protection.outlook.com/?url=https%3A%2F%2Feur-lex.europa.eu%2Flegal-content%2FEN%2FTXT%2F%3Furi%3DCELEX%3A32023B00576&amp;data=05%7C02%7Cnrv%40nhmrc.gov.au%7C44e49109fe8e4e1b400b08dc288a1916%7C402fca06dc9c412f9bf91a335a4671f7%7C0%7C0%7C638429820841728509%7CUnknown%7CTWFpbGZsb3d8eyJWIjoiMC4wLjAwMDAiLCJQIjoiV2luMzIiLCJBTiI6Ik1haWwiLCJXVCI6Mn0%3D%7C0%7C%7C%7C&amp;sdata=LdmgfzxwuM2383q%2BjXqg2zf8kDcVkcgUQgbzqwTLDHg%3D&amp;reserved=0" TargetMode="External"/><Relationship Id="rId222" Type="http://schemas.openxmlformats.org/officeDocument/2006/relationships/hyperlink" Target="https://www.eatforhealth.gov.au/nutrient-reference-values/glossary" TargetMode="External"/><Relationship Id="rId243" Type="http://schemas.openxmlformats.org/officeDocument/2006/relationships/hyperlink" Target="https://www.aihw.gov.au/reports/burden-of-disease/illness-death-indigenous-2018" TargetMode="External"/><Relationship Id="rId264" Type="http://schemas.openxmlformats.org/officeDocument/2006/relationships/hyperlink" Target="https://doi.org/10.1017/s000711452000032x" TargetMode="External"/><Relationship Id="rId285" Type="http://schemas.openxmlformats.org/officeDocument/2006/relationships/hyperlink" Target="https://doi.org/https://doi.org/10.1111/j.1651-2227.1981.tb16576.x" TargetMode="External"/><Relationship Id="rId17" Type="http://schemas.openxmlformats.org/officeDocument/2006/relationships/footer" Target="footer3.xml"/><Relationship Id="rId38" Type="http://schemas.openxmlformats.org/officeDocument/2006/relationships/hyperlink" Target="https://www.eatforhealth.gov.au/nutrient-reference-values/glossary" TargetMode="External"/><Relationship Id="rId59" Type="http://schemas.openxmlformats.org/officeDocument/2006/relationships/hyperlink" Target="https://doi.org/10.1007/s004210050454" TargetMode="External"/><Relationship Id="rId103" Type="http://schemas.openxmlformats.org/officeDocument/2006/relationships/hyperlink" Target="https://www.foodstandards.gov.au/consumer/nutrition/sodium-salt/salthowmuch" TargetMode="External"/><Relationship Id="rId124" Type="http://schemas.openxmlformats.org/officeDocument/2006/relationships/hyperlink" Target="https://doi.org/10.1093/eurheartj/ehz748.0446" TargetMode="External"/><Relationship Id="rId310" Type="http://schemas.openxmlformats.org/officeDocument/2006/relationships/hyperlink" Target="https://doi.org/10.29219/fnr.v68.10456" TargetMode="External"/><Relationship Id="rId70" Type="http://schemas.openxmlformats.org/officeDocument/2006/relationships/hyperlink" Target="https://doi.org/10.1016/s0140-6736(82)90491-3" TargetMode="External"/><Relationship Id="rId91" Type="http://schemas.openxmlformats.org/officeDocument/2006/relationships/hyperlink" Target="https://doi.org/10.1093/jn/117.6.1154" TargetMode="External"/><Relationship Id="rId145" Type="http://schemas.openxmlformats.org/officeDocument/2006/relationships/hyperlink" Target="https://doi.org/10.1111/jch.13391" TargetMode="External"/><Relationship Id="rId166" Type="http://schemas.openxmlformats.org/officeDocument/2006/relationships/hyperlink" Target="https://doi.org/10.1161/01.hyp.16.4.398" TargetMode="External"/><Relationship Id="rId187" Type="http://schemas.openxmlformats.org/officeDocument/2006/relationships/hyperlink" Target="https://doi.org/10.1016/j.mri.2016.10.023" TargetMode="External"/><Relationship Id="rId331" Type="http://schemas.openxmlformats.org/officeDocument/2006/relationships/hyperlink" Target="https://doi.org/10.3390/nu7115439" TargetMode="External"/><Relationship Id="rId352" Type="http://schemas.openxmlformats.org/officeDocument/2006/relationships/hyperlink" Target="https://doi.org/10.1161/01.cir.63.1.110" TargetMode="External"/><Relationship Id="rId373" Type="http://schemas.openxmlformats.org/officeDocument/2006/relationships/hyperlink" Target="https://doi.org/10.3389/fnut.2022.1065710" TargetMode="External"/><Relationship Id="rId1" Type="http://schemas.openxmlformats.org/officeDocument/2006/relationships/customXml" Target="../customXml/item1.xml"/><Relationship Id="rId212" Type="http://schemas.openxmlformats.org/officeDocument/2006/relationships/hyperlink" Target="https://efsa.onlinelibrary.wiley.com/doi/10.2903/j.efsa.2019.5778" TargetMode="External"/><Relationship Id="rId233" Type="http://schemas.openxmlformats.org/officeDocument/2006/relationships/hyperlink" Target="https://www.nhmrc.gov.au/about-us/publications/nutrient-reference-values-australia-and-new-zealand-including-recommended-dietary-intakes" TargetMode="External"/><Relationship Id="rId254" Type="http://schemas.openxmlformats.org/officeDocument/2006/relationships/hyperlink" Target="https://www.aihw.gov.au/reports/heart-stroke-vascular-diseases/hsvd-facts" TargetMode="External"/><Relationship Id="rId28" Type="http://schemas.openxmlformats.org/officeDocument/2006/relationships/hyperlink" Target="https://www.eatforhealth.gov.au/nutrient-reference-values/glossary" TargetMode="External"/><Relationship Id="rId49" Type="http://schemas.openxmlformats.org/officeDocument/2006/relationships/image" Target="media/image4.png"/><Relationship Id="rId114" Type="http://schemas.openxmlformats.org/officeDocument/2006/relationships/hyperlink" Target="https://doi.org/10.1016/s0022-3476(80)80729-3" TargetMode="External"/><Relationship Id="rId275" Type="http://schemas.openxmlformats.org/officeDocument/2006/relationships/hyperlink" Target="https://doi.org/10.1097/00005176-198411000-00014" TargetMode="External"/><Relationship Id="rId296" Type="http://schemas.openxmlformats.org/officeDocument/2006/relationships/hyperlink" Target="https://doi.org/10.1002/14651858.CD004022.pub5" TargetMode="External"/><Relationship Id="rId300" Type="http://schemas.openxmlformats.org/officeDocument/2006/relationships/hyperlink" Target="https://doi.org/10.1038/s41440-025-02489-1" TargetMode="External"/><Relationship Id="rId60" Type="http://schemas.openxmlformats.org/officeDocument/2006/relationships/hyperlink" Target="https://www.abs.gov.au/statistics/health/health-conditions-and-risks/hypertension-and-high-measured-blood-pressure/latest-release" TargetMode="External"/><Relationship Id="rId81" Type="http://schemas.openxmlformats.org/officeDocument/2006/relationships/hyperlink" Target="https://doi.org/10.1161/JAHA.124.037997" TargetMode="External"/><Relationship Id="rId135" Type="http://schemas.openxmlformats.org/officeDocument/2006/relationships/hyperlink" Target="https://doi.org/10.1203/00006450-198202000-00007" TargetMode="External"/><Relationship Id="rId156" Type="http://schemas.openxmlformats.org/officeDocument/2006/relationships/hyperlink" Target="https://www.nhmrc.gov.au/about-us/publications/nutrient-reference-values-australia-and-new-zealand-including-recommended-dietary-intakes" TargetMode="External"/><Relationship Id="rId177" Type="http://schemas.openxmlformats.org/officeDocument/2006/relationships/hyperlink" Target="https://doi.org/10.1001/jama.2011.574" TargetMode="External"/><Relationship Id="rId198" Type="http://schemas.openxmlformats.org/officeDocument/2006/relationships/hyperlink" Target="https://doi.org/10.2903/j.efsa.2019.5778" TargetMode="External"/><Relationship Id="rId321" Type="http://schemas.openxmlformats.org/officeDocument/2006/relationships/hyperlink" Target="https://doi.org/10.1186/1479-5868-11-47" TargetMode="External"/><Relationship Id="rId342" Type="http://schemas.openxmlformats.org/officeDocument/2006/relationships/hyperlink" Target="https://doi.org/10.1016/s1054-139x(97)00036-0" TargetMode="External"/><Relationship Id="rId363" Type="http://schemas.openxmlformats.org/officeDocument/2006/relationships/hyperlink" Target="https://doi.org/10.3945/ajcn.111.014282" TargetMode="External"/><Relationship Id="rId384" Type="http://schemas.openxmlformats.org/officeDocument/2006/relationships/fontTable" Target="fontTable.xml"/><Relationship Id="rId202" Type="http://schemas.openxmlformats.org/officeDocument/2006/relationships/hyperlink" Target="https://www.efsa.europa.eu/en/supporting/pub/en-1679" TargetMode="External"/><Relationship Id="rId223" Type="http://schemas.openxmlformats.org/officeDocument/2006/relationships/hyperlink" Target="https://www.abs.gov.au/statistics/health/food-and-nutrition/food-and-nutrients/2023" TargetMode="External"/><Relationship Id="rId244" Type="http://schemas.openxmlformats.org/officeDocument/2006/relationships/hyperlink" Target="https://www.aihw.gov.au/reports/burden-of-disease/australian-burden-of-disease-study-2024" TargetMode="External"/><Relationship Id="rId18" Type="http://schemas.openxmlformats.org/officeDocument/2006/relationships/hyperlink" Target="https://www.eatforhealth.gov.au/nutrient-reference-values/glossary" TargetMode="External"/><Relationship Id="rId39" Type="http://schemas.openxmlformats.org/officeDocument/2006/relationships/hyperlink" Target="https://www.eatforhealth.gov.au/nutrient-reference-values/glossary" TargetMode="External"/><Relationship Id="rId265" Type="http://schemas.openxmlformats.org/officeDocument/2006/relationships/hyperlink" Target="https://www.foodstandards.gov.au/sites/default/files/consumer/nutrition/salthowmuch/Documents/Salt_Intake_5.pdf" TargetMode="External"/><Relationship Id="rId286" Type="http://schemas.openxmlformats.org/officeDocument/2006/relationships/hyperlink" Target="https://doi.org/10.1161/circulationaha.120.050371" TargetMode="External"/><Relationship Id="rId50" Type="http://schemas.openxmlformats.org/officeDocument/2006/relationships/image" Target="media/image5.png"/><Relationship Id="rId104" Type="http://schemas.openxmlformats.org/officeDocument/2006/relationships/hyperlink" Target="https://www.foodstandards.gov.au/consumer/nutrition/sodium-salt/sodiumhowmuch" TargetMode="External"/><Relationship Id="rId125" Type="http://schemas.openxmlformats.org/officeDocument/2006/relationships/hyperlink" Target="https://vizhub.healthdata.org/gbd-results/" TargetMode="External"/><Relationship Id="rId146" Type="http://schemas.openxmlformats.org/officeDocument/2006/relationships/hyperlink" Target="https://doi.org/10.1038/s41430-018-0176-0" TargetMode="External"/><Relationship Id="rId167" Type="http://schemas.openxmlformats.org/officeDocument/2006/relationships/hyperlink" Target="https://doi.org/10.3945/an.114.006783" TargetMode="External"/><Relationship Id="rId188" Type="http://schemas.openxmlformats.org/officeDocument/2006/relationships/hyperlink" Target="https://doi.org/10.1016/j.lanwpc.2025.101511" TargetMode="External"/><Relationship Id="rId311" Type="http://schemas.openxmlformats.org/officeDocument/2006/relationships/hyperlink" Target="https://doi.org/10.1136/bmj.m315" TargetMode="External"/><Relationship Id="rId332" Type="http://schemas.openxmlformats.org/officeDocument/2006/relationships/hyperlink" Target="https://doi.org/10.1038/jhh.2014.10" TargetMode="External"/><Relationship Id="rId353" Type="http://schemas.openxmlformats.org/officeDocument/2006/relationships/hyperlink" Target="https://doi.org/10.1210/jc.2003-031446" TargetMode="External"/><Relationship Id="rId374" Type="http://schemas.openxmlformats.org/officeDocument/2006/relationships/hyperlink" Target="https://doi.org/10.1007/s00394-022-02864-5" TargetMode="External"/><Relationship Id="rId71" Type="http://schemas.openxmlformats.org/officeDocument/2006/relationships/hyperlink" Target="https://doi.org/https://doi.org/10.5694/j.1326-5377.1997.tb123189.x" TargetMode="External"/><Relationship Id="rId92" Type="http://schemas.openxmlformats.org/officeDocument/2006/relationships/hyperlink" Target="https://doi.org/https://doi.org/10.2903/j.efsa.2019.5778" TargetMode="External"/><Relationship Id="rId213" Type="http://schemas.openxmlformats.org/officeDocument/2006/relationships/hyperlink" Target="https://efsa.onlinelibrary.wiley.com/doi/10.2903/j.efsa.2019.5778" TargetMode="External"/><Relationship Id="rId234" Type="http://schemas.openxmlformats.org/officeDocument/2006/relationships/hyperlink" Target="https://doi.org/10.1210/jc.2003-031446" TargetMode="External"/><Relationship Id="rId2" Type="http://schemas.openxmlformats.org/officeDocument/2006/relationships/customXml" Target="../customXml/item2.xml"/><Relationship Id="rId29" Type="http://schemas.openxmlformats.org/officeDocument/2006/relationships/hyperlink" Target="https://www.eatforhealth.gov.au/nutrient-reference-values/glossary" TargetMode="External"/><Relationship Id="rId255" Type="http://schemas.openxmlformats.org/officeDocument/2006/relationships/hyperlink" Target="https://www.aihw.gov.au/reports/risk-factors/hypertension/" TargetMode="External"/><Relationship Id="rId276" Type="http://schemas.openxmlformats.org/officeDocument/2006/relationships/hyperlink" Target="https://doi.org/10.1097/00005176-198302030-00018" TargetMode="External"/><Relationship Id="rId297" Type="http://schemas.openxmlformats.org/officeDocument/2006/relationships/hyperlink" Target="https://doi.org/10.1017/s1368980023000332" TargetMode="External"/><Relationship Id="rId40" Type="http://schemas.openxmlformats.org/officeDocument/2006/relationships/hyperlink" Target="https://www.eatforhealth.gov.au/nutrient-reference-values/glossary" TargetMode="External"/><Relationship Id="rId115" Type="http://schemas.openxmlformats.org/officeDocument/2006/relationships/hyperlink" Target="https://doi.org/10.1016/j.pcad.2009.12.006" TargetMode="External"/><Relationship Id="rId136" Type="http://schemas.openxmlformats.org/officeDocument/2006/relationships/hyperlink" Target="https://doi.org/10.1161/hypertensionaha.115.05851" TargetMode="External"/><Relationship Id="rId157" Type="http://schemas.openxmlformats.org/officeDocument/2006/relationships/hyperlink" Target="https://www.eatforhealth.gov.au/sites/default/files/files/the_guidelines/n55b_eat_for_health_educators_guide.pdf" TargetMode="External"/><Relationship Id="rId178" Type="http://schemas.openxmlformats.org/officeDocument/2006/relationships/hyperlink" Target="https://doi.org/10.1159/000484355" TargetMode="External"/><Relationship Id="rId301" Type="http://schemas.openxmlformats.org/officeDocument/2006/relationships/hyperlink" Target="https://doi.org/10.1136/bmjopen-2017-016639" TargetMode="External"/><Relationship Id="rId322" Type="http://schemas.openxmlformats.org/officeDocument/2006/relationships/hyperlink" Target="https://doi.org/10.3390/nu15092092" TargetMode="External"/><Relationship Id="rId343" Type="http://schemas.openxmlformats.org/officeDocument/2006/relationships/hyperlink" Target="https://www.ncbi.nlm.nih.gov/sites/books/NBK545445/" TargetMode="External"/><Relationship Id="rId364" Type="http://schemas.openxmlformats.org/officeDocument/2006/relationships/hyperlink" Target="https://doi.org/doi:10.1056/NEJMra1404489" TargetMode="External"/><Relationship Id="rId61" Type="http://schemas.openxmlformats.org/officeDocument/2006/relationships/hyperlink" Target="https://www.abs.gov.au/statistics/people/aboriginal-and-torres-strait-islander-peoples/national-aboriginal-and-torres-strait-islander-nutrition-and-physical-activity-survey/latest-release" TargetMode="External"/><Relationship Id="rId82" Type="http://schemas.openxmlformats.org/officeDocument/2006/relationships/hyperlink" Target="https://doi.org/10.1017/S0007114522001295" TargetMode="External"/><Relationship Id="rId199" Type="http://schemas.openxmlformats.org/officeDocument/2006/relationships/hyperlink" Target="https://open.efsa.europa.eu/scientific-panel/8" TargetMode="External"/><Relationship Id="rId203" Type="http://schemas.openxmlformats.org/officeDocument/2006/relationships/hyperlink" Target="https://efsa.onlinelibrary.wiley.com/doi/full/10.2903/j.efsa.2023.7704" TargetMode="External"/><Relationship Id="rId385" Type="http://schemas.openxmlformats.org/officeDocument/2006/relationships/theme" Target="theme/theme1.xml"/><Relationship Id="rId19" Type="http://schemas.openxmlformats.org/officeDocument/2006/relationships/hyperlink" Target="https://www.eatforhealth.gov.au/nutrient-reference-values/glossary" TargetMode="External"/><Relationship Id="rId224" Type="http://schemas.openxmlformats.org/officeDocument/2006/relationships/hyperlink" Target="https://doi.org/10.1016/s0140-6736(82)90491-3" TargetMode="External"/><Relationship Id="rId245" Type="http://schemas.openxmlformats.org/officeDocument/2006/relationships/hyperlink" Target="https://www.aihw.gov.au/reports/heart-stroke-vascular-diseases/hsvd-facts" TargetMode="External"/><Relationship Id="rId266" Type="http://schemas.openxmlformats.org/officeDocument/2006/relationships/hyperlink" Target="https://doi.org/10.1016/0378-3782(84)90096-3" TargetMode="External"/><Relationship Id="rId287" Type="http://schemas.openxmlformats.org/officeDocument/2006/relationships/hyperlink" Target="https://doi.org/doi:10.1161/CIRCULATIONAHA.120.050371" TargetMode="External"/><Relationship Id="rId30" Type="http://schemas.openxmlformats.org/officeDocument/2006/relationships/hyperlink" Target="https://www.eatforhealth.gov.au/nutrient-reference-values/glossary" TargetMode="External"/><Relationship Id="rId105" Type="http://schemas.openxmlformats.org/officeDocument/2006/relationships/hyperlink" Target="https://www.mdpi.com/2673-9992/18/1/24" TargetMode="External"/><Relationship Id="rId126" Type="http://schemas.openxmlformats.org/officeDocument/2006/relationships/hyperlink" Target="https://doi.org/10.1007/s11906-023-01275-z" TargetMode="External"/><Relationship Id="rId147" Type="http://schemas.openxmlformats.org/officeDocument/2006/relationships/hyperlink" Target="https://doi.org/10.1186/s12889-015-2686-1" TargetMode="External"/><Relationship Id="rId168" Type="http://schemas.openxmlformats.org/officeDocument/2006/relationships/hyperlink" Target="https://doi.org/10.1111/mcn.12239" TargetMode="External"/><Relationship Id="rId312" Type="http://schemas.openxmlformats.org/officeDocument/2006/relationships/hyperlink" Target="https://doi.org/10.1093/eurheartj/ehz748.0446" TargetMode="External"/><Relationship Id="rId333" Type="http://schemas.openxmlformats.org/officeDocument/2006/relationships/hyperlink" Target="https://doi.org/10.1111/jch.13391" TargetMode="External"/><Relationship Id="rId354" Type="http://schemas.openxmlformats.org/officeDocument/2006/relationships/hyperlink" Target="https://doi.org/10.1161/01.hyp.16.4.398" TargetMode="External"/><Relationship Id="rId51" Type="http://schemas.openxmlformats.org/officeDocument/2006/relationships/image" Target="media/image40.png"/><Relationship Id="rId72" Type="http://schemas.openxmlformats.org/officeDocument/2006/relationships/hyperlink" Target="https://www.mdpi.com/2072-6643/14/5/941" TargetMode="External"/><Relationship Id="rId93" Type="http://schemas.openxmlformats.org/officeDocument/2006/relationships/hyperlink" Target="https://doi.org/10.2196/43675" TargetMode="External"/><Relationship Id="rId189" Type="http://schemas.openxmlformats.org/officeDocument/2006/relationships/hyperlink" Target="https://doi.org/10.1186/s12963-023-00301-1" TargetMode="External"/><Relationship Id="rId375" Type="http://schemas.openxmlformats.org/officeDocument/2006/relationships/hyperlink" Target="https://doi.org/10.1016/j.mri.2016.10.023" TargetMode="External"/><Relationship Id="rId3" Type="http://schemas.openxmlformats.org/officeDocument/2006/relationships/customXml" Target="../customXml/item3.xml"/><Relationship Id="rId214" Type="http://schemas.openxmlformats.org/officeDocument/2006/relationships/hyperlink" Target="https://efsa.onlinelibrary.wiley.com/doi/10.2903/j.efsa.2019.5778" TargetMode="External"/><Relationship Id="rId235" Type="http://schemas.openxmlformats.org/officeDocument/2006/relationships/hyperlink" Target="https://doi.org/10.1161/01.hyp.16.4.398" TargetMode="External"/><Relationship Id="rId256" Type="http://schemas.openxmlformats.org/officeDocument/2006/relationships/hyperlink" Target="https://doi.org/10.1371/journal.pmed.1003427" TargetMode="External"/><Relationship Id="rId277" Type="http://schemas.openxmlformats.org/officeDocument/2006/relationships/hyperlink" Target="https://doi.org/10.1016/j.hlc.2017.04.010" TargetMode="External"/><Relationship Id="rId298" Type="http://schemas.openxmlformats.org/officeDocument/2006/relationships/hyperlink" Target="https://doi.org/10.1136/bmjopen-2012-002106" TargetMode="External"/><Relationship Id="rId116" Type="http://schemas.openxmlformats.org/officeDocument/2006/relationships/hyperlink" Target="https://www.health.qld.gov.au/__data/assets/pdf_file/0030/156288/qh-nutrition-standards.pdf" TargetMode="External"/><Relationship Id="rId137" Type="http://schemas.openxmlformats.org/officeDocument/2006/relationships/hyperlink" Target="https://doi.org/10.1093/ije/dyy121" TargetMode="External"/><Relationship Id="rId158" Type="http://schemas.openxmlformats.org/officeDocument/2006/relationships/hyperlink" Target="https://www.nhmrc.gov.au/sites/default/files/documents/attachments/publications/policy-on-the-disclosure-of-interests-requirements.pdf" TargetMode="External"/><Relationship Id="rId302" Type="http://schemas.openxmlformats.org/officeDocument/2006/relationships/hyperlink" Target="https://doi.org/10.1016/s0022-3476(80)80729-3" TargetMode="External"/><Relationship Id="rId323" Type="http://schemas.openxmlformats.org/officeDocument/2006/relationships/hyperlink" Target="https://doi.org/10.1203/00006450-198202000-00007" TargetMode="External"/><Relationship Id="rId344" Type="http://schemas.openxmlformats.org/officeDocument/2006/relationships/hyperlink" Target="https://www.nhmrc.gov.au/about-us/publications/nutrient-reference-values-australia-and-new-zealand-including-recommended-dietary-intakes" TargetMode="External"/><Relationship Id="rId20" Type="http://schemas.openxmlformats.org/officeDocument/2006/relationships/hyperlink" Target="https://www.eatforhealth.gov.au/nutrient-reference-values/glossary" TargetMode="External"/><Relationship Id="rId41" Type="http://schemas.openxmlformats.org/officeDocument/2006/relationships/hyperlink" Target="https://www.eatforhealth.gov.au/nutrient-reference-values/glossary" TargetMode="External"/><Relationship Id="rId62" Type="http://schemas.openxmlformats.org/officeDocument/2006/relationships/hyperlink" Target="https://www.abs.gov.au/statistics/health/food-and-nutrition/food-and-nutrients/2023" TargetMode="External"/><Relationship Id="rId83" Type="http://schemas.openxmlformats.org/officeDocument/2006/relationships/hyperlink" Target="https://doi.org/https://doi.org/10.1093/jn/79.4.407" TargetMode="External"/><Relationship Id="rId179" Type="http://schemas.openxmlformats.org/officeDocument/2006/relationships/hyperlink" Target="https://doi.org/10.3945/jn.115.219634" TargetMode="External"/><Relationship Id="rId365" Type="http://schemas.openxmlformats.org/officeDocument/2006/relationships/hyperlink" Target="https://doi.org/10.1001/jama.2011.574" TargetMode="External"/><Relationship Id="rId190" Type="http://schemas.openxmlformats.org/officeDocument/2006/relationships/hyperlink" Target="https://iris.who.int/server/api/core/bitstreams/15f51d0a-bfbd-43ad-a637-73778feb57e3/content" TargetMode="External"/><Relationship Id="rId204" Type="http://schemas.openxmlformats.org/officeDocument/2006/relationships/hyperlink" Target="https://efsa.onlinelibrary.wiley.com/doi/full/10.2903/j.efsa.2023.7704" TargetMode="External"/><Relationship Id="rId225" Type="http://schemas.openxmlformats.org/officeDocument/2006/relationships/hyperlink" Target="https://doi.org/10.6027/nord2023-003" TargetMode="External"/><Relationship Id="rId246" Type="http://schemas.openxmlformats.org/officeDocument/2006/relationships/hyperlink" Target="https://doi.org/10.1093/ajcn/54.1.69" TargetMode="External"/><Relationship Id="rId267" Type="http://schemas.openxmlformats.org/officeDocument/2006/relationships/hyperlink" Target="https://doi.org/10.1111/jch.13551" TargetMode="External"/><Relationship Id="rId288" Type="http://schemas.openxmlformats.org/officeDocument/2006/relationships/hyperlink" Target="https://doi.org/10.1007/s11906-022-01182-9" TargetMode="External"/><Relationship Id="rId106" Type="http://schemas.openxmlformats.org/officeDocument/2006/relationships/hyperlink" Target="https://doi.org/10.1093/ajcn/37.1.61" TargetMode="External"/><Relationship Id="rId127" Type="http://schemas.openxmlformats.org/officeDocument/2006/relationships/hyperlink" Target="https://doi.org/10.29219/fnr.v68.10319" TargetMode="External"/><Relationship Id="rId313" Type="http://schemas.openxmlformats.org/officeDocument/2006/relationships/hyperlink" Target="https://vizhub.healthdata.org/gbd-results/" TargetMode="External"/><Relationship Id="rId10" Type="http://schemas.openxmlformats.org/officeDocument/2006/relationships/footnotes" Target="footnotes.xml"/><Relationship Id="rId31" Type="http://schemas.openxmlformats.org/officeDocument/2006/relationships/hyperlink" Target="https://www.eatforhealth.gov.au/nutrient-reference-values/glossary" TargetMode="External"/><Relationship Id="rId52" Type="http://schemas.openxmlformats.org/officeDocument/2006/relationships/image" Target="media/image50.png"/><Relationship Id="rId73" Type="http://schemas.openxmlformats.org/officeDocument/2006/relationships/hyperlink" Target="https://doi.org/10.1007/s13668-018-0239-9" TargetMode="External"/><Relationship Id="rId94" Type="http://schemas.openxmlformats.org/officeDocument/2006/relationships/hyperlink" Target="https://doi.org/10.1136/bmjnph-2025-001255" TargetMode="External"/><Relationship Id="rId148" Type="http://schemas.openxmlformats.org/officeDocument/2006/relationships/hyperlink" Target="https://doi.org/10.1007/s11906-024-01312-5" TargetMode="External"/><Relationship Id="rId169" Type="http://schemas.openxmlformats.org/officeDocument/2006/relationships/hyperlink" Target="https://doi.org/10.1111/jch.13958" TargetMode="External"/><Relationship Id="rId334" Type="http://schemas.openxmlformats.org/officeDocument/2006/relationships/hyperlink" Target="https://doi.org/10.1038/s41430-018-0176-0" TargetMode="External"/><Relationship Id="rId355" Type="http://schemas.openxmlformats.org/officeDocument/2006/relationships/hyperlink" Target="https://doi.org/10.3945/an.114.006783" TargetMode="External"/><Relationship Id="rId376" Type="http://schemas.openxmlformats.org/officeDocument/2006/relationships/hyperlink" Target="https://doi.org/10.1016/j.lanwpc.2025.101511" TargetMode="External"/><Relationship Id="rId4" Type="http://schemas.openxmlformats.org/officeDocument/2006/relationships/customXml" Target="../customXml/item4.xml"/><Relationship Id="rId180" Type="http://schemas.openxmlformats.org/officeDocument/2006/relationships/hyperlink" Target="https://doi.org/10.5114/aoms/209720" TargetMode="External"/><Relationship Id="rId215" Type="http://schemas.openxmlformats.org/officeDocument/2006/relationships/hyperlink" Target="https://efsa.onlinelibrary.wiley.com/doi/10.2903/j.efsa.2019.5778" TargetMode="External"/><Relationship Id="rId236" Type="http://schemas.openxmlformats.org/officeDocument/2006/relationships/hyperlink" Target="https://doi.org/10.1056/nejm200101043440101" TargetMode="External"/><Relationship Id="rId257" Type="http://schemas.openxmlformats.org/officeDocument/2006/relationships/hyperlink" Target="https://doi.org/10.1016/j.clnu.2010.08.003" TargetMode="External"/><Relationship Id="rId278" Type="http://schemas.openxmlformats.org/officeDocument/2006/relationships/hyperlink" Target="https://doi.org/10.1161/hyp.0000000000000047" TargetMode="External"/><Relationship Id="rId303" Type="http://schemas.openxmlformats.org/officeDocument/2006/relationships/hyperlink" Target="https://doi.org/10.1016/j.pcad.2009.12.006" TargetMode="External"/><Relationship Id="rId42" Type="http://schemas.openxmlformats.org/officeDocument/2006/relationships/hyperlink" Target="https://www.eatforhealth.gov.au/nutrient-reference-values/glossary" TargetMode="External"/><Relationship Id="rId84" Type="http://schemas.openxmlformats.org/officeDocument/2006/relationships/hyperlink" Target="https://doi.org/10.1136/bmjnph-2020-000173" TargetMode="External"/><Relationship Id="rId138" Type="http://schemas.openxmlformats.org/officeDocument/2006/relationships/hyperlink" Target="https://ranzcog.edu.au/wp-content/uploads/SOMANZ-Hypertensive-Disorders-Pregnancy.pdf" TargetMode="External"/><Relationship Id="rId345" Type="http://schemas.openxmlformats.org/officeDocument/2006/relationships/hyperlink" Target="https://www.eatforhealth.gov.au/sites/default/files/files/the_guidelines/n55b_eat_for_health_educators_guide.pdf" TargetMode="External"/><Relationship Id="rId191" Type="http://schemas.openxmlformats.org/officeDocument/2006/relationships/hyperlink" Target="https://www.who.int/news-room/fact-sheets/detail/sodium-reduction" TargetMode="External"/><Relationship Id="rId205" Type="http://schemas.openxmlformats.org/officeDocument/2006/relationships/hyperlink" Target="https://efsa.onlinelibrary.wiley.com/doi/10.2903/j.efsa.2019.5778" TargetMode="External"/><Relationship Id="rId247" Type="http://schemas.openxmlformats.org/officeDocument/2006/relationships/hyperlink" Target="https://doi.org/10.1007/s004210050454" TargetMode="External"/><Relationship Id="rId107" Type="http://schemas.openxmlformats.org/officeDocument/2006/relationships/hyperlink" Target="https://doi.org/10.1017/jns.2024.35" TargetMode="External"/><Relationship Id="rId289" Type="http://schemas.openxmlformats.org/officeDocument/2006/relationships/hyperlink" Target="https://www.foodstandards.gov.au/consumer/our-safe-food-supply/processed-foods" TargetMode="External"/><Relationship Id="rId11" Type="http://schemas.openxmlformats.org/officeDocument/2006/relationships/endnotes" Target="endnotes.xml"/><Relationship Id="rId53" Type="http://schemas.openxmlformats.org/officeDocument/2006/relationships/image" Target="media/image6.png"/><Relationship Id="rId149" Type="http://schemas.openxmlformats.org/officeDocument/2006/relationships/hyperlink" Target="https://doi.org/10.1111/j.1753-6405.2008.00279.x" TargetMode="External"/><Relationship Id="rId314" Type="http://schemas.openxmlformats.org/officeDocument/2006/relationships/hyperlink" Target="https://doi.org/10.1007/s11906-023-01275-z" TargetMode="External"/><Relationship Id="rId356" Type="http://schemas.openxmlformats.org/officeDocument/2006/relationships/hyperlink" Target="https://doi.org/10.1111/mcn.12239" TargetMode="External"/><Relationship Id="rId95" Type="http://schemas.openxmlformats.org/officeDocument/2006/relationships/hyperlink" Target="https://doi.org/10.1016/j.pmedr.2022.101927" TargetMode="External"/><Relationship Id="rId160" Type="http://schemas.openxmlformats.org/officeDocument/2006/relationships/hyperlink" Target="https://www.mpi.govt.nz/dmsdocument/43663-2016-NZ-Total-Diet-Study-without-Appendices-report-" TargetMode="External"/><Relationship Id="rId216" Type="http://schemas.openxmlformats.org/officeDocument/2006/relationships/hyperlink" Target="https://efsa.onlinelibrary.wiley.com/doi/10.2903/j.efsa.2019.5778" TargetMode="External"/><Relationship Id="rId258" Type="http://schemas.openxmlformats.org/officeDocument/2006/relationships/hyperlink" Target="https://doi.org/10.1016/s0140-6736(82)90491-3" TargetMode="External"/><Relationship Id="rId22" Type="http://schemas.openxmlformats.org/officeDocument/2006/relationships/hyperlink" Target="https://www.eatforhealth.gov.au/nutrient-reference-values/glossary" TargetMode="External"/><Relationship Id="rId64" Type="http://schemas.openxmlformats.org/officeDocument/2006/relationships/hyperlink" Target="https://www.abs.gov.au/articles/healthy-food-partnership-reformulation-program-wave-1-four-year-progress" TargetMode="External"/><Relationship Id="rId118" Type="http://schemas.openxmlformats.org/officeDocument/2006/relationships/hyperlink" Target="https://doi.org/10.1017/s0007114508088041" TargetMode="External"/><Relationship Id="rId325" Type="http://schemas.openxmlformats.org/officeDocument/2006/relationships/hyperlink" Target="https://doi.org/10.1093/ije/dyy121" TargetMode="External"/><Relationship Id="rId367" Type="http://schemas.openxmlformats.org/officeDocument/2006/relationships/hyperlink" Target="https://doi.org/10.3945/jn.115.219634" TargetMode="External"/><Relationship Id="rId171" Type="http://schemas.openxmlformats.org/officeDocument/2006/relationships/hyperlink" Target="https://doi.org/10.1186/s12937-021-00734-0" TargetMode="External"/><Relationship Id="rId227" Type="http://schemas.openxmlformats.org/officeDocument/2006/relationships/hyperlink" Target="https://doi.org/10.1111/jch.13551" TargetMode="External"/><Relationship Id="rId269" Type="http://schemas.openxmlformats.org/officeDocument/2006/relationships/hyperlink" Target="https://doi.org/10.1161/JAHA.124.037997" TargetMode="External"/><Relationship Id="rId33" Type="http://schemas.openxmlformats.org/officeDocument/2006/relationships/hyperlink" Target="https://www.eatforhealth.gov.au/nutrient-reference-values/glossary" TargetMode="External"/><Relationship Id="rId129" Type="http://schemas.openxmlformats.org/officeDocument/2006/relationships/hyperlink" Target="https://doi.org/10.3390/nu10060720" TargetMode="External"/><Relationship Id="rId280" Type="http://schemas.openxmlformats.org/officeDocument/2006/relationships/hyperlink" Target="https://doi.org/https://doi.org/10.2903/j.efsa.2019.5778" TargetMode="External"/><Relationship Id="rId336" Type="http://schemas.openxmlformats.org/officeDocument/2006/relationships/hyperlink" Target="https://doi.org/10.1007/s11906-024-01312-5" TargetMode="External"/><Relationship Id="rId75" Type="http://schemas.openxmlformats.org/officeDocument/2006/relationships/hyperlink" Target="https://doi.org/10.6027/nord2023-003" TargetMode="External"/><Relationship Id="rId140" Type="http://schemas.openxmlformats.org/officeDocument/2006/relationships/hyperlink" Target="https://doi.org/10.3390/nu13041138" TargetMode="External"/><Relationship Id="rId182" Type="http://schemas.openxmlformats.org/officeDocument/2006/relationships/hyperlink" Target="https://doi.org/10.1016/j.beem.2017.10.008" TargetMode="External"/><Relationship Id="rId378" Type="http://schemas.openxmlformats.org/officeDocument/2006/relationships/hyperlink" Target="https://iris.who.int/server/api/core/bitstreams/15f51d0a-bfbd-43ad-a637-73778feb57e3/content" TargetMode="External"/><Relationship Id="rId6" Type="http://schemas.openxmlformats.org/officeDocument/2006/relationships/numbering" Target="numbering.xml"/><Relationship Id="rId238" Type="http://schemas.openxmlformats.org/officeDocument/2006/relationships/hyperlink" Target="https://doi.org/10.4178/epih/e2014009" TargetMode="External"/><Relationship Id="rId291" Type="http://schemas.openxmlformats.org/officeDocument/2006/relationships/hyperlink" Target="https://www.foodstandards.gov.au/consumer/nutrition/sodium-salt/salthowmuch" TargetMode="External"/><Relationship Id="rId305" Type="http://schemas.openxmlformats.org/officeDocument/2006/relationships/hyperlink" Target="https://doi.org/10.1152/ajprenal.2000.278.4.F585" TargetMode="External"/><Relationship Id="rId347" Type="http://schemas.openxmlformats.org/officeDocument/2006/relationships/hyperlink" Target="https://doi.org/10.1093/advances/nmab036" TargetMode="External"/><Relationship Id="rId44" Type="http://schemas.openxmlformats.org/officeDocument/2006/relationships/hyperlink" Target="https://www.eatforhealth.gov.au/nutrient-reference-values/glossary" TargetMode="External"/><Relationship Id="rId86" Type="http://schemas.openxmlformats.org/officeDocument/2006/relationships/hyperlink" Target="https://www.eatforhealth.gov.au/sites/default/files/2022-10/2017_Sodium_SD2_-_Statistical_Analyses.pdf" TargetMode="External"/><Relationship Id="rId151" Type="http://schemas.openxmlformats.org/officeDocument/2006/relationships/hyperlink" Target="https://doi.org/10.1017/s1368980018002112" TargetMode="External"/><Relationship Id="rId193" Type="http://schemas.openxmlformats.org/officeDocument/2006/relationships/hyperlink" Target="https://www.who.int/health-topics/cardiovascular-diseases" TargetMode="External"/><Relationship Id="rId207" Type="http://schemas.openxmlformats.org/officeDocument/2006/relationships/hyperlink" Target="https://efsa.onlinelibrary.wiley.com/doi/10.2903/j.efsa.2019.5778" TargetMode="External"/><Relationship Id="rId249" Type="http://schemas.openxmlformats.org/officeDocument/2006/relationships/hyperlink" Target="https://www.abs.gov.au/statistics/people/aboriginal-and-torres-strait-islander-peoples/national-aboriginal-and-torres-strait-islander-nutrition-and-physical-activity-survey/latest-release" TargetMode="External"/><Relationship Id="rId13" Type="http://schemas.openxmlformats.org/officeDocument/2006/relationships/header" Target="header2.xml"/><Relationship Id="rId109" Type="http://schemas.openxmlformats.org/officeDocument/2006/relationships/hyperlink" Target="https://doi.org/10.1017/s1368980023000332" TargetMode="External"/><Relationship Id="rId260" Type="http://schemas.openxmlformats.org/officeDocument/2006/relationships/hyperlink" Target="https://www.mdpi.com/2072-6643/14/5/941" TargetMode="External"/><Relationship Id="rId316" Type="http://schemas.openxmlformats.org/officeDocument/2006/relationships/hyperlink" Target="https://doi.org/10.1093/ajcn/35.3.527" TargetMode="External"/><Relationship Id="rId55" Type="http://schemas.openxmlformats.org/officeDocument/2006/relationships/hyperlink" Target="https://www.aihw.gov.au/reports/burden-of-disease/illness-death-indigenous-2018" TargetMode="External"/><Relationship Id="rId97" Type="http://schemas.openxmlformats.org/officeDocument/2006/relationships/hyperlink" Target="https://doi.org/https://doi.org/10.1111/j.1651-2227.1981.tb16576.x" TargetMode="External"/><Relationship Id="rId120" Type="http://schemas.openxmlformats.org/officeDocument/2006/relationships/hyperlink" Target="https://doi.org/10.1093/ajcn/40.4.786" TargetMode="External"/><Relationship Id="rId358" Type="http://schemas.openxmlformats.org/officeDocument/2006/relationships/hyperlink" Target="https://doi.org/10.1111/j.1651-2227.1981.tb05540.x" TargetMode="External"/><Relationship Id="rId162" Type="http://schemas.openxmlformats.org/officeDocument/2006/relationships/hyperlink" Target="https://aci.health.nsw.gov.au/projects/nutrition-standards/adult/nutrient-goals" TargetMode="External"/><Relationship Id="rId218" Type="http://schemas.openxmlformats.org/officeDocument/2006/relationships/hyperlink" Target="https://www.eatforhealth.gov.au/nutrient-reference-values/glossary" TargetMode="External"/><Relationship Id="rId271" Type="http://schemas.openxmlformats.org/officeDocument/2006/relationships/hyperlink" Target="https://doi.org/https://doi.org/10.1093/jn/79.4.407" TargetMode="External"/><Relationship Id="rId24" Type="http://schemas.openxmlformats.org/officeDocument/2006/relationships/hyperlink" Target="https://www.eatforhealth.gov.au/nutrient-reference-values/glossary" TargetMode="External"/><Relationship Id="rId66" Type="http://schemas.openxmlformats.org/officeDocument/2006/relationships/hyperlink" Target="https://www.aihw.gov.au/reports/heart-stroke-vascular-diseases/hsvd-facts" TargetMode="External"/><Relationship Id="rId131" Type="http://schemas.openxmlformats.org/officeDocument/2006/relationships/hyperlink" Target="https://doi.org/10.3177/jnsv.51.161" TargetMode="External"/><Relationship Id="rId327" Type="http://schemas.openxmlformats.org/officeDocument/2006/relationships/hyperlink" Target="https://doi.org/10.2174/1573402111666150530204136" TargetMode="External"/><Relationship Id="rId369" Type="http://schemas.openxmlformats.org/officeDocument/2006/relationships/hyperlink" Target="https://doi.org/10.1111/j.1440-1797.2011.01550.x" TargetMode="External"/><Relationship Id="rId173" Type="http://schemas.openxmlformats.org/officeDocument/2006/relationships/hyperlink" Target="https://doi.org/10.1097/00004872-199203000-00013" TargetMode="External"/><Relationship Id="rId229" Type="http://schemas.openxmlformats.org/officeDocument/2006/relationships/hyperlink" Target="https://www.foodstandards.gov.au/consumer/nutrition/sodium-salt/salthowmuch" TargetMode="External"/><Relationship Id="rId380" Type="http://schemas.openxmlformats.org/officeDocument/2006/relationships/hyperlink" Target="https://www.who.int/publications/i/item/9789241504836" TargetMode="External"/><Relationship Id="rId240" Type="http://schemas.openxmlformats.org/officeDocument/2006/relationships/hyperlink" Target="https://doi.org/10.3945/jn.115.219634" TargetMode="External"/><Relationship Id="rId35" Type="http://schemas.openxmlformats.org/officeDocument/2006/relationships/hyperlink" Target="https://www.eatforhealth.gov.au/nutrient-reference-values/glossary" TargetMode="External"/><Relationship Id="rId77" Type="http://schemas.openxmlformats.org/officeDocument/2006/relationships/hyperlink" Target="https://www.foodstandards.gov.au/sites/default/files/consumer/nutrition/salthowmuch/Documents/Salt_Intake_5.pdf" TargetMode="External"/><Relationship Id="rId100" Type="http://schemas.openxmlformats.org/officeDocument/2006/relationships/hyperlink" Target="https://doi.org/10.1007/s11906-022-01182-9" TargetMode="External"/><Relationship Id="rId282" Type="http://schemas.openxmlformats.org/officeDocument/2006/relationships/hyperlink" Target="https://doi.org/10.1136/bmjnph-2025-001255" TargetMode="External"/><Relationship Id="rId338" Type="http://schemas.openxmlformats.org/officeDocument/2006/relationships/hyperlink" Target="https://doi.org/10.3390/nu9080918" TargetMode="External"/><Relationship Id="rId8" Type="http://schemas.openxmlformats.org/officeDocument/2006/relationships/settings" Target="settings.xml"/><Relationship Id="rId142" Type="http://schemas.openxmlformats.org/officeDocument/2006/relationships/hyperlink" Target="https://doi.org/10.1007/s00424-015-1690-8" TargetMode="External"/><Relationship Id="rId184" Type="http://schemas.openxmlformats.org/officeDocument/2006/relationships/hyperlink" Target="https://doi.org/10.1016/s0899-9007(97)00187-1" TargetMode="External"/><Relationship Id="rId251" Type="http://schemas.openxmlformats.org/officeDocument/2006/relationships/hyperlink" Target="https://www.abs.gov.au/statistics/health/food-and-nutrition/usual-nutrient-intakes/2023" TargetMode="External"/><Relationship Id="rId46" Type="http://schemas.openxmlformats.org/officeDocument/2006/relationships/footer" Target="footer4.xml"/><Relationship Id="rId293" Type="http://schemas.openxmlformats.org/officeDocument/2006/relationships/hyperlink" Target="https://www.mdpi.com/2673-9992/18/1/24" TargetMode="External"/><Relationship Id="rId307" Type="http://schemas.openxmlformats.org/officeDocument/2006/relationships/hyperlink" Target="https://doi.org/10.1002/14651858.CD006763.pub3" TargetMode="External"/><Relationship Id="rId349" Type="http://schemas.openxmlformats.org/officeDocument/2006/relationships/hyperlink" Target="https://doi.org/10.1017/s1368980017004104" TargetMode="External"/><Relationship Id="rId88" Type="http://schemas.openxmlformats.org/officeDocument/2006/relationships/hyperlink" Target="https://doi.org/10.1097/00005176-198302030-00018" TargetMode="External"/><Relationship Id="rId111" Type="http://schemas.openxmlformats.org/officeDocument/2006/relationships/hyperlink" Target="https://doi.org/10.1186/s12889-017-4451-0" TargetMode="External"/><Relationship Id="rId153" Type="http://schemas.openxmlformats.org/officeDocument/2006/relationships/hyperlink" Target="https://doi.org/10.1097/hjh.0000000000003699" TargetMode="External"/><Relationship Id="rId195" Type="http://schemas.openxmlformats.org/officeDocument/2006/relationships/hyperlink" Target="https://nhmrc.sharepoint.com/:b:/s/restrans/EYtK-fVepolHs1kOMUP9bSQBxtV88VB0X6r_IiLDgziUbw?e=R0eGRz" TargetMode="External"/><Relationship Id="rId209" Type="http://schemas.openxmlformats.org/officeDocument/2006/relationships/hyperlink" Target="https://efsa.onlinelibrary.wiley.com/doi/10.2903/j.efsa.2019.5778" TargetMode="External"/><Relationship Id="rId360" Type="http://schemas.openxmlformats.org/officeDocument/2006/relationships/hyperlink" Target="https://doi.org/10.1056/nejm200101043440101" TargetMode="External"/><Relationship Id="rId220" Type="http://schemas.openxmlformats.org/officeDocument/2006/relationships/hyperlink" Target="https://www.eatforhealth.gov.au/nutrient-reference-values/glossary" TargetMode="External"/><Relationship Id="rId15" Type="http://schemas.openxmlformats.org/officeDocument/2006/relationships/footer" Target="footer2.xml"/><Relationship Id="rId57" Type="http://schemas.openxmlformats.org/officeDocument/2006/relationships/hyperlink" Target="https://www.aihw.gov.au/reports/heart-stroke-vascular-diseases/hsvd-facts" TargetMode="External"/><Relationship Id="rId262" Type="http://schemas.openxmlformats.org/officeDocument/2006/relationships/hyperlink" Target="https://doi.org/10.1093/advances/nmz134" TargetMode="External"/><Relationship Id="rId318" Type="http://schemas.openxmlformats.org/officeDocument/2006/relationships/hyperlink" Target="https://doi.org/10.1016/j.kint.2016.07.012" TargetMode="External"/><Relationship Id="rId99" Type="http://schemas.openxmlformats.org/officeDocument/2006/relationships/hyperlink" Target="https://doi.org/doi:10.1161/CIRCULATIONAHA.120.050371" TargetMode="External"/><Relationship Id="rId122" Type="http://schemas.openxmlformats.org/officeDocument/2006/relationships/hyperlink" Target="https://doi.org/10.29219/fnr.v68.10456" TargetMode="External"/><Relationship Id="rId164" Type="http://schemas.openxmlformats.org/officeDocument/2006/relationships/hyperlink" Target="https://doi.org/10.1161/01.cir.63.1.110" TargetMode="External"/><Relationship Id="rId371" Type="http://schemas.openxmlformats.org/officeDocument/2006/relationships/hyperlink" Target="https://www.health.govt.nz/system/files/2011-10/a-focus-on-nutrition-v2.pdf" TargetMode="External"/><Relationship Id="rId26" Type="http://schemas.openxmlformats.org/officeDocument/2006/relationships/hyperlink" Target="https://www.eatforhealth.gov.au/nutrient-reference-values/glossary" TargetMode="External"/><Relationship Id="rId231" Type="http://schemas.openxmlformats.org/officeDocument/2006/relationships/hyperlink" Target="https://doi.org/10.1111/jch.13391" TargetMode="External"/><Relationship Id="rId273" Type="http://schemas.openxmlformats.org/officeDocument/2006/relationships/hyperlink" Target="https://doi.org/10.1038/s41430-025-01647-5" TargetMode="External"/><Relationship Id="rId329" Type="http://schemas.openxmlformats.org/officeDocument/2006/relationships/hyperlink" Target="https://doi.org/10.1097/spc.0000000000000404"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4994564-c68c-4417-8c9c-13eb9ecde3d6">
      <Terms xmlns="http://schemas.microsoft.com/office/infopath/2007/PartnerControls"/>
    </lcf76f155ced4ddcb4097134ff3c332f>
    <Comments xmlns="f4994564-c68c-4417-8c9c-13eb9ecde3d6" xsi:nil="true"/>
    <_ip_UnifiedCompliancePolicyProperties xmlns="http://schemas.microsoft.com/sharepoint/v3" xsi:nil="true"/>
    <Status xmlns="f4994564-c68c-4417-8c9c-13eb9ecde3d6" xsi:nil="true"/>
    <person xmlns="f4994564-c68c-4417-8c9c-13eb9ecde3d6">
      <UserInfo>
        <DisplayName/>
        <AccountId xsi:nil="true"/>
        <AccountType/>
      </UserInfo>
    </person>
    <TaxCatchAll xmlns="ef8499da-f70f-48c9-a6de-e578977a26c0" xsi:nil="true"/>
    <_dlc_DocId xmlns="ef8499da-f70f-48c9-a6de-e578977a26c0">RESTRANS-1864802524-206783</_dlc_DocId>
    <_dlc_DocIdUrl xmlns="ef8499da-f70f-48c9-a6de-e578977a26c0">
      <Url>https://nhmrc.sharepoint.com/sites/restrans/_layouts/15/DocIdRedir.aspx?ID=RESTRANS-1864802524-206783</Url>
      <Description>RESTRANS-1864802524-206783</Description>
    </_dlc_DocIdUrl>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5.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4" ma:contentTypeDescription="Create a new document." ma:contentTypeScope="" ma:versionID="15dbadcc652152cf822d9ba4db337924">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521f5fce8a076de9b4dee074152eaf9c"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C5E936-254B-4592-B1C4-E9F12F00B965}">
  <ds:schemaRefs>
    <ds:schemaRef ds:uri="http://schemas.microsoft.com/sharepoint/events"/>
  </ds:schemaRefs>
</ds:datastoreItem>
</file>

<file path=customXml/itemProps2.xml><?xml version="1.0" encoding="utf-8"?>
<ds:datastoreItem xmlns:ds="http://schemas.openxmlformats.org/officeDocument/2006/customXml" ds:itemID="{C3852AE9-523C-4EEC-A3B8-263AA537A0A9}">
  <ds:schemaRefs>
    <ds:schemaRef ds:uri="http://schemas.microsoft.com/sharepoint/v3/contenttype/forms"/>
  </ds:schemaRefs>
</ds:datastoreItem>
</file>

<file path=customXml/itemProps3.xml><?xml version="1.0" encoding="utf-8"?>
<ds:datastoreItem xmlns:ds="http://schemas.openxmlformats.org/officeDocument/2006/customXml" ds:itemID="{E3A2226C-1D5D-45F5-A614-387EEF14EAD2}">
  <ds:schemaRefs>
    <ds:schemaRef ds:uri="http://schemas.microsoft.com/office/2006/metadata/properties"/>
    <ds:schemaRef ds:uri="http://schemas.microsoft.com/office/infopath/2007/PartnerControls"/>
    <ds:schemaRef ds:uri="http://schemas.microsoft.com/sharepoint/v3"/>
    <ds:schemaRef ds:uri="f4994564-c68c-4417-8c9c-13eb9ecde3d6"/>
    <ds:schemaRef ds:uri="ef8499da-f70f-48c9-a6de-e578977a26c0"/>
  </ds:schemaRefs>
</ds:datastoreItem>
</file>

<file path=customXml/itemProps4.xml><?xml version="1.0" encoding="utf-8"?>
<ds:datastoreItem xmlns:ds="http://schemas.openxmlformats.org/officeDocument/2006/customXml" ds:itemID="{262D558D-1BA1-47DC-A3BB-8CB56B32E1E7}">
  <ds:schemaRefs>
    <ds:schemaRef ds:uri="http://schemas.openxmlformats.org/officeDocument/2006/bibliography"/>
  </ds:schemaRefs>
</ds:datastoreItem>
</file>

<file path=customXml/itemProps5.xml><?xml version="1.0" encoding="utf-8"?>
<ds:datastoreItem xmlns:ds="http://schemas.openxmlformats.org/officeDocument/2006/customXml" ds:itemID="{CC64E0A4-924D-4BBD-9506-35F88B8D7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146</Pages>
  <Words>92730</Words>
  <Characters>572150</Characters>
  <Application>Microsoft Office Word</Application>
  <DocSecurity>0</DocSecurity>
  <Lines>11919</Lines>
  <Paragraphs>5989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2026-08-12T04:10:00Z</dcterms:created>
  <dcterms:modified xsi:type="dcterms:W3CDTF">2026-08-20T00:33:00Z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51f223d7,3b369d4e,6f2d3ea4,1d1cbcb6,3a975290,5064f17c</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ClassificationContentMarkingFooterShapeIds">
    <vt:lpwstr>114bf0d1,297ab36e,2b0edf33</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9a5e7792-7543-4db2-bcc9-9caeff0b8eb1_Enabled">
    <vt:lpwstr>true</vt:lpwstr>
  </property>
  <property fmtid="{D5CDD505-2E9C-101B-9397-08002B2CF9AE}" pid="9" name="MSIP_Label_9a5e7792-7543-4db2-bcc9-9caeff0b8eb1_SetDate">
    <vt:lpwstr>2026-08-12T04:10:59Z</vt:lpwstr>
  </property>
  <property fmtid="{D5CDD505-2E9C-101B-9397-08002B2CF9AE}" pid="10" name="MSIP_Label_9a5e7792-7543-4db2-bcc9-9caeff0b8eb1_Method">
    <vt:lpwstr>Privileged</vt:lpwstr>
  </property>
  <property fmtid="{D5CDD505-2E9C-101B-9397-08002B2CF9AE}" pid="11" name="MSIP_Label_9a5e7792-7543-4db2-bcc9-9caeff0b8eb1_Name">
    <vt:lpwstr>OFFICIAL</vt:lpwstr>
  </property>
  <property fmtid="{D5CDD505-2E9C-101B-9397-08002B2CF9AE}" pid="12" name="MSIP_Label_9a5e7792-7543-4db2-bcc9-9caeff0b8eb1_SiteId">
    <vt:lpwstr>402fca06-dc9c-412f-9bf9-1a335a4671f7</vt:lpwstr>
  </property>
  <property fmtid="{D5CDD505-2E9C-101B-9397-08002B2CF9AE}" pid="13" name="MSIP_Label_9a5e7792-7543-4db2-bcc9-9caeff0b8eb1_ActionId">
    <vt:lpwstr>b24258ab-4a73-407c-992b-6acf08902411</vt:lpwstr>
  </property>
  <property fmtid="{D5CDD505-2E9C-101B-9397-08002B2CF9AE}" pid="14" name="MSIP_Label_9a5e7792-7543-4db2-bcc9-9caeff0b8eb1_ContentBits">
    <vt:lpwstr>3</vt:lpwstr>
  </property>
  <property fmtid="{D5CDD505-2E9C-101B-9397-08002B2CF9AE}" pid="15" name="MSIP_Label_9a5e7792-7543-4db2-bcc9-9caeff0b8eb1_Tag">
    <vt:lpwstr>10, 0, 1, 1</vt:lpwstr>
  </property>
  <property fmtid="{D5CDD505-2E9C-101B-9397-08002B2CF9AE}" pid="16" name="ContentTypeId">
    <vt:lpwstr>0x01010018030A58EFCB05439C4C109195641468</vt:lpwstr>
  </property>
  <property fmtid="{D5CDD505-2E9C-101B-9397-08002B2CF9AE}" pid="17" name="_dlc_DocIdItemGuid">
    <vt:lpwstr>8ffc55d6-7fcb-4ebf-b83b-59de8b1bac52</vt:lpwstr>
  </property>
  <property fmtid="{D5CDD505-2E9C-101B-9397-08002B2CF9AE}" pid="18" name="MediaServiceImageTags">
    <vt:lpwstr/>
  </property>
</Properties>
</file>